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431CC2">
      <w:pPr>
        <w:keepNext w:val="0"/>
        <w:keepLines w:val="0"/>
        <w:pageBreakBefore w:val="0"/>
        <w:widowControl w:val="0"/>
        <w:kinsoku w:val="0"/>
        <w:wordWrap/>
        <w:overflowPunct/>
        <w:topLinePunct w:val="0"/>
        <w:autoSpaceDE w:val="0"/>
        <w:autoSpaceDN w:val="0"/>
        <w:bidi w:val="0"/>
        <w:adjustRightInd w:val="0"/>
        <w:snapToGrid w:val="0"/>
        <w:spacing w:before="83" w:line="360" w:lineRule="auto"/>
        <w:jc w:val="center"/>
        <w:textAlignment w:val="baseline"/>
        <w:outlineLvl w:val="0"/>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pPr>
      <w:bookmarkStart w:id="0" w:name="_Toc31545"/>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第五章  采购需求</w:t>
      </w:r>
      <w:bookmarkEnd w:id="0"/>
    </w:p>
    <w:p w14:paraId="30E6CAC8">
      <w:pPr>
        <w:pageBreakBefore w:val="0"/>
        <w:widowControl w:val="0"/>
        <w:wordWrap/>
        <w:overflowPunct/>
        <w:topLinePunct w:val="0"/>
        <w:bidi w:val="0"/>
        <w:spacing w:line="309" w:lineRule="auto"/>
        <w:rPr>
          <w:color w:val="auto"/>
          <w:spacing w:val="0"/>
          <w:position w:val="0"/>
          <w:lang w:eastAsia="zh-CN"/>
        </w:rPr>
      </w:pPr>
    </w:p>
    <w:p w14:paraId="3E6949F1">
      <w:pPr>
        <w:pageBreakBefore w:val="0"/>
        <w:widowControl w:val="0"/>
        <w:wordWrap/>
        <w:overflowPunct/>
        <w:topLinePunct w:val="0"/>
        <w:bidi w:val="0"/>
        <w:spacing w:before="78" w:line="220" w:lineRule="auto"/>
        <w:outlineLvl w:val="1"/>
        <w:rPr>
          <w:rFonts w:ascii="宋体" w:hAnsi="宋体" w:eastAsia="宋体" w:cs="宋体"/>
          <w:color w:val="auto"/>
          <w:spacing w:val="0"/>
          <w:position w:val="0"/>
          <w:sz w:val="24"/>
          <w:szCs w:val="24"/>
        </w:rPr>
      </w:pPr>
      <w:bookmarkStart w:id="1" w:name="_Toc1669"/>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需求表</w:t>
      </w:r>
      <w:bookmarkEnd w:id="1"/>
    </w:p>
    <w:p w14:paraId="5F739219">
      <w:pPr>
        <w:pageBreakBefore w:val="0"/>
        <w:widowControl w:val="0"/>
        <w:wordWrap/>
        <w:overflowPunct/>
        <w:topLinePunct w:val="0"/>
        <w:bidi w:val="0"/>
        <w:spacing w:before="64"/>
        <w:rPr>
          <w:color w:val="auto"/>
          <w:spacing w:val="0"/>
          <w:position w:val="0"/>
        </w:rPr>
      </w:pPr>
    </w:p>
    <w:tbl>
      <w:tblPr>
        <w:tblStyle w:val="6"/>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09CD79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0D42D705">
            <w:pPr>
              <w:pageBreakBefore w:val="0"/>
              <w:widowControl w:val="0"/>
              <w:wordWrap/>
              <w:overflowPunct/>
              <w:topLinePunct w:val="0"/>
              <w:bidi w:val="0"/>
              <w:spacing w:before="183" w:line="223" w:lineRule="auto"/>
              <w:ind w:left="1091"/>
              <w:rPr>
                <w:rFonts w:ascii="宋体" w:hAnsi="宋体" w:eastAsia="宋体" w:cs="宋体"/>
                <w:color w:val="auto"/>
                <w:spacing w:val="0"/>
                <w:position w:val="0"/>
                <w:sz w:val="24"/>
                <w:szCs w:val="24"/>
              </w:rPr>
            </w:pPr>
            <w:r>
              <w:rPr>
                <w:color w:val="auto"/>
                <w:spacing w:val="0"/>
                <w:position w:val="0"/>
              </w:rPr>
              <w:drawing>
                <wp:anchor distT="0" distB="0" distL="0" distR="0" simplePos="0" relativeHeight="251661312"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805051" cy="1485442"/>
                          </a:xfrm>
                          <a:prstGeom prst="rect">
                            <a:avLst/>
                          </a:prstGeom>
                        </pic:spPr>
                      </pic:pic>
                    </a:graphicData>
                  </a:graphic>
                </wp:anchor>
              </w:drawing>
            </w:r>
            <w:r>
              <w:rPr>
                <w:rFonts w:ascii="宋体" w:hAnsi="宋体" w:eastAsia="宋体" w:cs="宋体"/>
                <w:color w:val="auto"/>
                <w:spacing w:val="0"/>
                <w:position w:val="0"/>
                <w:sz w:val="24"/>
                <w:szCs w:val="24"/>
              </w:rPr>
              <w:t>名</w:t>
            </w:r>
          </w:p>
          <w:p w14:paraId="7F4DE6C5">
            <w:pPr>
              <w:pStyle w:val="7"/>
              <w:pageBreakBefore w:val="0"/>
              <w:widowControl w:val="0"/>
              <w:wordWrap/>
              <w:overflowPunct/>
              <w:topLinePunct w:val="0"/>
              <w:bidi w:val="0"/>
              <w:spacing w:line="245" w:lineRule="auto"/>
              <w:rPr>
                <w:color w:val="auto"/>
                <w:spacing w:val="0"/>
                <w:position w:val="0"/>
              </w:rPr>
            </w:pPr>
          </w:p>
          <w:p w14:paraId="48CD3627">
            <w:pPr>
              <w:pStyle w:val="7"/>
              <w:pageBreakBefore w:val="0"/>
              <w:widowControl w:val="0"/>
              <w:wordWrap/>
              <w:overflowPunct/>
              <w:topLinePunct w:val="0"/>
              <w:bidi w:val="0"/>
              <w:spacing w:line="246" w:lineRule="auto"/>
              <w:rPr>
                <w:color w:val="auto"/>
                <w:spacing w:val="0"/>
                <w:position w:val="0"/>
              </w:rPr>
            </w:pPr>
          </w:p>
          <w:p w14:paraId="0B8A177C">
            <w:pPr>
              <w:pageBreakBefore w:val="0"/>
              <w:widowControl w:val="0"/>
              <w:wordWrap/>
              <w:overflowPunct/>
              <w:topLinePunct w:val="0"/>
              <w:bidi w:val="0"/>
              <w:spacing w:before="78" w:line="219" w:lineRule="auto"/>
              <w:ind w:left="48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内</w:t>
            </w:r>
          </w:p>
          <w:p w14:paraId="28E8E994">
            <w:pPr>
              <w:pStyle w:val="7"/>
              <w:pageBreakBefore w:val="0"/>
              <w:widowControl w:val="0"/>
              <w:wordWrap/>
              <w:overflowPunct/>
              <w:topLinePunct w:val="0"/>
              <w:bidi w:val="0"/>
              <w:spacing w:line="338" w:lineRule="auto"/>
              <w:rPr>
                <w:color w:val="auto"/>
                <w:spacing w:val="0"/>
                <w:position w:val="0"/>
              </w:rPr>
            </w:pPr>
          </w:p>
          <w:p w14:paraId="1E37CBA5">
            <w:pPr>
              <w:pageBreakBefore w:val="0"/>
              <w:widowControl w:val="0"/>
              <w:wordWrap/>
              <w:overflowPunct/>
              <w:topLinePunct w:val="0"/>
              <w:bidi w:val="0"/>
              <w:spacing w:before="78" w:line="220" w:lineRule="auto"/>
              <w:ind w:left="131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容</w:t>
            </w:r>
          </w:p>
        </w:tc>
        <w:tc>
          <w:tcPr>
            <w:tcW w:w="817" w:type="dxa"/>
            <w:tcBorders>
              <w:left w:val="nil"/>
            </w:tcBorders>
          </w:tcPr>
          <w:p w14:paraId="32FF109B">
            <w:pPr>
              <w:pStyle w:val="7"/>
              <w:pageBreakBefore w:val="0"/>
              <w:widowControl w:val="0"/>
              <w:wordWrap/>
              <w:overflowPunct/>
              <w:topLinePunct w:val="0"/>
              <w:bidi w:val="0"/>
              <w:spacing w:line="263" w:lineRule="auto"/>
              <w:rPr>
                <w:color w:val="auto"/>
                <w:spacing w:val="0"/>
                <w:position w:val="0"/>
              </w:rPr>
            </w:pPr>
          </w:p>
          <w:p w14:paraId="05E0F17E">
            <w:pPr>
              <w:pStyle w:val="7"/>
              <w:pageBreakBefore w:val="0"/>
              <w:widowControl w:val="0"/>
              <w:wordWrap/>
              <w:overflowPunct/>
              <w:topLinePunct w:val="0"/>
              <w:bidi w:val="0"/>
              <w:spacing w:line="263" w:lineRule="auto"/>
              <w:rPr>
                <w:color w:val="auto"/>
                <w:spacing w:val="0"/>
                <w:position w:val="0"/>
              </w:rPr>
            </w:pPr>
          </w:p>
          <w:p w14:paraId="309D1F5B">
            <w:pPr>
              <w:pStyle w:val="7"/>
              <w:pageBreakBefore w:val="0"/>
              <w:widowControl w:val="0"/>
              <w:wordWrap/>
              <w:overflowPunct/>
              <w:topLinePunct w:val="0"/>
              <w:bidi w:val="0"/>
              <w:spacing w:line="264" w:lineRule="auto"/>
              <w:rPr>
                <w:color w:val="auto"/>
                <w:spacing w:val="0"/>
                <w:position w:val="0"/>
              </w:rPr>
            </w:pPr>
          </w:p>
          <w:p w14:paraId="1E3BFF19">
            <w:pPr>
              <w:pageBreakBefore w:val="0"/>
              <w:widowControl w:val="0"/>
              <w:wordWrap/>
              <w:overflowPunct/>
              <w:topLinePunct w:val="0"/>
              <w:bidi w:val="0"/>
              <w:spacing w:before="78" w:line="221" w:lineRule="auto"/>
              <w:ind w:left="192"/>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称</w:t>
            </w:r>
          </w:p>
        </w:tc>
        <w:tc>
          <w:tcPr>
            <w:tcW w:w="6150" w:type="dxa"/>
            <w:vAlign w:val="center"/>
          </w:tcPr>
          <w:p w14:paraId="0E11B00B">
            <w:pPr>
              <w:pageBreakBefore w:val="0"/>
              <w:widowControl w:val="0"/>
              <w:wordWrap/>
              <w:overflowPunct/>
              <w:topLinePunct w:val="0"/>
              <w:bidi w:val="0"/>
              <w:spacing w:before="253" w:line="219" w:lineRule="auto"/>
              <w:jc w:val="center"/>
              <w:rPr>
                <w:color w:val="auto"/>
                <w:spacing w:val="0"/>
                <w:position w:val="0"/>
              </w:rPr>
            </w:pPr>
            <w:r>
              <w:rPr>
                <w:rFonts w:hint="eastAsia" w:ascii="宋体" w:hAnsi="宋体" w:eastAsia="宋体" w:cs="宋体"/>
                <w:color w:val="auto"/>
                <w:spacing w:val="0"/>
                <w:position w:val="0"/>
                <w:sz w:val="24"/>
                <w:szCs w:val="24"/>
                <w:lang w:val="en-US" w:eastAsia="zh-CN"/>
              </w:rPr>
              <w:t>奉新县2026年乡镇民政服务站购买服务项目</w:t>
            </w:r>
          </w:p>
        </w:tc>
      </w:tr>
      <w:tr w14:paraId="44E294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865" w:type="dxa"/>
            <w:gridSpan w:val="2"/>
          </w:tcPr>
          <w:p w14:paraId="700D095A">
            <w:pPr>
              <w:pageBreakBefore w:val="0"/>
              <w:widowControl w:val="0"/>
              <w:wordWrap/>
              <w:overflowPunct/>
              <w:topLinePunct w:val="0"/>
              <w:bidi w:val="0"/>
              <w:spacing w:before="253" w:line="219" w:lineRule="auto"/>
              <w:ind w:left="1188"/>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数量</w:t>
            </w:r>
          </w:p>
        </w:tc>
        <w:tc>
          <w:tcPr>
            <w:tcW w:w="6150" w:type="dxa"/>
          </w:tcPr>
          <w:p w14:paraId="2F349A5E">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1项</w:t>
            </w:r>
          </w:p>
        </w:tc>
      </w:tr>
      <w:tr w14:paraId="4BD591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4F1711F5">
            <w:pPr>
              <w:pageBreakBefore w:val="0"/>
              <w:widowControl w:val="0"/>
              <w:wordWrap/>
              <w:overflowPunct/>
              <w:topLinePunct w:val="0"/>
              <w:bidi w:val="0"/>
              <w:spacing w:before="253" w:line="219" w:lineRule="auto"/>
              <w:ind w:left="1071"/>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期</w:t>
            </w:r>
          </w:p>
        </w:tc>
        <w:tc>
          <w:tcPr>
            <w:tcW w:w="6150" w:type="dxa"/>
          </w:tcPr>
          <w:p w14:paraId="25152DAD">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详见商务条件</w:t>
            </w:r>
          </w:p>
        </w:tc>
      </w:tr>
      <w:tr w14:paraId="3969F4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20569D79">
            <w:pPr>
              <w:pageBreakBefore w:val="0"/>
              <w:widowControl w:val="0"/>
              <w:wordWrap/>
              <w:overflowPunct/>
              <w:topLinePunct w:val="0"/>
              <w:bidi w:val="0"/>
              <w:spacing w:before="256" w:line="219" w:lineRule="auto"/>
              <w:ind w:left="951"/>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地点</w:t>
            </w:r>
          </w:p>
        </w:tc>
        <w:tc>
          <w:tcPr>
            <w:tcW w:w="6150" w:type="dxa"/>
          </w:tcPr>
          <w:p w14:paraId="6AF95DC6">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详见商务条件</w:t>
            </w:r>
          </w:p>
        </w:tc>
      </w:tr>
      <w:tr w14:paraId="74789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865" w:type="dxa"/>
            <w:gridSpan w:val="2"/>
          </w:tcPr>
          <w:p w14:paraId="54F338C6">
            <w:pPr>
              <w:pageBreakBefore w:val="0"/>
              <w:widowControl w:val="0"/>
              <w:wordWrap/>
              <w:overflowPunct/>
              <w:topLinePunct w:val="0"/>
              <w:bidi w:val="0"/>
              <w:spacing w:before="256" w:line="221" w:lineRule="auto"/>
              <w:ind w:left="1189"/>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备注</w:t>
            </w:r>
          </w:p>
        </w:tc>
        <w:tc>
          <w:tcPr>
            <w:tcW w:w="6150" w:type="dxa"/>
          </w:tcPr>
          <w:p w14:paraId="0DF1623E">
            <w:pPr>
              <w:pStyle w:val="7"/>
              <w:pageBreakBefore w:val="0"/>
              <w:widowControl w:val="0"/>
              <w:wordWrap/>
              <w:overflowPunct/>
              <w:topLinePunct w:val="0"/>
              <w:bidi w:val="0"/>
              <w:rPr>
                <w:color w:val="auto"/>
                <w:spacing w:val="0"/>
                <w:position w:val="0"/>
              </w:rPr>
            </w:pPr>
          </w:p>
        </w:tc>
      </w:tr>
    </w:tbl>
    <w:p w14:paraId="17675241">
      <w:pPr>
        <w:pageBreakBefore w:val="0"/>
        <w:widowControl w:val="0"/>
        <w:wordWrap/>
        <w:overflowPunct/>
        <w:topLinePunct w:val="0"/>
        <w:bidi w:val="0"/>
        <w:rPr>
          <w:color w:val="auto"/>
          <w:spacing w:val="0"/>
          <w:position w:val="0"/>
        </w:rPr>
      </w:pPr>
    </w:p>
    <w:p w14:paraId="16243D57">
      <w:pPr>
        <w:pageBreakBefore w:val="0"/>
        <w:widowControl w:val="0"/>
        <w:wordWrap/>
        <w:overflowPunct/>
        <w:topLinePunct w:val="0"/>
        <w:bidi w:val="0"/>
        <w:rPr>
          <w:color w:val="auto"/>
          <w:spacing w:val="0"/>
          <w:position w:val="0"/>
        </w:rPr>
        <w:sectPr>
          <w:footerReference r:id="rId3" w:type="default"/>
          <w:pgSz w:w="11906" w:h="16839"/>
          <w:pgMar w:top="1429" w:right="1786" w:bottom="1429" w:left="1786" w:header="0" w:footer="994" w:gutter="0"/>
          <w:pgNumType w:fmt="decimal"/>
          <w:cols w:space="720" w:num="1"/>
        </w:sectPr>
      </w:pPr>
    </w:p>
    <w:p w14:paraId="56C6DF95">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24"/>
          <w:szCs w:val="24"/>
        </w:rPr>
      </w:pPr>
      <w:bookmarkStart w:id="2" w:name="bookmark81"/>
      <w:bookmarkEnd w:id="2"/>
      <w:bookmarkStart w:id="3" w:name="_Toc5805"/>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二、采购需求</w:t>
      </w:r>
      <w:bookmarkEnd w:id="3"/>
    </w:p>
    <w:p w14:paraId="551FB056">
      <w:pPr>
        <w:pageBreakBefore w:val="0"/>
        <w:widowControl w:val="0"/>
        <w:wordWrap/>
        <w:overflowPunct/>
        <w:topLinePunct w:val="0"/>
        <w:bidi w:val="0"/>
        <w:spacing w:line="258" w:lineRule="auto"/>
        <w:rPr>
          <w:color w:val="auto"/>
          <w:spacing w:val="0"/>
          <w:position w:val="0"/>
        </w:rPr>
      </w:pPr>
    </w:p>
    <w:p w14:paraId="400FA9B4">
      <w:pPr>
        <w:pageBreakBefore w:val="0"/>
        <w:widowControl w:val="0"/>
        <w:wordWrap/>
        <w:overflowPunct/>
        <w:topLinePunct w:val="0"/>
        <w:bidi w:val="0"/>
        <w:spacing w:before="47" w:line="219" w:lineRule="auto"/>
        <w:jc w:val="center"/>
        <w:outlineLvl w:val="1"/>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pPr>
      <w:bookmarkStart w:id="4" w:name="_Toc27452"/>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 xml:space="preserve">（一） </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服务</w:t>
      </w: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需求</w:t>
      </w:r>
      <w:bookmarkEnd w:id="4"/>
    </w:p>
    <w:p w14:paraId="0714A690">
      <w:pPr>
        <w:bidi w:val="0"/>
        <w:spacing w:line="360" w:lineRule="auto"/>
        <w:ind w:firstLine="482" w:firstLineChars="200"/>
        <w:rPr>
          <w:rFonts w:hint="eastAsia" w:asciiTheme="minorEastAsia" w:hAnsiTheme="minorEastAsia" w:eastAsiaTheme="minorEastAsia" w:cstheme="minorEastAsia"/>
          <w:b/>
          <w:bCs/>
          <w:color w:val="auto"/>
          <w:sz w:val="24"/>
          <w:szCs w:val="24"/>
          <w:lang w:val="en-US" w:eastAsia="zh-CN"/>
        </w:rPr>
      </w:pPr>
      <w:r>
        <w:rPr>
          <w:rFonts w:hint="eastAsia" w:asciiTheme="minorEastAsia" w:hAnsiTheme="minorEastAsia" w:eastAsiaTheme="minorEastAsia" w:cstheme="minorEastAsia"/>
          <w:b/>
          <w:bCs/>
          <w:color w:val="auto"/>
          <w:sz w:val="24"/>
          <w:szCs w:val="24"/>
          <w:lang w:val="en-US" w:eastAsia="zh-CN"/>
        </w:rPr>
        <w:t>一、民政领域的社会工作服务。</w:t>
      </w:r>
    </w:p>
    <w:p w14:paraId="601AF2F9">
      <w:pPr>
        <w:bidi w:val="0"/>
        <w:spacing w:line="360" w:lineRule="auto"/>
        <w:ind w:firstLine="482" w:firstLineChars="200"/>
        <w:rPr>
          <w:rFonts w:hint="eastAsia" w:asciiTheme="minorEastAsia" w:hAnsiTheme="minorEastAsia" w:eastAsiaTheme="minorEastAsia" w:cstheme="minorEastAsia"/>
          <w:b/>
          <w:bCs/>
          <w:color w:val="auto"/>
          <w:sz w:val="24"/>
          <w:szCs w:val="24"/>
          <w:lang w:val="en-US" w:eastAsia="zh-CN"/>
        </w:rPr>
      </w:pPr>
      <w:r>
        <w:rPr>
          <w:rFonts w:hint="eastAsia" w:asciiTheme="minorEastAsia" w:hAnsiTheme="minorEastAsia" w:eastAsiaTheme="minorEastAsia" w:cstheme="minorEastAsia"/>
          <w:b/>
          <w:bCs/>
          <w:color w:val="auto"/>
          <w:sz w:val="24"/>
          <w:szCs w:val="24"/>
          <w:lang w:val="en-US" w:eastAsia="zh-CN"/>
        </w:rPr>
        <w:t xml:space="preserve">（一）服务对象 </w:t>
      </w:r>
    </w:p>
    <w:p w14:paraId="03F8C0D7">
      <w:pPr>
        <w:bidi w:val="0"/>
        <w:spacing w:line="360" w:lineRule="auto"/>
        <w:ind w:firstLine="480" w:firstLineChars="200"/>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最低生活保障人员、特困人员、低保边缘、支出型困难、临时救助等低收入家庭和特殊困难老年人、生活无着流浪乞讨人员、孤儿、事实无人抚养儿童、留守和困境儿童、重度残疾人、严重精神障碍患者等特殊群体，以及其他需要提供社会工作服务的民政服务对象。</w:t>
      </w:r>
    </w:p>
    <w:p w14:paraId="66841D48">
      <w:pPr>
        <w:bidi w:val="0"/>
        <w:spacing w:line="360" w:lineRule="auto"/>
        <w:ind w:firstLine="482" w:firstLineChars="200"/>
        <w:rPr>
          <w:rFonts w:hint="eastAsia" w:asciiTheme="minorEastAsia" w:hAnsiTheme="minorEastAsia" w:eastAsiaTheme="minorEastAsia" w:cstheme="minorEastAsia"/>
          <w:b/>
          <w:bCs/>
          <w:color w:val="auto"/>
          <w:sz w:val="24"/>
          <w:szCs w:val="24"/>
          <w:lang w:val="en-US" w:eastAsia="zh-CN"/>
        </w:rPr>
      </w:pPr>
      <w:r>
        <w:rPr>
          <w:rFonts w:hint="eastAsia" w:asciiTheme="minorEastAsia" w:hAnsiTheme="minorEastAsia" w:eastAsiaTheme="minorEastAsia" w:cstheme="minorEastAsia"/>
          <w:b/>
          <w:bCs/>
          <w:color w:val="auto"/>
          <w:sz w:val="24"/>
          <w:szCs w:val="24"/>
          <w:lang w:val="en-US" w:eastAsia="zh-CN"/>
        </w:rPr>
        <w:t>（二）服务内容</w:t>
      </w:r>
    </w:p>
    <w:p w14:paraId="488967AD">
      <w:pPr>
        <w:bidi w:val="0"/>
        <w:spacing w:line="360" w:lineRule="auto"/>
        <w:ind w:firstLine="482" w:firstLineChars="200"/>
        <w:rPr>
          <w:rFonts w:hint="eastAsia" w:asciiTheme="minorEastAsia" w:hAnsiTheme="minorEastAsia" w:eastAsiaTheme="minorEastAsia" w:cstheme="minorEastAsia"/>
          <w:b/>
          <w:bCs/>
          <w:color w:val="auto"/>
          <w:sz w:val="24"/>
          <w:szCs w:val="24"/>
          <w:lang w:val="en-US" w:eastAsia="zh-CN"/>
        </w:rPr>
      </w:pPr>
      <w:r>
        <w:rPr>
          <w:rFonts w:hint="eastAsia" w:asciiTheme="minorEastAsia" w:hAnsiTheme="minorEastAsia" w:eastAsiaTheme="minorEastAsia" w:cstheme="minorEastAsia"/>
          <w:b/>
          <w:bCs/>
          <w:color w:val="auto"/>
          <w:sz w:val="24"/>
          <w:szCs w:val="24"/>
          <w:lang w:val="en-US" w:eastAsia="zh-CN"/>
        </w:rPr>
        <w:t>1、民政领域政策宣传、咨询服务</w:t>
      </w:r>
    </w:p>
    <w:p w14:paraId="44FD264B">
      <w:pPr>
        <w:bidi w:val="0"/>
        <w:spacing w:line="360" w:lineRule="auto"/>
        <w:ind w:firstLine="480" w:firstLineChars="200"/>
        <w:rPr>
          <w:rFonts w:hint="eastAsia" w:asciiTheme="minorEastAsia" w:hAnsiTheme="minorEastAsia" w:eastAsiaTheme="minorEastAsia" w:cstheme="minorEastAsia"/>
          <w:b/>
          <w:bCs/>
          <w:color w:val="auto"/>
          <w:sz w:val="24"/>
          <w:szCs w:val="24"/>
          <w:lang w:val="en-US" w:eastAsia="zh-CN"/>
        </w:rPr>
      </w:pPr>
      <w:r>
        <w:rPr>
          <w:rFonts w:hint="eastAsia" w:asciiTheme="minorEastAsia" w:hAnsiTheme="minorEastAsia" w:eastAsiaTheme="minorEastAsia" w:cstheme="minorEastAsia"/>
          <w:b w:val="0"/>
          <w:i w:val="0"/>
          <w:color w:val="auto"/>
          <w:spacing w:val="0"/>
          <w:sz w:val="24"/>
          <w:szCs w:val="24"/>
        </w:rPr>
        <w:t>对全县村居进行全覆盖，对社会救助对象进行口头宣教、发放资料。在每个村委(居)宣传栏、公示栏等居民聚集地张贴 1M*2M的不干胶铜版纸宣传海报。举行一次政策集中宣传活动，预计发放宣传资料10000份。</w:t>
      </w:r>
    </w:p>
    <w:p w14:paraId="6C21E498">
      <w:pPr>
        <w:bidi w:val="0"/>
        <w:spacing w:line="360" w:lineRule="auto"/>
        <w:ind w:firstLine="482" w:firstLineChars="200"/>
        <w:rPr>
          <w:rFonts w:hint="eastAsia" w:asciiTheme="minorEastAsia" w:hAnsiTheme="minorEastAsia" w:eastAsiaTheme="minorEastAsia" w:cstheme="minorEastAsia"/>
          <w:b/>
          <w:bCs/>
          <w:color w:val="auto"/>
          <w:sz w:val="24"/>
          <w:szCs w:val="24"/>
          <w:lang w:val="en-US" w:eastAsia="zh-CN"/>
        </w:rPr>
      </w:pPr>
      <w:r>
        <w:rPr>
          <w:rFonts w:hint="eastAsia" w:asciiTheme="minorEastAsia" w:hAnsiTheme="minorEastAsia" w:eastAsiaTheme="minorEastAsia" w:cstheme="minorEastAsia"/>
          <w:b/>
          <w:bCs/>
          <w:color w:val="auto"/>
          <w:sz w:val="24"/>
          <w:szCs w:val="24"/>
          <w:lang w:val="en-US" w:eastAsia="zh-CN"/>
        </w:rPr>
        <w:t>2、民政领域服务对象入户调查及需求收集</w:t>
      </w:r>
    </w:p>
    <w:p w14:paraId="732528EC">
      <w:pPr>
        <w:keepNext w:val="0"/>
        <w:keepLines w:val="0"/>
        <w:pageBreakBefore w:val="0"/>
        <w:widowControl w:val="0"/>
        <w:kinsoku/>
        <w:wordWrap w:val="0"/>
        <w:overflowPunct/>
        <w:topLinePunct w:val="0"/>
        <w:autoSpaceDE/>
        <w:autoSpaceDN/>
        <w:bidi w:val="0"/>
        <w:adjustRightInd/>
        <w:snapToGrid/>
        <w:spacing w:before="0" w:after="0" w:line="360" w:lineRule="auto"/>
        <w:ind w:left="0" w:right="0" w:firstLine="480" w:firstLineChars="200"/>
        <w:jc w:val="both"/>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val="0"/>
          <w:i w:val="0"/>
          <w:color w:val="auto"/>
          <w:spacing w:val="0"/>
          <w:sz w:val="24"/>
          <w:szCs w:val="24"/>
        </w:rPr>
        <w:t>入户调查：负责新申请低保、特困人员以及临时救助对象家庭经济状况调查工作。深入到申请低保、特困人员以及临时救助对象家里，核实家庭收入情况和吃穿住用等实际生活情况。积极落实主动发现机制，协助做好新增社会救助对象排查、上报及信息收集工作，帮助申请对象了解需递交的申请材料和申请程序。</w:t>
      </w:r>
    </w:p>
    <w:p w14:paraId="1C8C13D5">
      <w:pPr>
        <w:keepNext w:val="0"/>
        <w:keepLines w:val="0"/>
        <w:pageBreakBefore w:val="0"/>
        <w:widowControl w:val="0"/>
        <w:kinsoku/>
        <w:wordWrap w:val="0"/>
        <w:overflowPunct/>
        <w:topLinePunct w:val="0"/>
        <w:autoSpaceDE/>
        <w:autoSpaceDN/>
        <w:bidi w:val="0"/>
        <w:adjustRightInd/>
        <w:snapToGrid/>
        <w:spacing w:before="0" w:after="0" w:line="360" w:lineRule="auto"/>
        <w:ind w:left="0" w:right="0" w:firstLine="480" w:firstLineChars="200"/>
        <w:jc w:val="both"/>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val="0"/>
          <w:i w:val="0"/>
          <w:color w:val="auto"/>
          <w:spacing w:val="0"/>
          <w:sz w:val="24"/>
          <w:szCs w:val="24"/>
        </w:rPr>
        <w:t>需求收集：深入基层、深入群众，直接面向群众，进行点对点、面对面服务。主动收集困难群众需求，完善困难群众和特殊群体个人档案。通过协助民政部门开展调查评估、建档访视、需求调研等进行科学评估分析需求，根据困难群众需求统筹设计、承接和实施服务项目。</w:t>
      </w:r>
    </w:p>
    <w:p w14:paraId="5E31A989">
      <w:pPr>
        <w:bidi w:val="0"/>
        <w:spacing w:line="360" w:lineRule="auto"/>
        <w:ind w:firstLine="480" w:firstLineChars="200"/>
        <w:rPr>
          <w:rFonts w:hint="eastAsia" w:asciiTheme="minorEastAsia" w:hAnsiTheme="minorEastAsia" w:eastAsiaTheme="minorEastAsia" w:cstheme="minorEastAsia"/>
          <w:b w:val="0"/>
          <w:i w:val="0"/>
          <w:color w:val="auto"/>
          <w:spacing w:val="0"/>
          <w:sz w:val="24"/>
          <w:szCs w:val="24"/>
        </w:rPr>
      </w:pPr>
      <w:r>
        <w:rPr>
          <w:rFonts w:hint="eastAsia" w:asciiTheme="minorEastAsia" w:hAnsiTheme="minorEastAsia" w:eastAsiaTheme="minorEastAsia" w:cstheme="minorEastAsia"/>
          <w:b w:val="0"/>
          <w:i w:val="0"/>
          <w:color w:val="auto"/>
          <w:spacing w:val="0"/>
          <w:sz w:val="24"/>
          <w:szCs w:val="24"/>
        </w:rPr>
        <w:t>预计每年入户调查需求建立档案对象约500户。</w:t>
      </w:r>
    </w:p>
    <w:p w14:paraId="661C1AB9">
      <w:pPr>
        <w:bidi w:val="0"/>
        <w:spacing w:line="360" w:lineRule="auto"/>
        <w:ind w:firstLine="482" w:firstLineChars="200"/>
        <w:rPr>
          <w:rFonts w:hint="default" w:asciiTheme="minorEastAsia" w:hAnsiTheme="minorEastAsia" w:eastAsiaTheme="minorEastAsia" w:cstheme="minorEastAsia"/>
          <w:b/>
          <w:bCs/>
          <w:i w:val="0"/>
          <w:color w:val="auto"/>
          <w:spacing w:val="0"/>
          <w:sz w:val="24"/>
          <w:szCs w:val="24"/>
          <w:lang w:val="en-US" w:eastAsia="zh-CN"/>
        </w:rPr>
      </w:pPr>
      <w:r>
        <w:rPr>
          <w:rFonts w:hint="eastAsia" w:asciiTheme="minorEastAsia" w:hAnsiTheme="minorEastAsia" w:eastAsiaTheme="minorEastAsia" w:cstheme="minorEastAsia"/>
          <w:b/>
          <w:bCs/>
          <w:i w:val="0"/>
          <w:color w:val="auto"/>
          <w:spacing w:val="0"/>
          <w:sz w:val="24"/>
          <w:szCs w:val="24"/>
          <w:lang w:val="en-US" w:eastAsia="zh-CN"/>
        </w:rPr>
        <w:t>3、</w:t>
      </w:r>
      <w:r>
        <w:rPr>
          <w:rFonts w:hint="default" w:asciiTheme="minorEastAsia" w:hAnsiTheme="minorEastAsia" w:eastAsiaTheme="minorEastAsia" w:cstheme="minorEastAsia"/>
          <w:b/>
          <w:bCs/>
          <w:i w:val="0"/>
          <w:color w:val="auto"/>
          <w:spacing w:val="0"/>
          <w:sz w:val="24"/>
          <w:szCs w:val="24"/>
          <w:lang w:val="en-US" w:eastAsia="zh-CN"/>
        </w:rPr>
        <w:t>民政领域社工服务提供</w:t>
      </w:r>
    </w:p>
    <w:p w14:paraId="6DA2034E">
      <w:pPr>
        <w:bidi w:val="0"/>
        <w:spacing w:line="360" w:lineRule="auto"/>
        <w:ind w:firstLine="480" w:firstLineChars="200"/>
        <w:rPr>
          <w:rFonts w:hint="default" w:asciiTheme="minorEastAsia" w:hAnsiTheme="minorEastAsia" w:eastAsiaTheme="minorEastAsia" w:cstheme="minorEastAsia"/>
          <w:b w:val="0"/>
          <w:i w:val="0"/>
          <w:color w:val="auto"/>
          <w:spacing w:val="0"/>
          <w:sz w:val="24"/>
          <w:szCs w:val="24"/>
          <w:lang w:val="en-US" w:eastAsia="zh-CN"/>
        </w:rPr>
      </w:pPr>
      <w:r>
        <w:rPr>
          <w:rFonts w:hint="default" w:asciiTheme="minorEastAsia" w:hAnsiTheme="minorEastAsia" w:eastAsiaTheme="minorEastAsia" w:cstheme="minorEastAsia"/>
          <w:b w:val="0"/>
          <w:i w:val="0"/>
          <w:color w:val="auto"/>
          <w:spacing w:val="0"/>
          <w:sz w:val="24"/>
          <w:szCs w:val="24"/>
          <w:lang w:val="en-US" w:eastAsia="zh-CN"/>
        </w:rPr>
        <w:t>针对特殊困难人员，如低保家庭中的重病重残人员，困境儿童，困难、独居、残疾等留守老年人群体，给予有针对性的人文关怀、精神慰 藉、心理疏导、社会融入、资源链接、能力提升等专业社工服务。运用社区工作、小组工作、个案工作三大工作方法，进一步帮助困难群众走出生活困境。每年完成社区活动100场；小组活动18个；个案 18个，可根据实际需求情况进行调整。</w:t>
      </w:r>
      <w:r>
        <w:rPr>
          <w:rFonts w:hint="default" w:asciiTheme="minorEastAsia" w:hAnsiTheme="minorEastAsia" w:eastAsiaTheme="minorEastAsia" w:cstheme="minorEastAsia"/>
          <w:b w:val="0"/>
          <w:i w:val="0"/>
          <w:color w:val="auto"/>
          <w:spacing w:val="0"/>
          <w:sz w:val="24"/>
          <w:szCs w:val="24"/>
          <w:lang w:val="en-US" w:eastAsia="zh-CN"/>
        </w:rPr>
        <w:tab/>
      </w:r>
    </w:p>
    <w:p w14:paraId="49B8DA3D">
      <w:pPr>
        <w:bidi w:val="0"/>
        <w:spacing w:line="360" w:lineRule="auto"/>
        <w:ind w:firstLine="482" w:firstLineChars="200"/>
        <w:rPr>
          <w:rFonts w:hint="default" w:asciiTheme="minorEastAsia" w:hAnsiTheme="minorEastAsia" w:eastAsiaTheme="minorEastAsia" w:cstheme="minorEastAsia"/>
          <w:b/>
          <w:bCs/>
          <w:i w:val="0"/>
          <w:color w:val="auto"/>
          <w:spacing w:val="0"/>
          <w:sz w:val="24"/>
          <w:szCs w:val="24"/>
          <w:lang w:val="en-US" w:eastAsia="zh-CN"/>
        </w:rPr>
      </w:pPr>
      <w:r>
        <w:rPr>
          <w:rFonts w:hint="eastAsia" w:asciiTheme="minorEastAsia" w:hAnsiTheme="minorEastAsia" w:eastAsiaTheme="minorEastAsia" w:cstheme="minorEastAsia"/>
          <w:b/>
          <w:bCs/>
          <w:i w:val="0"/>
          <w:color w:val="auto"/>
          <w:spacing w:val="0"/>
          <w:sz w:val="24"/>
          <w:szCs w:val="24"/>
          <w:lang w:val="en-US" w:eastAsia="zh-CN"/>
        </w:rPr>
        <w:t>4、</w:t>
      </w:r>
      <w:r>
        <w:rPr>
          <w:rFonts w:hint="default" w:asciiTheme="minorEastAsia" w:hAnsiTheme="minorEastAsia" w:eastAsiaTheme="minorEastAsia" w:cstheme="minorEastAsia"/>
          <w:b/>
          <w:bCs/>
          <w:i w:val="0"/>
          <w:color w:val="auto"/>
          <w:spacing w:val="0"/>
          <w:sz w:val="24"/>
          <w:szCs w:val="24"/>
          <w:lang w:val="en-US" w:eastAsia="zh-CN"/>
        </w:rPr>
        <w:t>心理关爱与精神慰藉</w:t>
      </w:r>
    </w:p>
    <w:p w14:paraId="03AA5836">
      <w:pPr>
        <w:bidi w:val="0"/>
        <w:spacing w:line="360" w:lineRule="auto"/>
        <w:ind w:firstLine="480" w:firstLineChars="200"/>
        <w:rPr>
          <w:rFonts w:hint="default" w:asciiTheme="minorEastAsia" w:hAnsiTheme="minorEastAsia" w:eastAsiaTheme="minorEastAsia" w:cstheme="minorEastAsia"/>
          <w:b w:val="0"/>
          <w:i w:val="0"/>
          <w:color w:val="auto"/>
          <w:spacing w:val="0"/>
          <w:sz w:val="24"/>
          <w:szCs w:val="24"/>
          <w:lang w:val="en-US" w:eastAsia="zh-CN"/>
        </w:rPr>
      </w:pPr>
      <w:r>
        <w:rPr>
          <w:rFonts w:hint="default" w:asciiTheme="minorEastAsia" w:hAnsiTheme="minorEastAsia" w:eastAsiaTheme="minorEastAsia" w:cstheme="minorEastAsia"/>
          <w:b w:val="0"/>
          <w:i w:val="0"/>
          <w:color w:val="auto"/>
          <w:spacing w:val="0"/>
          <w:sz w:val="24"/>
          <w:szCs w:val="24"/>
          <w:lang w:val="en-US" w:eastAsia="zh-CN"/>
        </w:rPr>
        <w:t>针对城镇解困脱困，重病重残、低保群众，在节日进行关爱与慰问。心理疏导与干预：个案心理咨询、情绪疏导、危机干预、家庭关系调解；精神慰藉与陪伴：聊天谈心、节日慰问、生日关怀、陪伴散步、情感支持；社区融入活动：组织集体活动、兴趣小组、邻里活动，减少孤独感。</w:t>
      </w:r>
    </w:p>
    <w:p w14:paraId="369AF38E">
      <w:pPr>
        <w:bidi w:val="0"/>
        <w:spacing w:line="360" w:lineRule="auto"/>
        <w:ind w:firstLine="482" w:firstLineChars="200"/>
        <w:rPr>
          <w:rFonts w:hint="default" w:asciiTheme="minorEastAsia" w:hAnsiTheme="minorEastAsia" w:eastAsiaTheme="minorEastAsia" w:cstheme="minorEastAsia"/>
          <w:b/>
          <w:bCs/>
          <w:i w:val="0"/>
          <w:color w:val="auto"/>
          <w:spacing w:val="0"/>
          <w:sz w:val="24"/>
          <w:szCs w:val="24"/>
          <w:lang w:val="en-US" w:eastAsia="zh-CN"/>
        </w:rPr>
      </w:pPr>
      <w:r>
        <w:rPr>
          <w:rFonts w:hint="eastAsia" w:asciiTheme="minorEastAsia" w:hAnsiTheme="minorEastAsia" w:eastAsiaTheme="minorEastAsia" w:cstheme="minorEastAsia"/>
          <w:b/>
          <w:bCs/>
          <w:i w:val="0"/>
          <w:color w:val="auto"/>
          <w:spacing w:val="0"/>
          <w:sz w:val="24"/>
          <w:szCs w:val="24"/>
          <w:lang w:val="en-US" w:eastAsia="zh-CN"/>
        </w:rPr>
        <w:t>5、</w:t>
      </w:r>
      <w:r>
        <w:rPr>
          <w:rFonts w:hint="default" w:asciiTheme="minorEastAsia" w:hAnsiTheme="minorEastAsia" w:eastAsiaTheme="minorEastAsia" w:cstheme="minorEastAsia"/>
          <w:b/>
          <w:bCs/>
          <w:i w:val="0"/>
          <w:color w:val="auto"/>
          <w:spacing w:val="0"/>
          <w:sz w:val="24"/>
          <w:szCs w:val="24"/>
          <w:lang w:val="en-US" w:eastAsia="zh-CN"/>
        </w:rPr>
        <w:t>城镇解困脱困家庭重病重残对象及重度失能残疾人探访关爱服务</w:t>
      </w:r>
    </w:p>
    <w:p w14:paraId="1175ABF6">
      <w:pPr>
        <w:bidi w:val="0"/>
        <w:spacing w:line="360" w:lineRule="auto"/>
        <w:ind w:firstLine="480" w:firstLineChars="200"/>
        <w:rPr>
          <w:rFonts w:hint="default" w:asciiTheme="minorEastAsia" w:hAnsiTheme="minorEastAsia" w:eastAsiaTheme="minorEastAsia" w:cstheme="minorEastAsia"/>
          <w:b w:val="0"/>
          <w:i w:val="0"/>
          <w:color w:val="auto"/>
          <w:spacing w:val="0"/>
          <w:sz w:val="24"/>
          <w:szCs w:val="24"/>
          <w:lang w:val="en-US" w:eastAsia="zh-CN"/>
        </w:rPr>
      </w:pPr>
      <w:r>
        <w:rPr>
          <w:rFonts w:hint="default" w:asciiTheme="minorEastAsia" w:hAnsiTheme="minorEastAsia" w:eastAsiaTheme="minorEastAsia" w:cstheme="minorEastAsia"/>
          <w:b w:val="0"/>
          <w:i w:val="0"/>
          <w:color w:val="auto"/>
          <w:spacing w:val="0"/>
          <w:sz w:val="24"/>
          <w:szCs w:val="24"/>
          <w:lang w:val="en-US" w:eastAsia="zh-CN"/>
        </w:rPr>
        <w:t>针对城镇解困脱困重病重残对象及重度失能残疾人，在每月一次“一问二看三查”探访关爱服务的基础上，详细摸排了解其健康状况、安全问题、精神状况等情况，关注其生活变化情况以及救助需求，并及时进行风险干预，反馈相关部门，做到“早发现、早报告、早救助”。(探访关爱预计100人)</w:t>
      </w:r>
      <w:r>
        <w:rPr>
          <w:rFonts w:hint="default" w:asciiTheme="minorEastAsia" w:hAnsiTheme="minorEastAsia" w:eastAsiaTheme="minorEastAsia" w:cstheme="minorEastAsia"/>
          <w:b w:val="0"/>
          <w:i w:val="0"/>
          <w:color w:val="auto"/>
          <w:spacing w:val="0"/>
          <w:sz w:val="24"/>
          <w:szCs w:val="24"/>
          <w:lang w:val="en-US" w:eastAsia="zh-CN"/>
        </w:rPr>
        <w:tab/>
      </w:r>
      <w:r>
        <w:rPr>
          <w:rFonts w:hint="default" w:asciiTheme="minorEastAsia" w:hAnsiTheme="minorEastAsia" w:eastAsiaTheme="minorEastAsia" w:cstheme="minorEastAsia"/>
          <w:b w:val="0"/>
          <w:i w:val="0"/>
          <w:color w:val="auto"/>
          <w:spacing w:val="0"/>
          <w:sz w:val="24"/>
          <w:szCs w:val="24"/>
          <w:lang w:val="en-US" w:eastAsia="zh-CN"/>
        </w:rPr>
        <w:tab/>
      </w:r>
    </w:p>
    <w:p w14:paraId="2F8B046C">
      <w:pPr>
        <w:bidi w:val="0"/>
        <w:spacing w:line="360" w:lineRule="auto"/>
        <w:ind w:firstLine="482" w:firstLineChars="200"/>
        <w:rPr>
          <w:rFonts w:hint="default" w:asciiTheme="minorEastAsia" w:hAnsiTheme="minorEastAsia" w:eastAsiaTheme="minorEastAsia" w:cstheme="minorEastAsia"/>
          <w:b/>
          <w:bCs/>
          <w:i w:val="0"/>
          <w:color w:val="auto"/>
          <w:spacing w:val="0"/>
          <w:sz w:val="24"/>
          <w:szCs w:val="24"/>
          <w:lang w:val="en-US" w:eastAsia="zh-CN"/>
        </w:rPr>
      </w:pPr>
      <w:r>
        <w:rPr>
          <w:rFonts w:hint="eastAsia" w:asciiTheme="minorEastAsia" w:hAnsiTheme="minorEastAsia" w:eastAsiaTheme="minorEastAsia" w:cstheme="minorEastAsia"/>
          <w:b/>
          <w:bCs/>
          <w:i w:val="0"/>
          <w:color w:val="auto"/>
          <w:spacing w:val="0"/>
          <w:sz w:val="24"/>
          <w:szCs w:val="24"/>
          <w:lang w:val="en-US" w:eastAsia="zh-CN"/>
        </w:rPr>
        <w:t>6、</w:t>
      </w:r>
      <w:r>
        <w:rPr>
          <w:rFonts w:hint="default" w:asciiTheme="minorEastAsia" w:hAnsiTheme="minorEastAsia" w:eastAsiaTheme="minorEastAsia" w:cstheme="minorEastAsia"/>
          <w:b/>
          <w:bCs/>
          <w:i w:val="0"/>
          <w:color w:val="auto"/>
          <w:spacing w:val="0"/>
          <w:sz w:val="24"/>
          <w:szCs w:val="24"/>
          <w:lang w:val="en-US" w:eastAsia="zh-CN"/>
        </w:rPr>
        <w:t>民政领域品牌服务活动</w:t>
      </w:r>
    </w:p>
    <w:p w14:paraId="4451A44F">
      <w:pPr>
        <w:bidi w:val="0"/>
        <w:spacing w:line="360" w:lineRule="auto"/>
        <w:ind w:firstLine="480" w:firstLineChars="200"/>
        <w:rPr>
          <w:rFonts w:hint="default" w:asciiTheme="minorEastAsia" w:hAnsiTheme="minorEastAsia" w:eastAsiaTheme="minorEastAsia" w:cstheme="minorEastAsia"/>
          <w:b w:val="0"/>
          <w:i w:val="0"/>
          <w:color w:val="auto"/>
          <w:spacing w:val="0"/>
          <w:sz w:val="24"/>
          <w:szCs w:val="24"/>
          <w:lang w:val="en-US" w:eastAsia="zh-CN"/>
        </w:rPr>
      </w:pPr>
      <w:r>
        <w:rPr>
          <w:rFonts w:hint="default" w:asciiTheme="minorEastAsia" w:hAnsiTheme="minorEastAsia" w:eastAsiaTheme="minorEastAsia" w:cstheme="minorEastAsia"/>
          <w:b w:val="0"/>
          <w:i w:val="0"/>
          <w:color w:val="auto"/>
          <w:spacing w:val="0"/>
          <w:sz w:val="24"/>
          <w:szCs w:val="24"/>
          <w:lang w:val="en-US" w:eastAsia="zh-CN"/>
        </w:rPr>
        <w:t>打造社会救助服务品牌，定期开展社会救助实践品牌服务，重点针对低保户、特困户、孤老孤儿、事实无人抚养儿童等特殊类型群体。全年开展5场走访慰问或社区服务活动。</w:t>
      </w:r>
    </w:p>
    <w:p w14:paraId="032B25B2">
      <w:pPr>
        <w:bidi w:val="0"/>
        <w:spacing w:line="360" w:lineRule="auto"/>
        <w:ind w:firstLine="482" w:firstLineChars="200"/>
        <w:rPr>
          <w:rFonts w:hint="default" w:asciiTheme="minorEastAsia" w:hAnsiTheme="minorEastAsia" w:eastAsiaTheme="minorEastAsia" w:cstheme="minorEastAsia"/>
          <w:b/>
          <w:bCs/>
          <w:i w:val="0"/>
          <w:color w:val="auto"/>
          <w:spacing w:val="0"/>
          <w:sz w:val="24"/>
          <w:szCs w:val="24"/>
          <w:lang w:val="en-US" w:eastAsia="zh-CN"/>
        </w:rPr>
      </w:pPr>
      <w:r>
        <w:rPr>
          <w:rFonts w:hint="eastAsia" w:asciiTheme="minorEastAsia" w:hAnsiTheme="minorEastAsia" w:eastAsiaTheme="minorEastAsia" w:cstheme="minorEastAsia"/>
          <w:b/>
          <w:bCs/>
          <w:i w:val="0"/>
          <w:color w:val="auto"/>
          <w:spacing w:val="0"/>
          <w:sz w:val="24"/>
          <w:szCs w:val="24"/>
          <w:lang w:val="en-US" w:eastAsia="zh-CN"/>
        </w:rPr>
        <w:t>7、</w:t>
      </w:r>
      <w:r>
        <w:rPr>
          <w:rFonts w:hint="default" w:asciiTheme="minorEastAsia" w:hAnsiTheme="minorEastAsia" w:eastAsiaTheme="minorEastAsia" w:cstheme="minorEastAsia"/>
          <w:b/>
          <w:bCs/>
          <w:i w:val="0"/>
          <w:color w:val="auto"/>
          <w:spacing w:val="0"/>
          <w:sz w:val="24"/>
          <w:szCs w:val="24"/>
          <w:lang w:val="en-US" w:eastAsia="zh-CN"/>
        </w:rPr>
        <w:t>民政领域智慧化创新服务</w:t>
      </w:r>
      <w:r>
        <w:rPr>
          <w:rFonts w:hint="default" w:asciiTheme="minorEastAsia" w:hAnsiTheme="minorEastAsia" w:eastAsiaTheme="minorEastAsia" w:cstheme="minorEastAsia"/>
          <w:b/>
          <w:bCs/>
          <w:i w:val="0"/>
          <w:color w:val="auto"/>
          <w:spacing w:val="0"/>
          <w:sz w:val="24"/>
          <w:szCs w:val="24"/>
          <w:lang w:val="en-US" w:eastAsia="zh-CN"/>
        </w:rPr>
        <w:tab/>
      </w:r>
    </w:p>
    <w:p w14:paraId="2C940712">
      <w:pPr>
        <w:bidi w:val="0"/>
        <w:spacing w:line="360" w:lineRule="auto"/>
        <w:ind w:firstLine="480" w:firstLineChars="200"/>
        <w:rPr>
          <w:rFonts w:hint="default" w:asciiTheme="minorEastAsia" w:hAnsiTheme="minorEastAsia" w:eastAsiaTheme="minorEastAsia" w:cstheme="minorEastAsia"/>
          <w:b w:val="0"/>
          <w:i w:val="0"/>
          <w:color w:val="auto"/>
          <w:spacing w:val="0"/>
          <w:sz w:val="24"/>
          <w:szCs w:val="24"/>
          <w:lang w:val="en-US" w:eastAsia="zh-CN"/>
        </w:rPr>
      </w:pPr>
      <w:r>
        <w:rPr>
          <w:rFonts w:hint="default" w:asciiTheme="minorEastAsia" w:hAnsiTheme="minorEastAsia" w:eastAsiaTheme="minorEastAsia" w:cstheme="minorEastAsia"/>
          <w:b w:val="0"/>
          <w:i w:val="0"/>
          <w:color w:val="auto"/>
          <w:spacing w:val="0"/>
          <w:sz w:val="24"/>
          <w:szCs w:val="24"/>
          <w:lang w:val="en-US" w:eastAsia="zh-CN"/>
        </w:rPr>
        <w:t>打造民政服务综合数据管理平台。以互联信息化、大数据智能技术为支撑，搭建数字化民政服务综合数据管理平台。（为期两年）</w:t>
      </w:r>
      <w:r>
        <w:rPr>
          <w:rFonts w:hint="default" w:asciiTheme="minorEastAsia" w:hAnsiTheme="minorEastAsia" w:eastAsiaTheme="minorEastAsia" w:cstheme="minorEastAsia"/>
          <w:b w:val="0"/>
          <w:i w:val="0"/>
          <w:color w:val="auto"/>
          <w:spacing w:val="0"/>
          <w:sz w:val="24"/>
          <w:szCs w:val="24"/>
          <w:lang w:val="en-US" w:eastAsia="zh-CN"/>
        </w:rPr>
        <w:tab/>
      </w:r>
    </w:p>
    <w:p w14:paraId="1B66A5C3">
      <w:pPr>
        <w:bidi w:val="0"/>
        <w:spacing w:line="360" w:lineRule="auto"/>
        <w:ind w:firstLine="482" w:firstLineChars="200"/>
        <w:rPr>
          <w:rFonts w:hint="default" w:asciiTheme="minorEastAsia" w:hAnsiTheme="minorEastAsia" w:eastAsiaTheme="minorEastAsia" w:cstheme="minorEastAsia"/>
          <w:b/>
          <w:bCs/>
          <w:i w:val="0"/>
          <w:color w:val="auto"/>
          <w:spacing w:val="0"/>
          <w:sz w:val="24"/>
          <w:szCs w:val="24"/>
          <w:lang w:val="en-US" w:eastAsia="zh-CN"/>
        </w:rPr>
      </w:pPr>
      <w:r>
        <w:rPr>
          <w:rFonts w:hint="eastAsia" w:asciiTheme="minorEastAsia" w:hAnsiTheme="minorEastAsia" w:eastAsiaTheme="minorEastAsia" w:cstheme="minorEastAsia"/>
          <w:b/>
          <w:bCs/>
          <w:i w:val="0"/>
          <w:color w:val="auto"/>
          <w:spacing w:val="0"/>
          <w:sz w:val="24"/>
          <w:szCs w:val="24"/>
          <w:lang w:val="en-US" w:eastAsia="zh-CN"/>
        </w:rPr>
        <w:t>8、</w:t>
      </w:r>
      <w:r>
        <w:rPr>
          <w:rFonts w:hint="default" w:asciiTheme="minorEastAsia" w:hAnsiTheme="minorEastAsia" w:eastAsiaTheme="minorEastAsia" w:cstheme="minorEastAsia"/>
          <w:b/>
          <w:bCs/>
          <w:i w:val="0"/>
          <w:color w:val="auto"/>
          <w:spacing w:val="0"/>
          <w:sz w:val="24"/>
          <w:szCs w:val="24"/>
          <w:lang w:val="en-US" w:eastAsia="zh-CN"/>
        </w:rPr>
        <w:t>其他社工工作服务</w:t>
      </w:r>
    </w:p>
    <w:p w14:paraId="14CE640B">
      <w:pPr>
        <w:bidi w:val="0"/>
        <w:spacing w:line="360" w:lineRule="auto"/>
        <w:ind w:firstLine="480" w:firstLineChars="200"/>
        <w:rPr>
          <w:color w:val="auto"/>
          <w:spacing w:val="0"/>
          <w:position w:val="0"/>
        </w:rPr>
      </w:pPr>
      <w:r>
        <w:rPr>
          <w:rFonts w:hint="default" w:asciiTheme="minorEastAsia" w:hAnsiTheme="minorEastAsia" w:eastAsiaTheme="minorEastAsia" w:cstheme="minorEastAsia"/>
          <w:b w:val="0"/>
          <w:i w:val="0"/>
          <w:color w:val="auto"/>
          <w:spacing w:val="0"/>
          <w:sz w:val="24"/>
          <w:szCs w:val="24"/>
          <w:lang w:val="en-US" w:eastAsia="zh-CN"/>
        </w:rPr>
        <w:t>根据政策需求和实际工作需要开展以下其他服务：为老养老领域的社会工作服务 (每年开展留守老人、空巢老人、特困老人等困难老人巡访不少于10户)；儿童妇女关爱保护领域的社会工作服务 (每年开展留守儿童、困境儿童、孤儿、事实无人抚养儿童、留守妇女等对象家庭随访和对象核查工作不少于10户)；社区治理领域的社会工作服务 (每年开展社区活动不少于2场)；社会事务领域的社会工作服务(每年开展移风易俗活动不少于10场。)；社会工作与社工人才队伍建设(每年在微信公众号发布宣传稿或宣传视频不少于10次)；甲方及有关部门交办的其他临时性工作</w:t>
      </w:r>
      <w:r>
        <w:rPr>
          <w:rFonts w:hint="eastAsia" w:asciiTheme="minorEastAsia" w:hAnsiTheme="minorEastAsia" w:eastAsiaTheme="minorEastAsia" w:cstheme="minorEastAsia"/>
          <w:b w:val="0"/>
          <w:i w:val="0"/>
          <w:color w:val="auto"/>
          <w:spacing w:val="0"/>
          <w:sz w:val="24"/>
          <w:szCs w:val="24"/>
          <w:lang w:val="en-US" w:eastAsia="zh-CN"/>
        </w:rPr>
        <w:t>。</w:t>
      </w:r>
    </w:p>
    <w:p w14:paraId="116602D0">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34" w:firstLineChars="200"/>
        <w:textAlignment w:val="baseline"/>
        <w:rPr>
          <w:rFonts w:hint="eastAsia" w:asciiTheme="minorEastAsia" w:hAnsiTheme="minorEastAsia" w:eastAsiaTheme="minorEastAsia" w:cstheme="minorEastAsia"/>
          <w:b/>
          <w:bCs/>
          <w:color w:val="auto"/>
          <w:spacing w:val="-12"/>
          <w:sz w:val="24"/>
          <w:szCs w:val="24"/>
        </w:rPr>
      </w:pPr>
      <w:r>
        <w:rPr>
          <w:rFonts w:hint="eastAsia" w:asciiTheme="minorEastAsia" w:hAnsiTheme="minorEastAsia" w:eastAsiaTheme="minorEastAsia" w:cstheme="minorEastAsia"/>
          <w:b/>
          <w:bCs/>
          <w:color w:val="auto"/>
          <w:spacing w:val="-12"/>
          <w:sz w:val="24"/>
          <w:szCs w:val="24"/>
          <w:lang w:val="en-US" w:eastAsia="zh-CN"/>
        </w:rPr>
        <w:t>（三）</w:t>
      </w:r>
      <w:r>
        <w:rPr>
          <w:rFonts w:hint="eastAsia" w:asciiTheme="minorEastAsia" w:hAnsiTheme="minorEastAsia" w:eastAsiaTheme="minorEastAsia" w:cstheme="minorEastAsia"/>
          <w:b/>
          <w:bCs/>
          <w:color w:val="auto"/>
          <w:spacing w:val="-12"/>
          <w:sz w:val="24"/>
          <w:szCs w:val="24"/>
        </w:rPr>
        <w:t>服务标准</w:t>
      </w:r>
    </w:p>
    <w:p w14:paraId="7D546EB7">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服务标准：符合国家标准、行业标准、主管部门相关文件</w:t>
      </w:r>
      <w:r>
        <w:rPr>
          <w:rFonts w:hint="eastAsia" w:asciiTheme="minorEastAsia" w:hAnsiTheme="minorEastAsia" w:eastAsiaTheme="minorEastAsia" w:cstheme="minorEastAsia"/>
          <w:color w:val="auto"/>
          <w:spacing w:val="-1"/>
          <w:sz w:val="24"/>
          <w:szCs w:val="24"/>
        </w:rPr>
        <w:t>标准要求，部分行业标准</w:t>
      </w:r>
      <w:r>
        <w:rPr>
          <w:rFonts w:hint="eastAsia" w:asciiTheme="minorEastAsia" w:hAnsiTheme="minorEastAsia" w:eastAsiaTheme="minorEastAsia" w:cstheme="minorEastAsia"/>
          <w:color w:val="auto"/>
          <w:sz w:val="24"/>
          <w:szCs w:val="24"/>
        </w:rPr>
        <w:t>参考如下(如合同实施过程中有新的标准实施</w:t>
      </w:r>
      <w:r>
        <w:rPr>
          <w:rFonts w:hint="eastAsia" w:asciiTheme="minorEastAsia" w:hAnsiTheme="minorEastAsia" w:eastAsiaTheme="minorEastAsia" w:cstheme="minorEastAsia"/>
          <w:color w:val="auto"/>
          <w:spacing w:val="-1"/>
          <w:sz w:val="24"/>
          <w:szCs w:val="24"/>
        </w:rPr>
        <w:t>，则按最新标准执行):</w:t>
      </w:r>
    </w:p>
    <w:p w14:paraId="39CDD500">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64" w:firstLineChars="20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4"/>
          <w:sz w:val="24"/>
          <w:szCs w:val="24"/>
        </w:rPr>
        <w:t>(1)《社会工作方法个案工作》</w:t>
      </w:r>
      <w:r>
        <w:rPr>
          <w:rFonts w:hint="eastAsia" w:asciiTheme="minorEastAsia" w:hAnsiTheme="minorEastAsia" w:eastAsiaTheme="minorEastAsia" w:cstheme="minorEastAsia"/>
          <w:color w:val="auto"/>
          <w:spacing w:val="-52"/>
          <w:sz w:val="24"/>
          <w:szCs w:val="24"/>
        </w:rPr>
        <w:t xml:space="preserve"> </w:t>
      </w:r>
      <w:r>
        <w:rPr>
          <w:rFonts w:hint="eastAsia" w:asciiTheme="minorEastAsia" w:hAnsiTheme="minorEastAsia" w:eastAsiaTheme="minorEastAsia" w:cstheme="minorEastAsia"/>
          <w:color w:val="auto"/>
          <w:spacing w:val="-4"/>
          <w:sz w:val="24"/>
          <w:szCs w:val="24"/>
        </w:rPr>
        <w:t>(MZ/T 094-2017)</w:t>
      </w:r>
    </w:p>
    <w:p w14:paraId="52112A59">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64" w:firstLineChars="20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4"/>
          <w:sz w:val="24"/>
          <w:szCs w:val="24"/>
        </w:rPr>
        <w:t>(2)《社会工作方法小组工作》</w:t>
      </w:r>
      <w:r>
        <w:rPr>
          <w:rFonts w:hint="eastAsia" w:asciiTheme="minorEastAsia" w:hAnsiTheme="minorEastAsia" w:eastAsiaTheme="minorEastAsia" w:cstheme="minorEastAsia"/>
          <w:color w:val="auto"/>
          <w:spacing w:val="-52"/>
          <w:sz w:val="24"/>
          <w:szCs w:val="24"/>
        </w:rPr>
        <w:t xml:space="preserve"> </w:t>
      </w:r>
      <w:r>
        <w:rPr>
          <w:rFonts w:hint="eastAsia" w:asciiTheme="minorEastAsia" w:hAnsiTheme="minorEastAsia" w:eastAsiaTheme="minorEastAsia" w:cstheme="minorEastAsia"/>
          <w:color w:val="auto"/>
          <w:spacing w:val="-4"/>
          <w:sz w:val="24"/>
          <w:szCs w:val="24"/>
        </w:rPr>
        <w:t>(MZ/T 095-2017)</w:t>
      </w:r>
    </w:p>
    <w:p w14:paraId="3E03AFF7">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64" w:firstLineChars="20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4"/>
          <w:sz w:val="24"/>
          <w:szCs w:val="24"/>
        </w:rPr>
        <w:t>(3)《社区社会工作服务指南》</w:t>
      </w:r>
      <w:r>
        <w:rPr>
          <w:rFonts w:hint="eastAsia" w:asciiTheme="minorEastAsia" w:hAnsiTheme="minorEastAsia" w:eastAsiaTheme="minorEastAsia" w:cstheme="minorEastAsia"/>
          <w:color w:val="auto"/>
          <w:spacing w:val="-52"/>
          <w:sz w:val="24"/>
          <w:szCs w:val="24"/>
        </w:rPr>
        <w:t xml:space="preserve"> </w:t>
      </w:r>
      <w:r>
        <w:rPr>
          <w:rFonts w:hint="eastAsia" w:asciiTheme="minorEastAsia" w:hAnsiTheme="minorEastAsia" w:eastAsiaTheme="minorEastAsia" w:cstheme="minorEastAsia"/>
          <w:color w:val="auto"/>
          <w:spacing w:val="-4"/>
          <w:sz w:val="24"/>
          <w:szCs w:val="24"/>
        </w:rPr>
        <w:t>(MZ/T 071-2016)</w:t>
      </w:r>
    </w:p>
    <w:p w14:paraId="427564FF">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64" w:firstLineChars="20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4"/>
          <w:sz w:val="24"/>
          <w:szCs w:val="24"/>
        </w:rPr>
        <w:t>(4)《儿童社会工作服务指南》</w:t>
      </w:r>
      <w:r>
        <w:rPr>
          <w:rFonts w:hint="eastAsia" w:asciiTheme="minorEastAsia" w:hAnsiTheme="minorEastAsia" w:eastAsiaTheme="minorEastAsia" w:cstheme="minorEastAsia"/>
          <w:color w:val="auto"/>
          <w:spacing w:val="-52"/>
          <w:sz w:val="24"/>
          <w:szCs w:val="24"/>
        </w:rPr>
        <w:t xml:space="preserve"> </w:t>
      </w:r>
      <w:r>
        <w:rPr>
          <w:rFonts w:hint="eastAsia" w:asciiTheme="minorEastAsia" w:hAnsiTheme="minorEastAsia" w:eastAsiaTheme="minorEastAsia" w:cstheme="minorEastAsia"/>
          <w:color w:val="auto"/>
          <w:spacing w:val="-4"/>
          <w:sz w:val="24"/>
          <w:szCs w:val="24"/>
        </w:rPr>
        <w:t>(MZ/T 058-2014)</w:t>
      </w:r>
    </w:p>
    <w:p w14:paraId="63E05A2A">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64" w:firstLineChars="20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4"/>
          <w:sz w:val="24"/>
          <w:szCs w:val="24"/>
        </w:rPr>
        <w:t>(5)《老年社会工作服务指南》</w:t>
      </w:r>
      <w:r>
        <w:rPr>
          <w:rFonts w:hint="eastAsia" w:asciiTheme="minorEastAsia" w:hAnsiTheme="minorEastAsia" w:eastAsiaTheme="minorEastAsia" w:cstheme="minorEastAsia"/>
          <w:color w:val="auto"/>
          <w:spacing w:val="-52"/>
          <w:sz w:val="24"/>
          <w:szCs w:val="24"/>
        </w:rPr>
        <w:t xml:space="preserve"> </w:t>
      </w:r>
      <w:r>
        <w:rPr>
          <w:rFonts w:hint="eastAsia" w:asciiTheme="minorEastAsia" w:hAnsiTheme="minorEastAsia" w:eastAsiaTheme="minorEastAsia" w:cstheme="minorEastAsia"/>
          <w:color w:val="auto"/>
          <w:spacing w:val="-4"/>
          <w:sz w:val="24"/>
          <w:szCs w:val="24"/>
        </w:rPr>
        <w:t>(MZ/T 064-2016)</w:t>
      </w:r>
    </w:p>
    <w:p w14:paraId="7E663B41">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68" w:firstLineChars="20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3"/>
          <w:sz w:val="24"/>
          <w:szCs w:val="24"/>
        </w:rPr>
        <w:t>(6)《青少年社会工作服务指南》</w:t>
      </w:r>
      <w:r>
        <w:rPr>
          <w:rFonts w:hint="eastAsia" w:asciiTheme="minorEastAsia" w:hAnsiTheme="minorEastAsia" w:eastAsiaTheme="minorEastAsia" w:cstheme="minorEastAsia"/>
          <w:color w:val="auto"/>
          <w:spacing w:val="-68"/>
          <w:sz w:val="24"/>
          <w:szCs w:val="24"/>
        </w:rPr>
        <w:t xml:space="preserve"> </w:t>
      </w:r>
      <w:r>
        <w:rPr>
          <w:rFonts w:hint="eastAsia" w:asciiTheme="minorEastAsia" w:hAnsiTheme="minorEastAsia" w:eastAsiaTheme="minorEastAsia" w:cstheme="minorEastAsia"/>
          <w:color w:val="auto"/>
          <w:spacing w:val="-3"/>
          <w:sz w:val="24"/>
          <w:szCs w:val="24"/>
        </w:rPr>
        <w:t>(GB/1369</w:t>
      </w:r>
      <w:r>
        <w:rPr>
          <w:rFonts w:hint="eastAsia" w:asciiTheme="minorEastAsia" w:hAnsiTheme="minorEastAsia" w:eastAsiaTheme="minorEastAsia" w:cstheme="minorEastAsia"/>
          <w:color w:val="auto"/>
          <w:spacing w:val="-4"/>
          <w:sz w:val="24"/>
          <w:szCs w:val="24"/>
        </w:rPr>
        <w:t>67-2018)</w:t>
      </w:r>
    </w:p>
    <w:p w14:paraId="4E079710">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60" w:firstLineChars="20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5"/>
          <w:sz w:val="24"/>
          <w:szCs w:val="24"/>
        </w:rPr>
        <w:t>(7)《社会工作督导指南》</w:t>
      </w:r>
      <w:r>
        <w:rPr>
          <w:rFonts w:hint="eastAsia" w:asciiTheme="minorEastAsia" w:hAnsiTheme="minorEastAsia" w:eastAsiaTheme="minorEastAsia" w:cstheme="minorEastAsia"/>
          <w:color w:val="auto"/>
          <w:spacing w:val="-64"/>
          <w:sz w:val="24"/>
          <w:szCs w:val="24"/>
        </w:rPr>
        <w:t xml:space="preserve"> </w:t>
      </w:r>
      <w:r>
        <w:rPr>
          <w:rFonts w:hint="eastAsia" w:asciiTheme="minorEastAsia" w:hAnsiTheme="minorEastAsia" w:eastAsiaTheme="minorEastAsia" w:cstheme="minorEastAsia"/>
          <w:color w:val="auto"/>
          <w:spacing w:val="-5"/>
          <w:sz w:val="24"/>
          <w:szCs w:val="24"/>
        </w:rPr>
        <w:t>(MZ/T</w:t>
      </w:r>
      <w:r>
        <w:rPr>
          <w:rFonts w:hint="eastAsia" w:asciiTheme="minorEastAsia" w:hAnsiTheme="minorEastAsia" w:eastAsiaTheme="minorEastAsia" w:cstheme="minorEastAsia"/>
          <w:color w:val="auto"/>
          <w:spacing w:val="27"/>
          <w:sz w:val="24"/>
          <w:szCs w:val="24"/>
        </w:rPr>
        <w:t xml:space="preserve"> </w:t>
      </w:r>
      <w:r>
        <w:rPr>
          <w:rFonts w:hint="eastAsia" w:asciiTheme="minorEastAsia" w:hAnsiTheme="minorEastAsia" w:eastAsiaTheme="minorEastAsia" w:cstheme="minorEastAsia"/>
          <w:color w:val="auto"/>
          <w:spacing w:val="-5"/>
          <w:sz w:val="24"/>
          <w:szCs w:val="24"/>
        </w:rPr>
        <w:t>166-2021)</w:t>
      </w:r>
    </w:p>
    <w:p w14:paraId="05470561">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68" w:firstLineChars="20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3"/>
          <w:sz w:val="24"/>
          <w:szCs w:val="24"/>
        </w:rPr>
        <w:t>(8)《社会工作服务项目绩效评估指南》</w:t>
      </w:r>
      <w:r>
        <w:rPr>
          <w:rFonts w:hint="eastAsia" w:asciiTheme="minorEastAsia" w:hAnsiTheme="minorEastAsia" w:eastAsiaTheme="minorEastAsia" w:cstheme="minorEastAsia"/>
          <w:color w:val="auto"/>
          <w:spacing w:val="-58"/>
          <w:sz w:val="24"/>
          <w:szCs w:val="24"/>
        </w:rPr>
        <w:t xml:space="preserve"> </w:t>
      </w:r>
      <w:r>
        <w:rPr>
          <w:rFonts w:hint="eastAsia" w:asciiTheme="minorEastAsia" w:hAnsiTheme="minorEastAsia" w:eastAsiaTheme="minorEastAsia" w:cstheme="minorEastAsia"/>
          <w:color w:val="auto"/>
          <w:spacing w:val="-3"/>
          <w:sz w:val="24"/>
          <w:szCs w:val="24"/>
        </w:rPr>
        <w:t>(MZ</w:t>
      </w:r>
      <w:r>
        <w:rPr>
          <w:rFonts w:hint="eastAsia" w:asciiTheme="minorEastAsia" w:hAnsiTheme="minorEastAsia" w:eastAsiaTheme="minorEastAsia" w:cstheme="minorEastAsia"/>
          <w:color w:val="auto"/>
          <w:spacing w:val="-4"/>
          <w:sz w:val="24"/>
          <w:szCs w:val="24"/>
        </w:rPr>
        <w:t>/T 059-2014)</w:t>
      </w:r>
    </w:p>
    <w:p w14:paraId="3C34961B">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68" w:firstLineChars="20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3"/>
          <w:sz w:val="24"/>
          <w:szCs w:val="24"/>
        </w:rPr>
        <w:t>(9)《养老机构社会工作服务规范》</w:t>
      </w:r>
      <w:r>
        <w:rPr>
          <w:rFonts w:hint="eastAsia" w:asciiTheme="minorEastAsia" w:hAnsiTheme="minorEastAsia" w:eastAsiaTheme="minorEastAsia" w:cstheme="minorEastAsia"/>
          <w:color w:val="auto"/>
          <w:spacing w:val="-68"/>
          <w:sz w:val="24"/>
          <w:szCs w:val="24"/>
        </w:rPr>
        <w:t xml:space="preserve"> </w:t>
      </w:r>
      <w:r>
        <w:rPr>
          <w:rFonts w:hint="eastAsia" w:asciiTheme="minorEastAsia" w:hAnsiTheme="minorEastAsia" w:eastAsiaTheme="minorEastAsia" w:cstheme="minorEastAsia"/>
          <w:color w:val="auto"/>
          <w:spacing w:val="-3"/>
          <w:sz w:val="24"/>
          <w:szCs w:val="24"/>
        </w:rPr>
        <w:t>(MZ/T 1</w:t>
      </w:r>
      <w:r>
        <w:rPr>
          <w:rFonts w:hint="eastAsia" w:asciiTheme="minorEastAsia" w:hAnsiTheme="minorEastAsia" w:eastAsiaTheme="minorEastAsia" w:cstheme="minorEastAsia"/>
          <w:color w:val="auto"/>
          <w:spacing w:val="-4"/>
          <w:sz w:val="24"/>
          <w:szCs w:val="24"/>
        </w:rPr>
        <w:t>69-2021)</w:t>
      </w:r>
    </w:p>
    <w:p w14:paraId="16198DDB">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68" w:firstLineChars="20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3"/>
          <w:sz w:val="24"/>
          <w:szCs w:val="24"/>
        </w:rPr>
        <w:t>(10)《儿童福利机构社会工作服务规范》</w:t>
      </w:r>
      <w:r>
        <w:rPr>
          <w:rFonts w:hint="eastAsia" w:asciiTheme="minorEastAsia" w:hAnsiTheme="minorEastAsia" w:eastAsiaTheme="minorEastAsia" w:cstheme="minorEastAsia"/>
          <w:color w:val="auto"/>
          <w:spacing w:val="-67"/>
          <w:sz w:val="24"/>
          <w:szCs w:val="24"/>
        </w:rPr>
        <w:t xml:space="preserve"> </w:t>
      </w:r>
      <w:r>
        <w:rPr>
          <w:rFonts w:hint="eastAsia" w:asciiTheme="minorEastAsia" w:hAnsiTheme="minorEastAsia" w:eastAsiaTheme="minorEastAsia" w:cstheme="minorEastAsia"/>
          <w:color w:val="auto"/>
          <w:spacing w:val="-3"/>
          <w:sz w:val="24"/>
          <w:szCs w:val="24"/>
        </w:rPr>
        <w:t>(MZ/T 167-2021)</w:t>
      </w:r>
    </w:p>
    <w:p w14:paraId="2D5EAE10">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60" w:firstLineChars="20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5"/>
          <w:sz w:val="24"/>
          <w:szCs w:val="24"/>
        </w:rPr>
        <w:t>(11)《志愿服务基本术语》</w:t>
      </w:r>
      <w:r>
        <w:rPr>
          <w:rFonts w:hint="eastAsia" w:asciiTheme="minorEastAsia" w:hAnsiTheme="minorEastAsia" w:eastAsiaTheme="minorEastAsia" w:cstheme="minorEastAsia"/>
          <w:color w:val="auto"/>
          <w:spacing w:val="-59"/>
          <w:sz w:val="24"/>
          <w:szCs w:val="24"/>
        </w:rPr>
        <w:t xml:space="preserve"> </w:t>
      </w:r>
      <w:r>
        <w:rPr>
          <w:rFonts w:hint="eastAsia" w:asciiTheme="minorEastAsia" w:hAnsiTheme="minorEastAsia" w:eastAsiaTheme="minorEastAsia" w:cstheme="minorEastAsia"/>
          <w:color w:val="auto"/>
          <w:spacing w:val="-5"/>
          <w:sz w:val="24"/>
          <w:szCs w:val="24"/>
        </w:rPr>
        <w:t>(MZ/T</w:t>
      </w:r>
      <w:r>
        <w:rPr>
          <w:rFonts w:hint="eastAsia" w:asciiTheme="minorEastAsia" w:hAnsiTheme="minorEastAsia" w:eastAsiaTheme="minorEastAsia" w:cstheme="minorEastAsia"/>
          <w:color w:val="auto"/>
          <w:spacing w:val="27"/>
          <w:sz w:val="24"/>
          <w:szCs w:val="24"/>
        </w:rPr>
        <w:t xml:space="preserve"> </w:t>
      </w:r>
      <w:r>
        <w:rPr>
          <w:rFonts w:hint="eastAsia" w:asciiTheme="minorEastAsia" w:hAnsiTheme="minorEastAsia" w:eastAsiaTheme="minorEastAsia" w:cstheme="minorEastAsia"/>
          <w:color w:val="auto"/>
          <w:spacing w:val="-5"/>
          <w:sz w:val="24"/>
          <w:szCs w:val="24"/>
        </w:rPr>
        <w:t>148-2020)</w:t>
      </w:r>
    </w:p>
    <w:p w14:paraId="657F4043">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34" w:firstLineChars="200"/>
        <w:textAlignment w:val="baseline"/>
        <w:rPr>
          <w:rFonts w:hint="eastAsia" w:asciiTheme="minorEastAsia" w:hAnsiTheme="minorEastAsia" w:eastAsiaTheme="minorEastAsia" w:cstheme="minorEastAsia"/>
          <w:b/>
          <w:bCs/>
          <w:color w:val="auto"/>
          <w:spacing w:val="-12"/>
          <w:sz w:val="24"/>
          <w:szCs w:val="24"/>
          <w:lang w:val="en-US" w:eastAsia="zh-CN"/>
        </w:rPr>
      </w:pPr>
      <w:r>
        <w:rPr>
          <w:rFonts w:hint="eastAsia" w:asciiTheme="minorEastAsia" w:hAnsiTheme="minorEastAsia" w:eastAsiaTheme="minorEastAsia" w:cstheme="minorEastAsia"/>
          <w:b/>
          <w:bCs/>
          <w:color w:val="auto"/>
          <w:spacing w:val="-12"/>
          <w:sz w:val="24"/>
          <w:szCs w:val="24"/>
          <w:lang w:val="en-US" w:eastAsia="zh-CN"/>
        </w:rPr>
        <w:t>（四）服务要求</w:t>
      </w:r>
    </w:p>
    <w:p w14:paraId="718A2D5F">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1</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安排2</w:t>
      </w:r>
      <w:r>
        <w:rPr>
          <w:rFonts w:hint="eastAsia" w:asciiTheme="minorEastAsia" w:hAnsiTheme="minorEastAsia" w:eastAsiaTheme="minorEastAsia" w:cstheme="minorEastAsia"/>
          <w:color w:val="auto"/>
          <w:sz w:val="24"/>
          <w:szCs w:val="24"/>
          <w:lang w:val="en-US" w:eastAsia="zh-CN"/>
        </w:rPr>
        <w:t>3</w:t>
      </w:r>
      <w:r>
        <w:rPr>
          <w:rFonts w:hint="eastAsia" w:asciiTheme="minorEastAsia" w:hAnsiTheme="minorEastAsia" w:eastAsiaTheme="minorEastAsia" w:cstheme="minorEastAsia"/>
          <w:color w:val="auto"/>
          <w:sz w:val="24"/>
          <w:szCs w:val="24"/>
        </w:rPr>
        <w:t>名专业工作人员在奉新县自辖范围驻点服务，协助开展社会工作服务站社会救助等专业服务。</w:t>
      </w:r>
    </w:p>
    <w:p w14:paraId="635ABBD0">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2</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驻点工作人员原则上要求大专或以上学历，年龄</w:t>
      </w:r>
      <w:r>
        <w:rPr>
          <w:rFonts w:hint="eastAsia" w:asciiTheme="minorEastAsia" w:hAnsiTheme="minorEastAsia" w:eastAsiaTheme="minorEastAsia" w:cstheme="minorEastAsia"/>
          <w:color w:val="auto"/>
          <w:sz w:val="24"/>
          <w:szCs w:val="24"/>
          <w:lang w:val="en-US" w:eastAsia="zh-CN"/>
        </w:rPr>
        <w:t>45</w:t>
      </w:r>
      <w:r>
        <w:rPr>
          <w:rFonts w:hint="eastAsia" w:asciiTheme="minorEastAsia" w:hAnsiTheme="minorEastAsia" w:eastAsiaTheme="minorEastAsia" w:cstheme="minorEastAsia"/>
          <w:color w:val="auto"/>
          <w:sz w:val="24"/>
          <w:szCs w:val="24"/>
        </w:rPr>
        <w:t>周岁以下，持有社会工作师证人员、应届优秀毕业生优先，工作人员必需具备与岗位要求相适应的业务素质和工作技能，须能熟练掌握办公软件，能独立撰写文稿，能独立组织和策划社工服务和活动</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要有良好的沟通协调能力和工作责任心。能接受法定工作时间之外因工作需要安排的值班、加班、出差或开展社工服务活动。所招聘的工作人员身体健康，无重大疾病史和传染病史，无残疾及其它生理缺陷</w:t>
      </w:r>
      <w:r>
        <w:rPr>
          <w:rFonts w:hint="eastAsia" w:asciiTheme="minorEastAsia" w:hAnsiTheme="minorEastAsia" w:eastAsiaTheme="minorEastAsia" w:cstheme="minorEastAsia"/>
          <w:color w:val="auto"/>
          <w:sz w:val="24"/>
          <w:szCs w:val="24"/>
          <w:lang w:eastAsia="zh-CN"/>
        </w:rPr>
        <w:t>。</w:t>
      </w:r>
    </w:p>
    <w:p w14:paraId="639ED838">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3</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val="en-US" w:eastAsia="zh-CN"/>
        </w:rPr>
        <w:t>成交供应商</w:t>
      </w:r>
      <w:r>
        <w:rPr>
          <w:rFonts w:hint="eastAsia" w:asciiTheme="minorEastAsia" w:hAnsiTheme="minorEastAsia" w:eastAsiaTheme="minorEastAsia" w:cstheme="minorEastAsia"/>
          <w:color w:val="auto"/>
          <w:sz w:val="24"/>
          <w:szCs w:val="24"/>
        </w:rPr>
        <w:t>应在</w:t>
      </w:r>
      <w:r>
        <w:rPr>
          <w:rFonts w:hint="eastAsia" w:asciiTheme="minorEastAsia" w:hAnsiTheme="minorEastAsia" w:eastAsiaTheme="minorEastAsia" w:cstheme="minorEastAsia"/>
          <w:color w:val="auto"/>
          <w:sz w:val="24"/>
          <w:szCs w:val="24"/>
          <w:lang w:val="en-US" w:eastAsia="zh-CN"/>
        </w:rPr>
        <w:t>采购人</w:t>
      </w:r>
      <w:r>
        <w:rPr>
          <w:rFonts w:hint="eastAsia" w:asciiTheme="minorEastAsia" w:hAnsiTheme="minorEastAsia" w:eastAsiaTheme="minorEastAsia" w:cstheme="minorEastAsia"/>
          <w:color w:val="auto"/>
          <w:sz w:val="24"/>
          <w:szCs w:val="24"/>
        </w:rPr>
        <w:t>指导和监督下，公开、公正、公平组织开展招聘工作，工作人员应遵守工作制度及相关规定，如不能胜任本项工作或因其他原因而不能坚持的须及时更换。</w:t>
      </w:r>
    </w:p>
    <w:p w14:paraId="6F4AAD00">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4</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民政局聘请第三方机构对项目进行中期评估和末期评估，评估费用按照中标总价的</w:t>
      </w:r>
      <w:r>
        <w:rPr>
          <w:rFonts w:hint="eastAsia" w:asciiTheme="minorEastAsia" w:hAnsiTheme="minorEastAsia" w:eastAsiaTheme="minorEastAsia" w:cstheme="minorEastAsia"/>
          <w:color w:val="auto"/>
          <w:sz w:val="24"/>
          <w:szCs w:val="24"/>
          <w:lang w:val="en-US" w:eastAsia="zh-CN"/>
        </w:rPr>
        <w:t>3</w:t>
      </w:r>
      <w:r>
        <w:rPr>
          <w:rFonts w:hint="eastAsia" w:asciiTheme="minorEastAsia" w:hAnsiTheme="minorEastAsia" w:eastAsiaTheme="minorEastAsia" w:cstheme="minorEastAsia"/>
          <w:color w:val="auto"/>
          <w:sz w:val="24"/>
          <w:szCs w:val="24"/>
        </w:rPr>
        <w:t>%预算，由中标单位承担。</w:t>
      </w:r>
    </w:p>
    <w:p w14:paraId="6BD831D7">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34" w:firstLineChars="200"/>
        <w:textAlignment w:val="baseline"/>
        <w:rPr>
          <w:rFonts w:hint="eastAsia" w:asciiTheme="minorEastAsia" w:hAnsiTheme="minorEastAsia" w:eastAsiaTheme="minorEastAsia" w:cstheme="minorEastAsia"/>
          <w:b/>
          <w:bCs/>
          <w:color w:val="auto"/>
          <w:spacing w:val="-12"/>
          <w:sz w:val="24"/>
          <w:szCs w:val="24"/>
          <w:lang w:val="en-US" w:eastAsia="zh-CN"/>
        </w:rPr>
      </w:pPr>
      <w:r>
        <w:rPr>
          <w:rFonts w:hint="eastAsia" w:asciiTheme="minorEastAsia" w:hAnsiTheme="minorEastAsia" w:eastAsiaTheme="minorEastAsia" w:cstheme="minorEastAsia"/>
          <w:b/>
          <w:bCs/>
          <w:color w:val="auto"/>
          <w:spacing w:val="-12"/>
          <w:sz w:val="24"/>
          <w:szCs w:val="24"/>
          <w:lang w:val="en-US" w:eastAsia="zh-CN"/>
        </w:rPr>
        <w:t>（五）考核评估</w:t>
      </w:r>
    </w:p>
    <w:p w14:paraId="741D4844">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成交供应商根据服务协议和服务清单，派遣社工驻站，组织开展专业服务，完善财务管理、人员管理、档案管理等相关制度，依法依规进行财务管理和会计核算，定期向民政局报告项目实施情况（含但不仅限于：月度计划、月底简报、中总结报告、末期总结报告），并接受民政、财政、审计等部门的监督检查。县民政局定期组织对“奉新县2026年乡镇民政服务站购买服务项目”成交供应商的工作开展情况进行评估。</w:t>
      </w:r>
    </w:p>
    <w:p w14:paraId="30C3B59A">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34" w:firstLineChars="200"/>
        <w:textAlignment w:val="baseline"/>
        <w:rPr>
          <w:rFonts w:hint="eastAsia" w:asciiTheme="minorEastAsia" w:hAnsiTheme="minorEastAsia" w:eastAsiaTheme="minorEastAsia" w:cstheme="minorEastAsia"/>
          <w:b/>
          <w:bCs/>
          <w:color w:val="auto"/>
          <w:spacing w:val="-12"/>
          <w:sz w:val="24"/>
          <w:szCs w:val="24"/>
          <w:lang w:val="en-US" w:eastAsia="zh-CN"/>
        </w:rPr>
      </w:pPr>
      <w:r>
        <w:rPr>
          <w:rFonts w:hint="eastAsia" w:asciiTheme="minorEastAsia" w:hAnsiTheme="minorEastAsia" w:eastAsiaTheme="minorEastAsia" w:cstheme="minorEastAsia"/>
          <w:b/>
          <w:bCs/>
          <w:color w:val="auto"/>
          <w:spacing w:val="-12"/>
          <w:sz w:val="24"/>
          <w:szCs w:val="24"/>
          <w:lang w:val="en-US" w:eastAsia="zh-CN"/>
        </w:rPr>
        <w:t>二、监督考核机制</w:t>
      </w:r>
    </w:p>
    <w:p w14:paraId="4DA0F63E">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（一）考核原则</w:t>
      </w:r>
    </w:p>
    <w:p w14:paraId="5C87B0C3">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1.公平、公正、公开的原则；</w:t>
      </w:r>
    </w:p>
    <w:p w14:paraId="48B18C00">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2.量化考核、注重成效、奖励与惩处相结合的原则；</w:t>
      </w:r>
    </w:p>
    <w:p w14:paraId="557D84F3">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3.严格标准、实事求是的原则。</w:t>
      </w:r>
    </w:p>
    <w:p w14:paraId="1721CAE1">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（二）考核内容</w:t>
      </w:r>
    </w:p>
    <w:p w14:paraId="3BC18558">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对成交服务商的社会救助服务效果等进行全方位的考核。</w:t>
      </w:r>
    </w:p>
    <w:p w14:paraId="02EA6641">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（三）考核模式</w:t>
      </w:r>
    </w:p>
    <w:p w14:paraId="0FC46AF5">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考核工作由县民政局聘请第三方机构对项目进行中期评估考核和末期评估考核，</w:t>
      </w:r>
      <w:r>
        <w:rPr>
          <w:rFonts w:hint="eastAsia" w:asciiTheme="minorEastAsia" w:hAnsiTheme="minorEastAsia" w:eastAsiaTheme="minorEastAsia" w:cstheme="minorEastAsia"/>
          <w:color w:val="auto"/>
          <w:sz w:val="24"/>
          <w:szCs w:val="24"/>
        </w:rPr>
        <w:t>评估费用按照中标总价的</w:t>
      </w:r>
      <w:r>
        <w:rPr>
          <w:rFonts w:hint="eastAsia" w:asciiTheme="minorEastAsia" w:hAnsiTheme="minorEastAsia" w:eastAsiaTheme="minorEastAsia" w:cstheme="minorEastAsia"/>
          <w:color w:val="auto"/>
          <w:sz w:val="24"/>
          <w:szCs w:val="24"/>
          <w:lang w:val="en-US" w:eastAsia="zh-CN"/>
        </w:rPr>
        <w:t>3</w:t>
      </w:r>
      <w:r>
        <w:rPr>
          <w:rFonts w:hint="eastAsia" w:asciiTheme="minorEastAsia" w:hAnsiTheme="minorEastAsia" w:eastAsiaTheme="minorEastAsia" w:cstheme="minorEastAsia"/>
          <w:color w:val="auto"/>
          <w:sz w:val="24"/>
          <w:szCs w:val="24"/>
        </w:rPr>
        <w:t>%预算，由中标单位承担。</w:t>
      </w:r>
    </w:p>
    <w:p w14:paraId="62AACF0F">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中期考核：中期考核一次。</w:t>
      </w:r>
    </w:p>
    <w:p w14:paraId="6B303D11">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末期考核：末期考核一次。</w:t>
      </w:r>
    </w:p>
    <w:p w14:paraId="2D7EA420">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（四）考核评级及结果应用</w:t>
      </w:r>
    </w:p>
    <w:p w14:paraId="35D0AD95">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1.考核评分组成表</w:t>
      </w:r>
    </w:p>
    <w:tbl>
      <w:tblPr>
        <w:tblStyle w:val="6"/>
        <w:tblW w:w="8458" w:type="dxa"/>
        <w:tblInd w:w="38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65"/>
        <w:gridCol w:w="3573"/>
        <w:gridCol w:w="2820"/>
      </w:tblGrid>
      <w:tr w14:paraId="77A906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3" w:hRule="atLeast"/>
        </w:trPr>
        <w:tc>
          <w:tcPr>
            <w:tcW w:w="2065" w:type="dxa"/>
            <w:vAlign w:val="center"/>
          </w:tcPr>
          <w:p w14:paraId="7444EF3A">
            <w:pPr>
              <w:keepNext w:val="0"/>
              <w:keepLines w:val="0"/>
              <w:pageBreakBefore w:val="0"/>
              <w:widowControl/>
              <w:kinsoku w:val="0"/>
              <w:wordWrap/>
              <w:overflowPunct/>
              <w:topLinePunct w:val="0"/>
              <w:autoSpaceDE w:val="0"/>
              <w:autoSpaceDN w:val="0"/>
              <w:bidi w:val="0"/>
              <w:adjustRightInd w:val="0"/>
              <w:snapToGrid w:val="0"/>
              <w:spacing w:line="221" w:lineRule="auto"/>
              <w:ind w:left="0"/>
              <w:jc w:val="center"/>
              <w:textAlignment w:val="baseline"/>
              <w:rPr>
                <w:rFonts w:ascii="宋体" w:hAnsi="宋体" w:eastAsia="宋体" w:cs="宋体"/>
                <w:color w:val="auto"/>
                <w:sz w:val="24"/>
                <w:szCs w:val="24"/>
              </w:rPr>
            </w:pPr>
            <w:r>
              <w:rPr>
                <w:rFonts w:ascii="宋体" w:hAnsi="宋体" w:eastAsia="宋体" w:cs="宋体"/>
                <w:color w:val="auto"/>
                <w:spacing w:val="-3"/>
                <w:sz w:val="24"/>
                <w:szCs w:val="24"/>
              </w:rPr>
              <w:t>序号</w:t>
            </w:r>
          </w:p>
        </w:tc>
        <w:tc>
          <w:tcPr>
            <w:tcW w:w="3573" w:type="dxa"/>
            <w:vAlign w:val="center"/>
          </w:tcPr>
          <w:p w14:paraId="1D551567">
            <w:pPr>
              <w:keepNext w:val="0"/>
              <w:keepLines w:val="0"/>
              <w:pageBreakBefore w:val="0"/>
              <w:widowControl/>
              <w:kinsoku w:val="0"/>
              <w:wordWrap/>
              <w:overflowPunct/>
              <w:topLinePunct w:val="0"/>
              <w:autoSpaceDE w:val="0"/>
              <w:autoSpaceDN w:val="0"/>
              <w:bidi w:val="0"/>
              <w:adjustRightInd w:val="0"/>
              <w:snapToGrid w:val="0"/>
              <w:spacing w:line="220" w:lineRule="auto"/>
              <w:ind w:left="0"/>
              <w:jc w:val="center"/>
              <w:textAlignment w:val="baseline"/>
              <w:rPr>
                <w:rFonts w:ascii="宋体" w:hAnsi="宋体" w:eastAsia="宋体" w:cs="宋体"/>
                <w:color w:val="auto"/>
                <w:sz w:val="24"/>
                <w:szCs w:val="24"/>
              </w:rPr>
            </w:pPr>
            <w:r>
              <w:rPr>
                <w:rFonts w:ascii="宋体" w:hAnsi="宋体" w:eastAsia="宋体" w:cs="宋体"/>
                <w:color w:val="auto"/>
                <w:spacing w:val="-4"/>
                <w:sz w:val="24"/>
                <w:szCs w:val="24"/>
              </w:rPr>
              <w:t>项目</w:t>
            </w:r>
          </w:p>
        </w:tc>
        <w:tc>
          <w:tcPr>
            <w:tcW w:w="2820" w:type="dxa"/>
            <w:vAlign w:val="center"/>
          </w:tcPr>
          <w:p w14:paraId="1356BE18">
            <w:pPr>
              <w:keepNext w:val="0"/>
              <w:keepLines w:val="0"/>
              <w:pageBreakBefore w:val="0"/>
              <w:widowControl/>
              <w:kinsoku w:val="0"/>
              <w:wordWrap/>
              <w:overflowPunct/>
              <w:topLinePunct w:val="0"/>
              <w:autoSpaceDE w:val="0"/>
              <w:autoSpaceDN w:val="0"/>
              <w:bidi w:val="0"/>
              <w:adjustRightInd w:val="0"/>
              <w:snapToGrid w:val="0"/>
              <w:spacing w:line="220" w:lineRule="auto"/>
              <w:ind w:left="0"/>
              <w:jc w:val="center"/>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得分</w:t>
            </w:r>
          </w:p>
        </w:tc>
      </w:tr>
      <w:tr w14:paraId="3A67A7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2065" w:type="dxa"/>
            <w:vAlign w:val="center"/>
          </w:tcPr>
          <w:p w14:paraId="7DAD2F13">
            <w:pPr>
              <w:keepNext w:val="0"/>
              <w:keepLines w:val="0"/>
              <w:pageBreakBefore w:val="0"/>
              <w:widowControl/>
              <w:kinsoku w:val="0"/>
              <w:wordWrap/>
              <w:overflowPunct/>
              <w:topLinePunct w:val="0"/>
              <w:autoSpaceDE w:val="0"/>
              <w:autoSpaceDN w:val="0"/>
              <w:bidi w:val="0"/>
              <w:adjustRightInd w:val="0"/>
              <w:snapToGrid w:val="0"/>
              <w:spacing w:line="241" w:lineRule="auto"/>
              <w:ind w:left="0"/>
              <w:jc w:val="center"/>
              <w:textAlignment w:val="baseline"/>
              <w:rPr>
                <w:rFonts w:ascii="宋体" w:hAnsi="宋体" w:eastAsia="宋体" w:cs="宋体"/>
                <w:color w:val="auto"/>
                <w:sz w:val="24"/>
                <w:szCs w:val="24"/>
              </w:rPr>
            </w:pPr>
            <w:r>
              <w:rPr>
                <w:rFonts w:ascii="宋体" w:hAnsi="宋体" w:eastAsia="宋体" w:cs="宋体"/>
                <w:color w:val="auto"/>
                <w:sz w:val="24"/>
                <w:szCs w:val="24"/>
              </w:rPr>
              <w:t>1</w:t>
            </w:r>
          </w:p>
        </w:tc>
        <w:tc>
          <w:tcPr>
            <w:tcW w:w="3573" w:type="dxa"/>
            <w:vAlign w:val="center"/>
          </w:tcPr>
          <w:p w14:paraId="46B27E46">
            <w:pPr>
              <w:keepNext w:val="0"/>
              <w:keepLines w:val="0"/>
              <w:pageBreakBefore w:val="0"/>
              <w:widowControl/>
              <w:kinsoku w:val="0"/>
              <w:wordWrap/>
              <w:overflowPunct/>
              <w:topLinePunct w:val="0"/>
              <w:autoSpaceDE w:val="0"/>
              <w:autoSpaceDN w:val="0"/>
              <w:bidi w:val="0"/>
              <w:adjustRightInd w:val="0"/>
              <w:snapToGrid w:val="0"/>
              <w:spacing w:line="219" w:lineRule="auto"/>
              <w:ind w:left="0"/>
              <w:jc w:val="center"/>
              <w:textAlignment w:val="baseline"/>
              <w:rPr>
                <w:rFonts w:ascii="宋体" w:hAnsi="宋体" w:eastAsia="宋体" w:cs="宋体"/>
                <w:color w:val="auto"/>
                <w:sz w:val="24"/>
                <w:szCs w:val="24"/>
              </w:rPr>
            </w:pPr>
            <w:r>
              <w:rPr>
                <w:rFonts w:hint="eastAsia" w:asciiTheme="minorEastAsia" w:hAnsiTheme="minorEastAsia" w:eastAsiaTheme="minorEastAsia" w:cstheme="minorEastAsia"/>
                <w:color w:val="auto"/>
                <w:spacing w:val="-2"/>
                <w:sz w:val="24"/>
                <w:szCs w:val="24"/>
                <w:highlight w:val="none"/>
                <w:lang w:val="en-US" w:eastAsia="zh-CN"/>
              </w:rPr>
              <w:t>社会救助服务综合考核</w:t>
            </w:r>
          </w:p>
        </w:tc>
        <w:tc>
          <w:tcPr>
            <w:tcW w:w="2820" w:type="dxa"/>
            <w:vAlign w:val="center"/>
          </w:tcPr>
          <w:p w14:paraId="43A7BC55">
            <w:pPr>
              <w:keepNext w:val="0"/>
              <w:keepLines w:val="0"/>
              <w:pageBreakBefore w:val="0"/>
              <w:widowControl/>
              <w:kinsoku w:val="0"/>
              <w:wordWrap/>
              <w:overflowPunct/>
              <w:topLinePunct w:val="0"/>
              <w:autoSpaceDE w:val="0"/>
              <w:autoSpaceDN w:val="0"/>
              <w:bidi w:val="0"/>
              <w:adjustRightInd w:val="0"/>
              <w:snapToGrid w:val="0"/>
              <w:ind w:left="0"/>
              <w:jc w:val="center"/>
              <w:textAlignment w:val="baseline"/>
              <w:rPr>
                <w:rFonts w:hint="default" w:ascii="宋体" w:hAnsi="宋体" w:eastAsia="宋体" w:cs="宋体"/>
                <w:color w:val="auto"/>
                <w:sz w:val="24"/>
                <w:szCs w:val="24"/>
                <w:lang w:val="en-US"/>
              </w:rPr>
            </w:pPr>
            <w:r>
              <w:rPr>
                <w:rFonts w:hint="eastAsia" w:ascii="宋体" w:hAnsi="宋体" w:eastAsia="宋体" w:cs="宋体"/>
                <w:color w:val="auto"/>
                <w:spacing w:val="-4"/>
                <w:sz w:val="24"/>
                <w:szCs w:val="24"/>
                <w:lang w:val="en-US" w:eastAsia="zh-CN"/>
              </w:rPr>
              <w:t>30分</w:t>
            </w:r>
          </w:p>
        </w:tc>
      </w:tr>
      <w:tr w14:paraId="67368E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2065" w:type="dxa"/>
            <w:shd w:val="clear" w:color="auto" w:fill="auto"/>
            <w:vAlign w:val="center"/>
          </w:tcPr>
          <w:p w14:paraId="701C3751">
            <w:pPr>
              <w:keepNext w:val="0"/>
              <w:keepLines w:val="0"/>
              <w:pageBreakBefore w:val="0"/>
              <w:widowControl/>
              <w:kinsoku w:val="0"/>
              <w:wordWrap/>
              <w:overflowPunct/>
              <w:topLinePunct w:val="0"/>
              <w:autoSpaceDE w:val="0"/>
              <w:autoSpaceDN w:val="0"/>
              <w:bidi w:val="0"/>
              <w:adjustRightInd w:val="0"/>
              <w:snapToGrid w:val="0"/>
              <w:spacing w:line="241" w:lineRule="auto"/>
              <w:ind w:left="0" w:leftChars="0"/>
              <w:jc w:val="center"/>
              <w:textAlignment w:val="baseline"/>
              <w:rPr>
                <w:rFonts w:ascii="宋体" w:hAnsi="宋体" w:eastAsia="宋体" w:cs="宋体"/>
                <w:snapToGrid w:val="0"/>
                <w:color w:val="auto"/>
                <w:sz w:val="24"/>
                <w:szCs w:val="24"/>
                <w:lang w:val="en-US" w:eastAsia="en-US" w:bidi="ar-SA"/>
              </w:rPr>
            </w:pPr>
            <w:r>
              <w:rPr>
                <w:rFonts w:ascii="宋体" w:hAnsi="宋体" w:eastAsia="宋体" w:cs="宋体"/>
                <w:color w:val="auto"/>
                <w:sz w:val="24"/>
                <w:szCs w:val="24"/>
              </w:rPr>
              <w:t>2</w:t>
            </w:r>
          </w:p>
        </w:tc>
        <w:tc>
          <w:tcPr>
            <w:tcW w:w="3573" w:type="dxa"/>
            <w:shd w:val="clear" w:color="auto" w:fill="auto"/>
            <w:vAlign w:val="center"/>
          </w:tcPr>
          <w:p w14:paraId="124CEA81">
            <w:pPr>
              <w:keepNext w:val="0"/>
              <w:keepLines w:val="0"/>
              <w:pageBreakBefore w:val="0"/>
              <w:widowControl/>
              <w:kinsoku w:val="0"/>
              <w:wordWrap/>
              <w:overflowPunct/>
              <w:topLinePunct w:val="0"/>
              <w:autoSpaceDE w:val="0"/>
              <w:autoSpaceDN w:val="0"/>
              <w:bidi w:val="0"/>
              <w:adjustRightInd w:val="0"/>
              <w:snapToGrid w:val="0"/>
              <w:spacing w:line="220" w:lineRule="auto"/>
              <w:ind w:left="0" w:leftChars="0"/>
              <w:jc w:val="center"/>
              <w:textAlignment w:val="baseline"/>
              <w:rPr>
                <w:rFonts w:ascii="宋体" w:hAnsi="宋体" w:eastAsia="宋体" w:cs="宋体"/>
                <w:snapToGrid w:val="0"/>
                <w:color w:val="auto"/>
                <w:sz w:val="24"/>
                <w:szCs w:val="24"/>
                <w:lang w:val="en-US" w:eastAsia="en-US" w:bidi="ar-SA"/>
              </w:rPr>
            </w:pPr>
            <w:r>
              <w:rPr>
                <w:rFonts w:hint="eastAsia" w:asciiTheme="minorEastAsia" w:hAnsiTheme="minorEastAsia" w:eastAsiaTheme="minorEastAsia" w:cstheme="minorEastAsia"/>
                <w:color w:val="auto"/>
                <w:spacing w:val="-2"/>
                <w:sz w:val="24"/>
                <w:szCs w:val="24"/>
                <w:highlight w:val="none"/>
                <w:lang w:val="en-US" w:eastAsia="zh-CN"/>
              </w:rPr>
              <w:t>项目承接机构考核</w:t>
            </w:r>
          </w:p>
        </w:tc>
        <w:tc>
          <w:tcPr>
            <w:tcW w:w="2820" w:type="dxa"/>
            <w:shd w:val="clear" w:color="auto" w:fill="auto"/>
            <w:vAlign w:val="center"/>
          </w:tcPr>
          <w:p w14:paraId="4A473DBF">
            <w:pPr>
              <w:keepNext w:val="0"/>
              <w:keepLines w:val="0"/>
              <w:pageBreakBefore w:val="0"/>
              <w:widowControl/>
              <w:kinsoku w:val="0"/>
              <w:wordWrap/>
              <w:overflowPunct/>
              <w:topLinePunct w:val="0"/>
              <w:autoSpaceDE w:val="0"/>
              <w:autoSpaceDN w:val="0"/>
              <w:bidi w:val="0"/>
              <w:adjustRightInd w:val="0"/>
              <w:snapToGrid w:val="0"/>
              <w:ind w:left="0" w:leftChars="0"/>
              <w:jc w:val="center"/>
              <w:textAlignment w:val="baseline"/>
              <w:rPr>
                <w:rFonts w:hint="default" w:ascii="宋体" w:hAnsi="宋体" w:eastAsia="宋体" w:cs="宋体"/>
                <w:snapToGrid w:val="0"/>
                <w:color w:val="auto"/>
                <w:sz w:val="24"/>
                <w:szCs w:val="24"/>
                <w:lang w:val="en-US" w:eastAsia="en-US" w:bidi="ar-SA"/>
              </w:rPr>
            </w:pPr>
            <w:r>
              <w:rPr>
                <w:rFonts w:hint="eastAsia" w:ascii="宋体" w:hAnsi="宋体" w:eastAsia="宋体" w:cs="宋体"/>
                <w:color w:val="auto"/>
                <w:spacing w:val="-3"/>
                <w:sz w:val="24"/>
                <w:szCs w:val="24"/>
                <w:lang w:val="en-US" w:eastAsia="zh-CN"/>
              </w:rPr>
              <w:t>30分</w:t>
            </w:r>
          </w:p>
        </w:tc>
      </w:tr>
      <w:tr w14:paraId="385D7A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9" w:hRule="atLeast"/>
        </w:trPr>
        <w:tc>
          <w:tcPr>
            <w:tcW w:w="2065" w:type="dxa"/>
            <w:shd w:val="clear" w:color="auto" w:fill="auto"/>
            <w:vAlign w:val="center"/>
          </w:tcPr>
          <w:p w14:paraId="0A0D5DA9">
            <w:pPr>
              <w:keepNext w:val="0"/>
              <w:keepLines w:val="0"/>
              <w:pageBreakBefore w:val="0"/>
              <w:widowControl/>
              <w:kinsoku w:val="0"/>
              <w:wordWrap/>
              <w:overflowPunct/>
              <w:topLinePunct w:val="0"/>
              <w:autoSpaceDE w:val="0"/>
              <w:autoSpaceDN w:val="0"/>
              <w:bidi w:val="0"/>
              <w:adjustRightInd w:val="0"/>
              <w:snapToGrid w:val="0"/>
              <w:ind w:left="0" w:leftChars="0"/>
              <w:jc w:val="center"/>
              <w:textAlignment w:val="baseline"/>
              <w:rPr>
                <w:rFonts w:ascii="宋体" w:hAnsi="宋体" w:eastAsia="宋体" w:cs="宋体"/>
                <w:snapToGrid w:val="0"/>
                <w:color w:val="auto"/>
                <w:sz w:val="24"/>
                <w:szCs w:val="24"/>
                <w:lang w:val="en-US" w:eastAsia="en-US" w:bidi="ar-SA"/>
              </w:rPr>
            </w:pPr>
            <w:r>
              <w:rPr>
                <w:rFonts w:ascii="宋体" w:hAnsi="宋体" w:eastAsia="宋体" w:cs="宋体"/>
                <w:color w:val="auto"/>
                <w:sz w:val="24"/>
                <w:szCs w:val="24"/>
              </w:rPr>
              <w:t>3</w:t>
            </w:r>
          </w:p>
        </w:tc>
        <w:tc>
          <w:tcPr>
            <w:tcW w:w="3573" w:type="dxa"/>
            <w:shd w:val="clear" w:color="auto" w:fill="auto"/>
            <w:vAlign w:val="center"/>
          </w:tcPr>
          <w:p w14:paraId="388D3861">
            <w:pPr>
              <w:keepNext w:val="0"/>
              <w:keepLines w:val="0"/>
              <w:pageBreakBefore w:val="0"/>
              <w:widowControl/>
              <w:kinsoku w:val="0"/>
              <w:wordWrap/>
              <w:overflowPunct/>
              <w:topLinePunct w:val="0"/>
              <w:autoSpaceDE w:val="0"/>
              <w:autoSpaceDN w:val="0"/>
              <w:bidi w:val="0"/>
              <w:adjustRightInd w:val="0"/>
              <w:snapToGrid w:val="0"/>
              <w:spacing w:line="221" w:lineRule="auto"/>
              <w:ind w:left="0" w:leftChars="0"/>
              <w:jc w:val="center"/>
              <w:textAlignment w:val="baseline"/>
              <w:rPr>
                <w:rFonts w:ascii="宋体" w:hAnsi="宋体" w:eastAsia="宋体" w:cs="宋体"/>
                <w:snapToGrid w:val="0"/>
                <w:color w:val="auto"/>
                <w:sz w:val="24"/>
                <w:szCs w:val="24"/>
                <w:lang w:val="en-US" w:eastAsia="en-US" w:bidi="ar-SA"/>
              </w:rPr>
            </w:pPr>
            <w:r>
              <w:rPr>
                <w:rFonts w:hint="eastAsia" w:asciiTheme="minorEastAsia" w:hAnsiTheme="minorEastAsia" w:eastAsiaTheme="minorEastAsia" w:cstheme="minorEastAsia"/>
                <w:color w:val="auto"/>
                <w:spacing w:val="-2"/>
                <w:sz w:val="24"/>
                <w:szCs w:val="24"/>
                <w:highlight w:val="none"/>
                <w:lang w:val="en-US" w:eastAsia="zh-CN"/>
              </w:rPr>
              <w:t>民政服务站考核</w:t>
            </w:r>
          </w:p>
        </w:tc>
        <w:tc>
          <w:tcPr>
            <w:tcW w:w="2820" w:type="dxa"/>
            <w:shd w:val="clear" w:color="auto" w:fill="auto"/>
            <w:vAlign w:val="center"/>
          </w:tcPr>
          <w:p w14:paraId="28BE2076">
            <w:pPr>
              <w:keepNext w:val="0"/>
              <w:keepLines w:val="0"/>
              <w:pageBreakBefore w:val="0"/>
              <w:widowControl/>
              <w:kinsoku w:val="0"/>
              <w:wordWrap/>
              <w:overflowPunct/>
              <w:topLinePunct w:val="0"/>
              <w:autoSpaceDE w:val="0"/>
              <w:autoSpaceDN w:val="0"/>
              <w:bidi w:val="0"/>
              <w:adjustRightInd w:val="0"/>
              <w:snapToGrid w:val="0"/>
              <w:ind w:left="0" w:leftChars="0"/>
              <w:jc w:val="center"/>
              <w:textAlignment w:val="baseline"/>
              <w:rPr>
                <w:rFonts w:hint="default" w:ascii="宋体" w:hAnsi="宋体" w:eastAsia="宋体" w:cs="宋体"/>
                <w:snapToGrid w:val="0"/>
                <w:color w:val="auto"/>
                <w:sz w:val="24"/>
                <w:szCs w:val="24"/>
                <w:lang w:val="en-US" w:eastAsia="en-US" w:bidi="ar-SA"/>
              </w:rPr>
            </w:pPr>
            <w:r>
              <w:rPr>
                <w:rFonts w:hint="eastAsia" w:ascii="宋体" w:hAnsi="宋体" w:eastAsia="宋体" w:cs="宋体"/>
                <w:color w:val="auto"/>
                <w:spacing w:val="-6"/>
                <w:sz w:val="24"/>
                <w:szCs w:val="24"/>
                <w:lang w:val="en-US" w:eastAsia="zh-CN"/>
              </w:rPr>
              <w:t>40分</w:t>
            </w:r>
          </w:p>
        </w:tc>
      </w:tr>
      <w:tr w14:paraId="000BB1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9" w:hRule="atLeast"/>
        </w:trPr>
        <w:tc>
          <w:tcPr>
            <w:tcW w:w="5638" w:type="dxa"/>
            <w:gridSpan w:val="2"/>
            <w:shd w:val="clear" w:color="auto" w:fill="auto"/>
            <w:vAlign w:val="center"/>
          </w:tcPr>
          <w:p w14:paraId="035ABCDC">
            <w:pPr>
              <w:keepNext w:val="0"/>
              <w:keepLines w:val="0"/>
              <w:pageBreakBefore w:val="0"/>
              <w:widowControl/>
              <w:kinsoku w:val="0"/>
              <w:wordWrap/>
              <w:overflowPunct/>
              <w:topLinePunct w:val="0"/>
              <w:autoSpaceDE w:val="0"/>
              <w:autoSpaceDN w:val="0"/>
              <w:bidi w:val="0"/>
              <w:adjustRightInd w:val="0"/>
              <w:snapToGrid w:val="0"/>
              <w:spacing w:line="221" w:lineRule="auto"/>
              <w:ind w:left="0" w:leftChars="0"/>
              <w:jc w:val="center"/>
              <w:textAlignment w:val="baseline"/>
              <w:rPr>
                <w:rFonts w:hint="eastAsia" w:ascii="宋体" w:hAnsi="宋体" w:eastAsia="宋体" w:cs="宋体"/>
                <w:color w:val="auto"/>
                <w:spacing w:val="-3"/>
                <w:sz w:val="24"/>
                <w:szCs w:val="24"/>
                <w:lang w:val="en-US" w:eastAsia="zh-CN"/>
              </w:rPr>
            </w:pPr>
            <w:r>
              <w:rPr>
                <w:rFonts w:hint="eastAsia" w:ascii="宋体" w:hAnsi="宋体" w:eastAsia="宋体" w:cs="宋体"/>
                <w:color w:val="auto"/>
                <w:spacing w:val="-3"/>
                <w:sz w:val="24"/>
                <w:szCs w:val="24"/>
                <w:lang w:val="en-US" w:eastAsia="zh-CN"/>
              </w:rPr>
              <w:t>合计</w:t>
            </w:r>
          </w:p>
        </w:tc>
        <w:tc>
          <w:tcPr>
            <w:tcW w:w="2820" w:type="dxa"/>
            <w:shd w:val="clear" w:color="auto" w:fill="auto"/>
            <w:vAlign w:val="center"/>
          </w:tcPr>
          <w:p w14:paraId="1ECA837C">
            <w:pPr>
              <w:keepNext w:val="0"/>
              <w:keepLines w:val="0"/>
              <w:pageBreakBefore w:val="0"/>
              <w:widowControl/>
              <w:kinsoku w:val="0"/>
              <w:wordWrap/>
              <w:overflowPunct/>
              <w:topLinePunct w:val="0"/>
              <w:autoSpaceDE w:val="0"/>
              <w:autoSpaceDN w:val="0"/>
              <w:bidi w:val="0"/>
              <w:adjustRightInd w:val="0"/>
              <w:snapToGrid w:val="0"/>
              <w:ind w:left="0" w:leftChars="0"/>
              <w:jc w:val="center"/>
              <w:textAlignment w:val="baseline"/>
              <w:rPr>
                <w:rFonts w:hint="default" w:ascii="宋体" w:hAnsi="宋体" w:eastAsia="宋体" w:cs="宋体"/>
                <w:color w:val="auto"/>
                <w:spacing w:val="-6"/>
                <w:sz w:val="24"/>
                <w:szCs w:val="24"/>
                <w:lang w:val="en-US" w:eastAsia="zh-CN"/>
              </w:rPr>
            </w:pPr>
            <w:r>
              <w:rPr>
                <w:rFonts w:hint="eastAsia" w:ascii="宋体" w:hAnsi="宋体" w:eastAsia="宋体" w:cs="宋体"/>
                <w:color w:val="auto"/>
                <w:spacing w:val="-6"/>
                <w:sz w:val="24"/>
                <w:szCs w:val="24"/>
                <w:lang w:val="en-US" w:eastAsia="zh-CN"/>
              </w:rPr>
              <w:t>100分</w:t>
            </w:r>
          </w:p>
        </w:tc>
      </w:tr>
    </w:tbl>
    <w:p w14:paraId="0AB2C150">
      <w:pPr>
        <w:pStyle w:val="2"/>
        <w:spacing w:before="78" w:line="219" w:lineRule="auto"/>
        <w:ind w:left="483"/>
        <w:rPr>
          <w:rFonts w:hint="eastAsia" w:asciiTheme="minorEastAsia" w:hAnsiTheme="minorEastAsia" w:eastAsiaTheme="minorEastAsia" w:cstheme="minorEastAsia"/>
          <w:color w:val="auto"/>
          <w:sz w:val="24"/>
          <w:szCs w:val="24"/>
        </w:rPr>
      </w:pPr>
    </w:p>
    <w:p w14:paraId="031D531E">
      <w:pPr>
        <w:pStyle w:val="2"/>
        <w:spacing w:before="183" w:line="219" w:lineRule="auto"/>
        <w:ind w:left="525"/>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2"/>
          <w:sz w:val="24"/>
          <w:szCs w:val="24"/>
        </w:rPr>
        <w:t>中期考核、末期考核得分按照本项目考核办法计</w:t>
      </w:r>
      <w:r>
        <w:rPr>
          <w:rFonts w:hint="eastAsia" w:asciiTheme="minorEastAsia" w:hAnsiTheme="minorEastAsia" w:eastAsiaTheme="minorEastAsia" w:cstheme="minorEastAsia"/>
          <w:color w:val="auto"/>
          <w:spacing w:val="-3"/>
          <w:sz w:val="24"/>
          <w:szCs w:val="24"/>
        </w:rPr>
        <w:t>算。</w:t>
      </w:r>
    </w:p>
    <w:p w14:paraId="61C6F887">
      <w:pPr>
        <w:pStyle w:val="2"/>
        <w:spacing w:before="180" w:line="220" w:lineRule="auto"/>
        <w:ind w:left="501"/>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3"/>
          <w:sz w:val="24"/>
          <w:szCs w:val="24"/>
        </w:rPr>
        <w:t>优秀：考核评分在 90分（含90分）以上；</w:t>
      </w:r>
    </w:p>
    <w:p w14:paraId="018E159C">
      <w:pPr>
        <w:pStyle w:val="2"/>
        <w:spacing w:before="182" w:line="220" w:lineRule="auto"/>
        <w:ind w:left="519"/>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4"/>
          <w:sz w:val="24"/>
          <w:szCs w:val="24"/>
        </w:rPr>
        <w:t>良好：考核评分在 90分以下，80分（含80分）以上；</w:t>
      </w:r>
    </w:p>
    <w:p w14:paraId="72BFB556">
      <w:pPr>
        <w:pStyle w:val="2"/>
        <w:spacing w:before="181" w:line="220" w:lineRule="auto"/>
        <w:ind w:left="48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2"/>
          <w:sz w:val="24"/>
          <w:szCs w:val="24"/>
        </w:rPr>
        <w:t>及格：考核评分在 80分以下，70分（含70分）以上；</w:t>
      </w:r>
    </w:p>
    <w:p w14:paraId="7432A660">
      <w:pPr>
        <w:pStyle w:val="2"/>
        <w:spacing w:before="180" w:line="220" w:lineRule="auto"/>
        <w:ind w:left="48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4"/>
          <w:sz w:val="24"/>
          <w:szCs w:val="24"/>
        </w:rPr>
        <w:t>较差：考核评分在 70分以下；</w:t>
      </w:r>
    </w:p>
    <w:p w14:paraId="56F3958D">
      <w:pPr>
        <w:pStyle w:val="2"/>
        <w:spacing w:before="182" w:line="220" w:lineRule="auto"/>
        <w:ind w:left="484"/>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2"/>
          <w:sz w:val="24"/>
          <w:szCs w:val="24"/>
        </w:rPr>
        <w:t>打分方法：结果分为优秀、良好、及格、较差四个等级。</w:t>
      </w:r>
    </w:p>
    <w:p w14:paraId="7088AFDF">
      <w:pPr>
        <w:pStyle w:val="2"/>
        <w:spacing w:before="180" w:line="220" w:lineRule="auto"/>
        <w:ind w:left="498"/>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4"/>
          <w:sz w:val="24"/>
          <w:szCs w:val="24"/>
        </w:rPr>
        <w:t>1.考核综合得分为优秀的全额拨付当期经费；</w:t>
      </w:r>
    </w:p>
    <w:p w14:paraId="2DDC95BB">
      <w:pPr>
        <w:pStyle w:val="2"/>
        <w:spacing w:before="183" w:line="359" w:lineRule="auto"/>
        <w:ind w:left="6" w:firstLine="477"/>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2.考核综合得分为良好的，在85-89分之间，扣20000元，在80-</w:t>
      </w:r>
      <w:r>
        <w:rPr>
          <w:rFonts w:hint="eastAsia" w:asciiTheme="minorEastAsia" w:hAnsiTheme="minorEastAsia" w:eastAsiaTheme="minorEastAsia" w:cstheme="minorEastAsia"/>
          <w:color w:val="auto"/>
          <w:spacing w:val="-1"/>
          <w:sz w:val="24"/>
          <w:szCs w:val="24"/>
        </w:rPr>
        <w:t>84分之间，扣40000</w:t>
      </w:r>
      <w:r>
        <w:rPr>
          <w:rFonts w:hint="eastAsia" w:asciiTheme="minorEastAsia" w:hAnsiTheme="minorEastAsia" w:eastAsiaTheme="minorEastAsia" w:cstheme="minorEastAsia"/>
          <w:color w:val="auto"/>
          <w:spacing w:val="-18"/>
          <w:sz w:val="24"/>
          <w:szCs w:val="24"/>
        </w:rPr>
        <w:t>万；</w:t>
      </w:r>
    </w:p>
    <w:p w14:paraId="18694797">
      <w:pPr>
        <w:pStyle w:val="2"/>
        <w:spacing w:line="219" w:lineRule="auto"/>
        <w:ind w:left="485"/>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1"/>
          <w:sz w:val="24"/>
          <w:szCs w:val="24"/>
        </w:rPr>
        <w:t>3.考核综合得分为及格的，扣60000元</w:t>
      </w:r>
    </w:p>
    <w:p w14:paraId="2F053D85">
      <w:pPr>
        <w:pStyle w:val="2"/>
        <w:spacing w:before="180" w:line="220" w:lineRule="auto"/>
        <w:ind w:left="48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pacing w:val="-2"/>
          <w:sz w:val="24"/>
          <w:szCs w:val="24"/>
        </w:rPr>
        <w:t>4.考核综合得分为较差的，扣80000元。</w:t>
      </w:r>
    </w:p>
    <w:p w14:paraId="67950739">
      <w:pPr>
        <w:bidi w:val="0"/>
        <w:spacing w:line="360" w:lineRule="auto"/>
        <w:rPr>
          <w:rFonts w:hint="eastAsia" w:asciiTheme="minorEastAsia" w:hAnsiTheme="minorEastAsia" w:eastAsiaTheme="minorEastAsia" w:cstheme="minorEastAsia"/>
          <w:color w:val="auto"/>
          <w:sz w:val="24"/>
          <w:szCs w:val="24"/>
        </w:rPr>
      </w:pPr>
    </w:p>
    <w:p w14:paraId="4F012D25">
      <w:pPr>
        <w:bidi w:val="0"/>
        <w:spacing w:line="360" w:lineRule="auto"/>
        <w:rPr>
          <w:rFonts w:hint="eastAsia" w:asciiTheme="minorEastAsia" w:hAnsiTheme="minorEastAsia" w:eastAsiaTheme="minorEastAsia" w:cstheme="minorEastAsia"/>
          <w:color w:val="auto"/>
          <w:sz w:val="24"/>
          <w:szCs w:val="24"/>
          <w:highlight w:val="none"/>
        </w:rPr>
      </w:pPr>
    </w:p>
    <w:p w14:paraId="55B6C93B">
      <w:pPr>
        <w:pStyle w:val="2"/>
        <w:spacing w:before="180" w:line="220" w:lineRule="auto"/>
        <w:ind w:left="480"/>
        <w:rPr>
          <w:rFonts w:hint="eastAsia" w:asciiTheme="minorEastAsia" w:hAnsiTheme="minorEastAsia" w:eastAsiaTheme="minorEastAsia" w:cstheme="minorEastAsia"/>
          <w:color w:val="auto"/>
          <w:spacing w:val="-2"/>
          <w:sz w:val="24"/>
          <w:szCs w:val="24"/>
          <w:highlight w:val="none"/>
          <w:lang w:val="en-US" w:eastAsia="zh-CN"/>
        </w:rPr>
      </w:pPr>
      <w:r>
        <w:rPr>
          <w:rFonts w:hint="eastAsia" w:asciiTheme="minorEastAsia" w:hAnsiTheme="minorEastAsia" w:eastAsiaTheme="minorEastAsia" w:cstheme="minorEastAsia"/>
          <w:color w:val="auto"/>
          <w:spacing w:val="-2"/>
          <w:sz w:val="24"/>
          <w:szCs w:val="24"/>
          <w:highlight w:val="none"/>
          <w:lang w:val="en-US" w:eastAsia="zh-CN"/>
        </w:rPr>
        <w:t>表一、社会救助服务综合考核评价表（30分）</w:t>
      </w:r>
    </w:p>
    <w:p w14:paraId="7570C6B2">
      <w:pPr>
        <w:pStyle w:val="2"/>
        <w:spacing w:before="180" w:line="220" w:lineRule="auto"/>
        <w:ind w:left="480"/>
        <w:rPr>
          <w:rFonts w:hint="eastAsia" w:asciiTheme="minorEastAsia" w:hAnsiTheme="minorEastAsia" w:eastAsiaTheme="minorEastAsia" w:cstheme="minorEastAsia"/>
          <w:color w:val="auto"/>
          <w:spacing w:val="-2"/>
          <w:sz w:val="24"/>
          <w:szCs w:val="24"/>
          <w:highlight w:val="none"/>
          <w:lang w:val="en-US" w:eastAsia="zh-CN"/>
        </w:rPr>
      </w:pPr>
      <w:r>
        <w:rPr>
          <w:rFonts w:hint="eastAsia" w:asciiTheme="minorEastAsia" w:hAnsiTheme="minorEastAsia" w:eastAsiaTheme="minorEastAsia" w:cstheme="minorEastAsia"/>
          <w:color w:val="auto"/>
          <w:spacing w:val="-2"/>
          <w:sz w:val="24"/>
          <w:szCs w:val="24"/>
          <w:highlight w:val="none"/>
          <w:lang w:val="en-US" w:eastAsia="zh-CN"/>
        </w:rPr>
        <w:t>表二、项目承接机构考核评价表（30分）</w:t>
      </w:r>
    </w:p>
    <w:p w14:paraId="7331BBD1">
      <w:pPr>
        <w:pStyle w:val="2"/>
        <w:spacing w:before="180" w:line="220" w:lineRule="auto"/>
        <w:ind w:left="480"/>
        <w:rPr>
          <w:rFonts w:hint="eastAsia" w:asciiTheme="minorEastAsia" w:hAnsiTheme="minorEastAsia" w:eastAsiaTheme="minorEastAsia" w:cstheme="minorEastAsia"/>
          <w:color w:val="auto"/>
          <w:spacing w:val="-2"/>
          <w:sz w:val="24"/>
          <w:szCs w:val="24"/>
          <w:highlight w:val="none"/>
          <w:lang w:val="en-US" w:eastAsia="zh-CN"/>
        </w:rPr>
      </w:pPr>
      <w:r>
        <w:rPr>
          <w:rFonts w:hint="eastAsia" w:asciiTheme="minorEastAsia" w:hAnsiTheme="minorEastAsia" w:eastAsiaTheme="minorEastAsia" w:cstheme="minorEastAsia"/>
          <w:color w:val="auto"/>
          <w:spacing w:val="-2"/>
          <w:sz w:val="24"/>
          <w:szCs w:val="24"/>
          <w:highlight w:val="none"/>
          <w:lang w:val="en-US" w:eastAsia="zh-CN"/>
        </w:rPr>
        <w:t>表三、民政服务站考核评价表（40分）</w:t>
      </w:r>
    </w:p>
    <w:p w14:paraId="25FEBD86">
      <w:pPr>
        <w:pStyle w:val="2"/>
        <w:spacing w:before="180" w:line="220" w:lineRule="auto"/>
        <w:ind w:left="480"/>
        <w:rPr>
          <w:rFonts w:hint="eastAsia" w:asciiTheme="minorEastAsia" w:hAnsiTheme="minorEastAsia" w:eastAsiaTheme="minorEastAsia" w:cstheme="minorEastAsia"/>
          <w:color w:val="auto"/>
          <w:spacing w:val="-2"/>
          <w:sz w:val="24"/>
          <w:szCs w:val="24"/>
          <w:lang w:eastAsia="zh-CN"/>
        </w:rPr>
      </w:pPr>
    </w:p>
    <w:p w14:paraId="25D120BA">
      <w:pPr>
        <w:pStyle w:val="2"/>
        <w:spacing w:before="180" w:line="220" w:lineRule="auto"/>
        <w:ind w:left="480"/>
        <w:rPr>
          <w:rFonts w:hint="eastAsia" w:asciiTheme="minorEastAsia" w:hAnsiTheme="minorEastAsia" w:eastAsiaTheme="minorEastAsia" w:cstheme="minorEastAsia"/>
          <w:color w:val="auto"/>
          <w:spacing w:val="-2"/>
          <w:sz w:val="24"/>
          <w:szCs w:val="24"/>
          <w:lang w:eastAsia="zh-CN"/>
        </w:rPr>
      </w:pPr>
    </w:p>
    <w:p w14:paraId="20294FF8">
      <w:pPr>
        <w:pStyle w:val="2"/>
        <w:spacing w:before="180" w:line="220" w:lineRule="auto"/>
        <w:ind w:left="480"/>
        <w:rPr>
          <w:rFonts w:hint="eastAsia" w:asciiTheme="minorEastAsia" w:hAnsiTheme="minorEastAsia" w:eastAsiaTheme="minorEastAsia" w:cstheme="minorEastAsia"/>
          <w:color w:val="auto"/>
          <w:spacing w:val="-2"/>
          <w:sz w:val="24"/>
          <w:szCs w:val="24"/>
          <w:lang w:eastAsia="zh-CN"/>
        </w:rPr>
      </w:pPr>
    </w:p>
    <w:p w14:paraId="57AE934C">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76" w:firstLineChars="200"/>
        <w:textAlignment w:val="baseline"/>
        <w:rPr>
          <w:rFonts w:hint="eastAsia" w:asciiTheme="minorEastAsia" w:hAnsiTheme="minorEastAsia" w:eastAsiaTheme="minorEastAsia" w:cstheme="minorEastAsia"/>
          <w:color w:val="auto"/>
          <w:spacing w:val="-1"/>
          <w:sz w:val="24"/>
          <w:szCs w:val="24"/>
          <w:lang w:eastAsia="zh-CN"/>
        </w:rPr>
      </w:pPr>
    </w:p>
    <w:p w14:paraId="73C31A5A">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76" w:firstLineChars="200"/>
        <w:textAlignment w:val="baseline"/>
        <w:rPr>
          <w:rFonts w:hint="eastAsia" w:asciiTheme="minorEastAsia" w:hAnsiTheme="minorEastAsia" w:eastAsiaTheme="minorEastAsia" w:cstheme="minorEastAsia"/>
          <w:color w:val="auto"/>
          <w:spacing w:val="-1"/>
          <w:sz w:val="24"/>
          <w:szCs w:val="24"/>
          <w:lang w:eastAsia="zh-CN"/>
        </w:rPr>
      </w:pPr>
    </w:p>
    <w:p w14:paraId="47DB3726">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76" w:firstLineChars="200"/>
        <w:textAlignment w:val="baseline"/>
        <w:rPr>
          <w:rFonts w:hint="eastAsia" w:asciiTheme="minorEastAsia" w:hAnsiTheme="minorEastAsia" w:eastAsiaTheme="minorEastAsia" w:cstheme="minorEastAsia"/>
          <w:color w:val="auto"/>
          <w:spacing w:val="-1"/>
          <w:sz w:val="24"/>
          <w:szCs w:val="24"/>
          <w:lang w:eastAsia="zh-CN"/>
        </w:rPr>
      </w:pPr>
    </w:p>
    <w:p w14:paraId="224E217F">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76" w:firstLineChars="200"/>
        <w:textAlignment w:val="baseline"/>
        <w:rPr>
          <w:rFonts w:hint="eastAsia" w:asciiTheme="minorEastAsia" w:hAnsiTheme="minorEastAsia" w:eastAsiaTheme="minorEastAsia" w:cstheme="minorEastAsia"/>
          <w:color w:val="auto"/>
          <w:spacing w:val="-1"/>
          <w:sz w:val="24"/>
          <w:szCs w:val="24"/>
          <w:lang w:eastAsia="zh-CN"/>
        </w:rPr>
        <w:sectPr>
          <w:footerReference r:id="rId4" w:type="default"/>
          <w:pgSz w:w="11906" w:h="16839"/>
          <w:pgMar w:top="1429" w:right="1786" w:bottom="1429" w:left="1786" w:header="0" w:footer="994" w:gutter="0"/>
          <w:pgNumType w:fmt="decimal"/>
          <w:cols w:space="720" w:num="1"/>
        </w:sectPr>
      </w:pPr>
    </w:p>
    <w:p w14:paraId="3815714D">
      <w:pPr>
        <w:spacing w:before="107" w:line="360" w:lineRule="auto"/>
        <w:ind w:left="149"/>
        <w:jc w:val="center"/>
        <w:outlineLvl w:val="0"/>
        <w:rPr>
          <w:rFonts w:hint="default" w:ascii="仿宋_GB2312" w:hAnsi="仿宋_GB2312" w:eastAsia="仿宋_GB2312" w:cs="仿宋_GB2312"/>
          <w:b w:val="0"/>
          <w:bCs w:val="0"/>
          <w:color w:val="auto"/>
          <w:sz w:val="36"/>
          <w:szCs w:val="36"/>
          <w:lang w:val="en-US"/>
        </w:rPr>
      </w:pPr>
      <w:r>
        <w:rPr>
          <w:rFonts w:hint="eastAsia" w:ascii="黑体" w:hAnsi="黑体" w:eastAsia="黑体" w:cs="黑体"/>
          <w:b w:val="0"/>
          <w:bCs w:val="0"/>
          <w:color w:val="auto"/>
          <w:kern w:val="44"/>
          <w:sz w:val="36"/>
          <w:szCs w:val="36"/>
          <w:highlight w:val="none"/>
          <w:lang w:val="en-US" w:eastAsia="zh-CN" w:bidi="ar-SA"/>
        </w:rPr>
        <w:t xml:space="preserve">         表一、社会救助服务综合考核评价表（30分）      </w:t>
      </w:r>
      <w:r>
        <w:rPr>
          <w:rFonts w:hint="eastAsia" w:ascii="黑体" w:hAnsi="黑体" w:eastAsia="黑体" w:cs="黑体"/>
          <w:b w:val="0"/>
          <w:bCs w:val="0"/>
          <w:color w:val="auto"/>
          <w:kern w:val="44"/>
          <w:sz w:val="21"/>
          <w:szCs w:val="21"/>
          <w:highlight w:val="none"/>
          <w:lang w:val="en-US" w:eastAsia="zh-CN" w:bidi="ar-SA"/>
        </w:rPr>
        <w:t>评价人：             日期：</w:t>
      </w:r>
    </w:p>
    <w:tbl>
      <w:tblPr>
        <w:tblStyle w:val="6"/>
        <w:tblW w:w="1484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57" w:type="dxa"/>
          <w:bottom w:w="0" w:type="dxa"/>
          <w:right w:w="57" w:type="dxa"/>
        </w:tblCellMar>
      </w:tblPr>
      <w:tblGrid>
        <w:gridCol w:w="1194"/>
        <w:gridCol w:w="1485"/>
        <w:gridCol w:w="7200"/>
        <w:gridCol w:w="3563"/>
        <w:gridCol w:w="1400"/>
      </w:tblGrid>
      <w:tr w14:paraId="269A5A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rPr>
          <w:trHeight w:val="643" w:hRule="atLeast"/>
        </w:trPr>
        <w:tc>
          <w:tcPr>
            <w:tcW w:w="1194" w:type="dxa"/>
            <w:vAlign w:val="center"/>
          </w:tcPr>
          <w:p w14:paraId="7E420FB0">
            <w:pPr>
              <w:jc w:val="center"/>
              <w:rPr>
                <w:rFonts w:hint="eastAsia" w:ascii="仿宋_GB2312" w:hAnsi="仿宋_GB2312" w:eastAsia="仿宋_GB2312" w:cs="仿宋_GB2312"/>
                <w:b/>
                <w:bCs/>
                <w:color w:val="auto"/>
                <w:sz w:val="24"/>
                <w:szCs w:val="24"/>
                <w:lang w:val="en-US" w:eastAsia="zh-CN"/>
              </w:rPr>
            </w:pPr>
            <w:r>
              <w:rPr>
                <w:rFonts w:hint="eastAsia" w:ascii="仿宋_GB2312" w:hAnsi="仿宋_GB2312" w:eastAsia="仿宋_GB2312" w:cs="仿宋_GB2312"/>
                <w:b/>
                <w:bCs/>
                <w:color w:val="auto"/>
                <w:sz w:val="24"/>
                <w:szCs w:val="24"/>
              </w:rPr>
              <w:t>考核</w:t>
            </w:r>
            <w:r>
              <w:rPr>
                <w:rFonts w:hint="eastAsia" w:ascii="仿宋_GB2312" w:hAnsi="仿宋_GB2312" w:eastAsia="仿宋_GB2312" w:cs="仿宋_GB2312"/>
                <w:b/>
                <w:bCs/>
                <w:color w:val="auto"/>
                <w:sz w:val="24"/>
                <w:szCs w:val="24"/>
                <w:lang w:val="en-US" w:eastAsia="zh-CN"/>
              </w:rPr>
              <w:t>类别</w:t>
            </w:r>
          </w:p>
        </w:tc>
        <w:tc>
          <w:tcPr>
            <w:tcW w:w="1485" w:type="dxa"/>
            <w:vAlign w:val="center"/>
          </w:tcPr>
          <w:p w14:paraId="4DD196B4">
            <w:pPr>
              <w:jc w:val="center"/>
              <w:rPr>
                <w:rFonts w:hint="eastAsia" w:ascii="仿宋_GB2312" w:hAnsi="仿宋_GB2312" w:eastAsia="仿宋_GB2312" w:cs="仿宋_GB2312"/>
                <w:b/>
                <w:bCs/>
                <w:color w:val="auto"/>
                <w:sz w:val="24"/>
                <w:szCs w:val="24"/>
                <w:lang w:val="en-US" w:eastAsia="zh-CN"/>
              </w:rPr>
            </w:pPr>
            <w:r>
              <w:rPr>
                <w:rFonts w:hint="eastAsia" w:ascii="仿宋_GB2312" w:hAnsi="仿宋_GB2312" w:eastAsia="仿宋_GB2312" w:cs="仿宋_GB2312"/>
                <w:b/>
                <w:bCs/>
                <w:color w:val="auto"/>
                <w:sz w:val="24"/>
                <w:szCs w:val="24"/>
              </w:rPr>
              <w:t>考核</w:t>
            </w:r>
            <w:r>
              <w:rPr>
                <w:rFonts w:hint="eastAsia" w:ascii="仿宋_GB2312" w:hAnsi="仿宋_GB2312" w:eastAsia="仿宋_GB2312" w:cs="仿宋_GB2312"/>
                <w:b/>
                <w:bCs/>
                <w:color w:val="auto"/>
                <w:sz w:val="24"/>
                <w:szCs w:val="24"/>
                <w:lang w:val="en-US" w:eastAsia="zh-CN"/>
              </w:rPr>
              <w:t>项目</w:t>
            </w:r>
          </w:p>
        </w:tc>
        <w:tc>
          <w:tcPr>
            <w:tcW w:w="7200" w:type="dxa"/>
            <w:vAlign w:val="center"/>
          </w:tcPr>
          <w:p w14:paraId="7C52C1E3">
            <w:pPr>
              <w:jc w:val="center"/>
              <w:rPr>
                <w:rFonts w:hint="eastAsia" w:ascii="仿宋_GB2312" w:hAnsi="仿宋_GB2312" w:eastAsia="仿宋_GB2312" w:cs="仿宋_GB2312"/>
                <w:b/>
                <w:bCs/>
                <w:color w:val="auto"/>
                <w:sz w:val="24"/>
                <w:szCs w:val="24"/>
              </w:rPr>
            </w:pPr>
            <w:r>
              <w:rPr>
                <w:rFonts w:hint="eastAsia" w:ascii="仿宋_GB2312" w:hAnsi="仿宋_GB2312" w:eastAsia="仿宋_GB2312" w:cs="仿宋_GB2312"/>
                <w:b/>
                <w:bCs/>
                <w:color w:val="auto"/>
                <w:sz w:val="24"/>
                <w:szCs w:val="24"/>
              </w:rPr>
              <w:t>考核内容</w:t>
            </w:r>
          </w:p>
        </w:tc>
        <w:tc>
          <w:tcPr>
            <w:tcW w:w="3563" w:type="dxa"/>
            <w:vAlign w:val="center"/>
          </w:tcPr>
          <w:p w14:paraId="18F46A60">
            <w:pPr>
              <w:jc w:val="center"/>
              <w:rPr>
                <w:rFonts w:hint="eastAsia" w:ascii="仿宋_GB2312" w:hAnsi="仿宋_GB2312" w:eastAsia="仿宋_GB2312" w:cs="仿宋_GB2312"/>
                <w:b/>
                <w:bCs/>
                <w:color w:val="auto"/>
                <w:sz w:val="24"/>
                <w:szCs w:val="24"/>
              </w:rPr>
            </w:pPr>
            <w:r>
              <w:rPr>
                <w:rFonts w:hint="eastAsia" w:ascii="仿宋_GB2312" w:hAnsi="仿宋_GB2312" w:eastAsia="仿宋_GB2312" w:cs="仿宋_GB2312"/>
                <w:b/>
                <w:bCs/>
                <w:color w:val="auto"/>
                <w:sz w:val="24"/>
                <w:szCs w:val="24"/>
              </w:rPr>
              <w:t>考核标准</w:t>
            </w:r>
          </w:p>
        </w:tc>
        <w:tc>
          <w:tcPr>
            <w:tcW w:w="1400" w:type="dxa"/>
            <w:vAlign w:val="center"/>
          </w:tcPr>
          <w:p w14:paraId="1EBFF88C">
            <w:pPr>
              <w:jc w:val="both"/>
              <w:rPr>
                <w:rFonts w:hint="eastAsia" w:ascii="仿宋_GB2312" w:hAnsi="仿宋_GB2312" w:eastAsia="仿宋_GB2312" w:cs="仿宋_GB2312"/>
                <w:b/>
                <w:bCs/>
                <w:color w:val="auto"/>
                <w:sz w:val="24"/>
                <w:szCs w:val="24"/>
                <w:lang w:val="en-US" w:eastAsia="zh-CN"/>
              </w:rPr>
            </w:pPr>
            <w:r>
              <w:rPr>
                <w:rFonts w:hint="eastAsia" w:ascii="仿宋_GB2312" w:hAnsi="仿宋_GB2312" w:eastAsia="仿宋_GB2312" w:cs="仿宋_GB2312"/>
                <w:b/>
                <w:bCs/>
                <w:color w:val="auto"/>
                <w:sz w:val="24"/>
                <w:szCs w:val="24"/>
                <w:lang w:val="en-US" w:eastAsia="zh-CN"/>
              </w:rPr>
              <w:t>得分：</w:t>
            </w:r>
          </w:p>
        </w:tc>
      </w:tr>
      <w:tr w14:paraId="6DF1D4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rPr>
          <w:cantSplit/>
          <w:trHeight w:val="3566" w:hRule="atLeast"/>
        </w:trPr>
        <w:tc>
          <w:tcPr>
            <w:tcW w:w="1194" w:type="dxa"/>
            <w:vMerge w:val="restart"/>
            <w:vAlign w:val="center"/>
          </w:tcPr>
          <w:p w14:paraId="2D0C968D">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基层社会</w:t>
            </w:r>
          </w:p>
          <w:p w14:paraId="7E92B5C3">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救助经办</w:t>
            </w:r>
          </w:p>
          <w:p w14:paraId="261A549C">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能力服务</w:t>
            </w:r>
          </w:p>
          <w:p w14:paraId="73EEE2F6">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15</w:t>
            </w:r>
            <w:r>
              <w:rPr>
                <w:rFonts w:hint="eastAsia" w:ascii="仿宋_GB2312" w:hAnsi="仿宋_GB2312" w:eastAsia="仿宋_GB2312" w:cs="仿宋_GB2312"/>
                <w:color w:val="auto"/>
              </w:rPr>
              <w:t>分)</w:t>
            </w:r>
          </w:p>
        </w:tc>
        <w:tc>
          <w:tcPr>
            <w:tcW w:w="1485" w:type="dxa"/>
            <w:vAlign w:val="center"/>
          </w:tcPr>
          <w:p w14:paraId="27DF7F77">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社会救助对象入户调查及</w:t>
            </w:r>
          </w:p>
          <w:p w14:paraId="5517D878">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需求收集</w:t>
            </w:r>
          </w:p>
          <w:p w14:paraId="7993DD54">
            <w:pPr>
              <w:jc w:val="center"/>
              <w:rPr>
                <w:rFonts w:hint="eastAsia" w:ascii="仿宋_GB2312" w:hAnsi="仿宋_GB2312" w:eastAsia="仿宋_GB2312" w:cs="仿宋_GB2312"/>
                <w:color w:val="auto"/>
                <w:lang w:eastAsia="zh-CN"/>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7</w:t>
            </w:r>
            <w:r>
              <w:rPr>
                <w:rFonts w:hint="eastAsia" w:ascii="仿宋_GB2312" w:hAnsi="仿宋_GB2312" w:eastAsia="仿宋_GB2312" w:cs="仿宋_GB2312"/>
                <w:color w:val="auto"/>
              </w:rPr>
              <w:t>分</w:t>
            </w:r>
            <w:r>
              <w:rPr>
                <w:rFonts w:hint="eastAsia" w:ascii="仿宋_GB2312" w:hAnsi="仿宋_GB2312" w:eastAsia="仿宋_GB2312" w:cs="仿宋_GB2312"/>
                <w:color w:val="auto"/>
                <w:lang w:val="en-US" w:eastAsia="zh-CN"/>
              </w:rPr>
              <w:t>)</w:t>
            </w:r>
          </w:p>
        </w:tc>
        <w:tc>
          <w:tcPr>
            <w:tcW w:w="7200" w:type="dxa"/>
            <w:vAlign w:val="center"/>
          </w:tcPr>
          <w:p w14:paraId="63B7C301">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入户调查：负责新申请低保、特困人员以及临时救助对象家庭经济状况调查工作。深入到申请低保、特困人员以及临时救助对象家里，核实家庭收入情况和吃穿住</w:t>
            </w:r>
            <w:r>
              <w:rPr>
                <w:rFonts w:hint="eastAsia" w:ascii="仿宋_GB2312" w:hAnsi="仿宋_GB2312" w:eastAsia="仿宋_GB2312" w:cs="仿宋_GB2312"/>
                <w:color w:val="auto"/>
                <w:lang w:val="en-US" w:eastAsia="zh-CN"/>
              </w:rPr>
              <w:t>用</w:t>
            </w:r>
            <w:r>
              <w:rPr>
                <w:rFonts w:hint="eastAsia" w:ascii="仿宋_GB2312" w:hAnsi="仿宋_GB2312" w:eastAsia="仿宋_GB2312" w:cs="仿宋_GB2312"/>
                <w:color w:val="auto"/>
              </w:rPr>
              <w:t>等实际生活情况。</w:t>
            </w:r>
          </w:p>
          <w:p w14:paraId="2159ECA8">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积极落实主动发现机制，协助做好新增社会救助对象排查、上报及信息收集工作，帮助申请对象了解需递交的申请材料和申请程序。</w:t>
            </w:r>
          </w:p>
          <w:p w14:paraId="5545E55A">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(3)</w:t>
            </w:r>
            <w:r>
              <w:rPr>
                <w:rFonts w:hint="eastAsia" w:ascii="仿宋_GB2312" w:hAnsi="仿宋_GB2312" w:eastAsia="仿宋_GB2312" w:cs="仿宋_GB2312"/>
                <w:color w:val="auto"/>
              </w:rPr>
              <w:t>需求收集：深入基层、深入群众，直接面 向群众，进行点对点、面对面服务。主动收集困难群众需求，完善困难群众和特殊群体个人档案。</w:t>
            </w:r>
          </w:p>
          <w:p w14:paraId="073B2843">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(4)</w:t>
            </w:r>
            <w:r>
              <w:rPr>
                <w:rFonts w:hint="eastAsia" w:ascii="仿宋_GB2312" w:hAnsi="仿宋_GB2312" w:eastAsia="仿宋_GB2312" w:cs="仿宋_GB2312"/>
                <w:color w:val="auto"/>
              </w:rPr>
              <w:t>通过协助民政部门开展调查评估、建档访视、需求调研等进行科学评估分析需求，根据困难群众需求统筹设计、承接和实施服务项目。</w:t>
            </w:r>
          </w:p>
          <w:p w14:paraId="33D60CE6">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(5)</w:t>
            </w:r>
            <w:r>
              <w:rPr>
                <w:rFonts w:hint="eastAsia" w:ascii="仿宋_GB2312" w:hAnsi="仿宋_GB2312" w:eastAsia="仿宋_GB2312" w:cs="仿宋_GB2312"/>
                <w:color w:val="auto"/>
              </w:rPr>
              <w:t>预计每年入户调查需求建立档案对象约500户。</w:t>
            </w:r>
          </w:p>
        </w:tc>
        <w:tc>
          <w:tcPr>
            <w:tcW w:w="3563" w:type="dxa"/>
            <w:vAlign w:val="center"/>
          </w:tcPr>
          <w:p w14:paraId="268788EB">
            <w:pPr>
              <w:ind w:firstLine="420" w:firstLineChars="200"/>
              <w:rPr>
                <w:rFonts w:hint="eastAsia" w:ascii="仿宋_GB2312" w:hAnsi="仿宋_GB2312" w:eastAsia="仿宋_GB2312" w:cs="仿宋_GB2312"/>
                <w:color w:val="auto"/>
                <w:lang w:val="en-US" w:eastAsia="zh-CN"/>
              </w:rPr>
            </w:pPr>
            <w:r>
              <w:rPr>
                <w:rFonts w:hint="eastAsia" w:ascii="仿宋_GB2312" w:hAnsi="仿宋_GB2312" w:eastAsia="仿宋_GB2312" w:cs="仿宋_GB2312"/>
                <w:color w:val="auto"/>
              </w:rPr>
              <w:t>新增调查对象跟进及时</w:t>
            </w:r>
            <w:r>
              <w:rPr>
                <w:rFonts w:hint="eastAsia" w:ascii="仿宋_GB2312" w:hAnsi="仿宋_GB2312" w:eastAsia="仿宋_GB2312" w:cs="仿宋_GB2312"/>
                <w:color w:val="auto"/>
                <w:lang w:val="en-US" w:eastAsia="zh-CN"/>
              </w:rPr>
              <w:t>；</w:t>
            </w:r>
            <w:r>
              <w:rPr>
                <w:rFonts w:hint="eastAsia" w:ascii="仿宋_GB2312" w:hAnsi="仿宋_GB2312" w:eastAsia="仿宋_GB2312" w:cs="仿宋_GB2312"/>
                <w:color w:val="auto"/>
              </w:rPr>
              <w:t>相关资料收集完整，评估结果及时准确</w:t>
            </w:r>
            <w:r>
              <w:rPr>
                <w:rFonts w:hint="eastAsia" w:ascii="仿宋_GB2312" w:hAnsi="仿宋_GB2312" w:eastAsia="仿宋_GB2312" w:cs="仿宋_GB2312"/>
                <w:color w:val="auto"/>
                <w:lang w:val="en-US" w:eastAsia="zh-CN"/>
              </w:rPr>
              <w:t>；</w:t>
            </w:r>
          </w:p>
          <w:p w14:paraId="6BC248EA">
            <w:pPr>
              <w:ind w:firstLine="420" w:firstLineChars="200"/>
              <w:rPr>
                <w:rFonts w:hint="eastAsia" w:ascii="仿宋_GB2312" w:hAnsi="仿宋_GB2312" w:eastAsia="仿宋_GB2312" w:cs="仿宋_GB2312"/>
                <w:color w:val="auto"/>
                <w:lang w:eastAsia="zh-CN"/>
              </w:rPr>
            </w:pPr>
            <w:r>
              <w:rPr>
                <w:rFonts w:hint="eastAsia" w:ascii="仿宋_GB2312" w:hAnsi="仿宋_GB2312" w:eastAsia="仿宋_GB2312" w:cs="仿宋_GB2312"/>
                <w:color w:val="auto"/>
              </w:rPr>
              <w:t>每出现一处不符合的扣0.1分</w:t>
            </w:r>
            <w:r>
              <w:rPr>
                <w:rFonts w:hint="eastAsia" w:ascii="仿宋_GB2312" w:hAnsi="仿宋_GB2312" w:eastAsia="仿宋_GB2312" w:cs="仿宋_GB2312"/>
                <w:color w:val="auto"/>
                <w:lang w:eastAsia="zh-CN"/>
              </w:rPr>
              <w:t>。</w:t>
            </w:r>
          </w:p>
        </w:tc>
        <w:tc>
          <w:tcPr>
            <w:tcW w:w="1400" w:type="dxa"/>
            <w:vAlign w:val="center"/>
          </w:tcPr>
          <w:p w14:paraId="3BF66AD6">
            <w:pPr>
              <w:rPr>
                <w:rFonts w:hint="eastAsia" w:ascii="仿宋_GB2312" w:hAnsi="仿宋_GB2312" w:eastAsia="仿宋_GB2312" w:cs="仿宋_GB2312"/>
                <w:color w:val="auto"/>
              </w:rPr>
            </w:pPr>
          </w:p>
        </w:tc>
      </w:tr>
      <w:tr w14:paraId="66C5A1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rPr>
          <w:cantSplit/>
          <w:trHeight w:val="1867" w:hRule="atLeast"/>
        </w:trPr>
        <w:tc>
          <w:tcPr>
            <w:tcW w:w="1194" w:type="dxa"/>
            <w:vMerge w:val="continue"/>
            <w:vAlign w:val="center"/>
          </w:tcPr>
          <w:p w14:paraId="0CF976B0">
            <w:pPr>
              <w:rPr>
                <w:rFonts w:hint="eastAsia" w:ascii="仿宋_GB2312" w:hAnsi="仿宋_GB2312" w:eastAsia="仿宋_GB2312" w:cs="仿宋_GB2312"/>
                <w:color w:val="auto"/>
              </w:rPr>
            </w:pPr>
          </w:p>
        </w:tc>
        <w:tc>
          <w:tcPr>
            <w:tcW w:w="1485" w:type="dxa"/>
            <w:vAlign w:val="center"/>
          </w:tcPr>
          <w:p w14:paraId="1759AFF9">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社会救助服务对象数据服务</w:t>
            </w:r>
          </w:p>
          <w:p w14:paraId="52E12C83">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5</w:t>
            </w:r>
            <w:r>
              <w:rPr>
                <w:rFonts w:hint="eastAsia" w:ascii="仿宋_GB2312" w:hAnsi="仿宋_GB2312" w:eastAsia="仿宋_GB2312" w:cs="仿宋_GB2312"/>
                <w:color w:val="auto"/>
              </w:rPr>
              <w:t>分)</w:t>
            </w:r>
          </w:p>
        </w:tc>
        <w:tc>
          <w:tcPr>
            <w:tcW w:w="7200" w:type="dxa"/>
            <w:vAlign w:val="center"/>
          </w:tcPr>
          <w:p w14:paraId="35915212">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协助民政部门完成社会救助对象年审、半年审核对服务，完成</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rPr>
              <w:t>数字民政</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rPr>
              <w:t>系统的数据录入、基本信息清洗、核对系统审核等服务工作。</w:t>
            </w:r>
          </w:p>
          <w:p w14:paraId="5BD856E4">
            <w:pPr>
              <w:ind w:firstLine="420" w:firstLineChars="200"/>
              <w:rPr>
                <w:rFonts w:hint="eastAsia" w:ascii="仿宋_GB2312" w:hAnsi="仿宋_GB2312" w:eastAsia="仿宋_GB2312" w:cs="仿宋_GB2312"/>
                <w:color w:val="auto"/>
                <w:lang w:val="en-US" w:eastAsia="zh-CN"/>
              </w:rPr>
            </w:pP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社会救助服务对象约1.5万人，根据对象数量动态变化情况，按照实际人数提供数据录入台账。</w:t>
            </w:r>
          </w:p>
        </w:tc>
        <w:tc>
          <w:tcPr>
            <w:tcW w:w="3563" w:type="dxa"/>
            <w:vAlign w:val="center"/>
          </w:tcPr>
          <w:p w14:paraId="1EA028B0">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协助民政部门完成社会救助对象年审、半年审核对服务，完成"数字民政"系统的数据录入、基本信息清洗、核对系统审核等服务工作。</w:t>
            </w:r>
          </w:p>
          <w:p w14:paraId="2BBE9757">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未完成不得分。特殊情况除</w:t>
            </w:r>
            <w:r>
              <w:rPr>
                <w:rFonts w:hint="eastAsia" w:ascii="仿宋_GB2312" w:hAnsi="仿宋_GB2312" w:eastAsia="仿宋_GB2312" w:cs="仿宋_GB2312"/>
                <w:color w:val="auto"/>
                <w:lang w:val="en-US" w:eastAsia="zh-CN"/>
              </w:rPr>
              <w:t>外</w:t>
            </w:r>
            <w:r>
              <w:rPr>
                <w:rFonts w:hint="eastAsia" w:ascii="仿宋_GB2312" w:hAnsi="仿宋_GB2312" w:eastAsia="仿宋_GB2312" w:cs="仿宋_GB2312"/>
                <w:color w:val="auto"/>
              </w:rPr>
              <w:t>。</w:t>
            </w:r>
          </w:p>
        </w:tc>
        <w:tc>
          <w:tcPr>
            <w:tcW w:w="1400" w:type="dxa"/>
            <w:vAlign w:val="center"/>
          </w:tcPr>
          <w:p w14:paraId="4778D411">
            <w:pPr>
              <w:rPr>
                <w:rFonts w:hint="eastAsia" w:ascii="仿宋_GB2312" w:hAnsi="仿宋_GB2312" w:eastAsia="仿宋_GB2312" w:cs="仿宋_GB2312"/>
                <w:color w:val="auto"/>
              </w:rPr>
            </w:pPr>
          </w:p>
        </w:tc>
      </w:tr>
      <w:tr w14:paraId="69648D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rPr>
          <w:cantSplit/>
          <w:trHeight w:val="1842" w:hRule="atLeast"/>
        </w:trPr>
        <w:tc>
          <w:tcPr>
            <w:tcW w:w="1194" w:type="dxa"/>
            <w:vMerge w:val="continue"/>
            <w:vAlign w:val="center"/>
          </w:tcPr>
          <w:p w14:paraId="4C775B4B">
            <w:pPr>
              <w:rPr>
                <w:rFonts w:hint="eastAsia" w:ascii="仿宋_GB2312" w:hAnsi="仿宋_GB2312" w:eastAsia="仿宋_GB2312" w:cs="仿宋_GB2312"/>
                <w:color w:val="auto"/>
              </w:rPr>
            </w:pPr>
          </w:p>
        </w:tc>
        <w:tc>
          <w:tcPr>
            <w:tcW w:w="1485" w:type="dxa"/>
            <w:vAlign w:val="center"/>
          </w:tcPr>
          <w:p w14:paraId="6A5562CE">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民政</w:t>
            </w:r>
            <w:r>
              <w:rPr>
                <w:rFonts w:hint="eastAsia" w:ascii="仿宋_GB2312" w:hAnsi="仿宋_GB2312" w:eastAsia="仿宋_GB2312" w:cs="仿宋_GB2312"/>
                <w:color w:val="auto"/>
              </w:rPr>
              <w:t>领域社工</w:t>
            </w:r>
            <w:r>
              <w:rPr>
                <w:rFonts w:hint="eastAsia" w:ascii="仿宋_GB2312" w:hAnsi="仿宋_GB2312" w:eastAsia="仿宋_GB2312" w:cs="仿宋_GB2312"/>
                <w:color w:val="auto"/>
                <w:lang w:val="en-US" w:eastAsia="zh-CN"/>
              </w:rPr>
              <w:t>服务</w:t>
            </w:r>
            <w:r>
              <w:rPr>
                <w:rFonts w:hint="eastAsia" w:ascii="仿宋_GB2312" w:hAnsi="仿宋_GB2312" w:eastAsia="仿宋_GB2312" w:cs="仿宋_GB2312"/>
                <w:color w:val="auto"/>
              </w:rPr>
              <w:t>务专业培训</w:t>
            </w:r>
          </w:p>
          <w:p w14:paraId="18FF9AD9">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3</w:t>
            </w:r>
            <w:r>
              <w:rPr>
                <w:rFonts w:hint="eastAsia" w:ascii="仿宋_GB2312" w:hAnsi="仿宋_GB2312" w:eastAsia="仿宋_GB2312" w:cs="仿宋_GB2312"/>
                <w:color w:val="auto"/>
              </w:rPr>
              <w:t>分)</w:t>
            </w:r>
          </w:p>
        </w:tc>
        <w:tc>
          <w:tcPr>
            <w:tcW w:w="7200" w:type="dxa"/>
            <w:vAlign w:val="center"/>
          </w:tcPr>
          <w:p w14:paraId="0A652970">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对选聘完成以上服务的驻点人员进行专业培训，培训形式可以线上线下相结合的方式进行。重点培训国家相关法律法规、民政政策制度，社会工作理论与方法以及社会工作实务。</w:t>
            </w:r>
          </w:p>
          <w:p w14:paraId="6793299C">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(2)驻点人员</w:t>
            </w:r>
            <w:r>
              <w:rPr>
                <w:rFonts w:hint="eastAsia" w:ascii="仿宋_GB2312" w:hAnsi="仿宋_GB2312" w:eastAsia="仿宋_GB2312" w:cs="仿宋_GB2312"/>
                <w:color w:val="auto"/>
              </w:rPr>
              <w:t>每年接受培训时间不得少于60学时。</w:t>
            </w:r>
          </w:p>
        </w:tc>
        <w:tc>
          <w:tcPr>
            <w:tcW w:w="3563" w:type="dxa"/>
            <w:vAlign w:val="center"/>
          </w:tcPr>
          <w:p w14:paraId="29BD5C0D">
            <w:pPr>
              <w:ind w:firstLine="420" w:firstLineChars="200"/>
              <w:rPr>
                <w:rFonts w:hint="eastAsia" w:ascii="仿宋_GB2312" w:hAnsi="仿宋_GB2312" w:eastAsia="仿宋_GB2312" w:cs="仿宋_GB2312"/>
                <w:color w:val="auto"/>
                <w:lang w:val="en-US" w:eastAsia="zh-CN"/>
              </w:rPr>
            </w:pPr>
            <w:r>
              <w:rPr>
                <w:rFonts w:hint="eastAsia" w:ascii="仿宋_GB2312" w:hAnsi="仿宋_GB2312" w:eastAsia="仿宋_GB2312" w:cs="仿宋_GB2312"/>
                <w:color w:val="auto"/>
              </w:rPr>
              <w:t>检查该期开展培训活动签到表、活动照片等佐证材料</w:t>
            </w:r>
            <w:r>
              <w:rPr>
                <w:rFonts w:hint="eastAsia" w:ascii="仿宋_GB2312" w:hAnsi="仿宋_GB2312" w:eastAsia="仿宋_GB2312" w:cs="仿宋_GB2312"/>
                <w:color w:val="auto"/>
                <w:lang w:val="en-US" w:eastAsia="zh-CN"/>
              </w:rPr>
              <w:t>，</w:t>
            </w:r>
            <w:r>
              <w:rPr>
                <w:rFonts w:hint="eastAsia" w:ascii="仿宋_GB2312" w:hAnsi="仿宋_GB2312" w:eastAsia="仿宋_GB2312" w:cs="仿宋_GB2312"/>
                <w:color w:val="auto"/>
              </w:rPr>
              <w:t>确定活动完成率和参与率</w:t>
            </w:r>
            <w:r>
              <w:rPr>
                <w:rFonts w:hint="eastAsia" w:ascii="仿宋_GB2312" w:hAnsi="仿宋_GB2312" w:eastAsia="仿宋_GB2312" w:cs="仿宋_GB2312"/>
                <w:color w:val="auto"/>
                <w:lang w:eastAsia="zh-CN"/>
              </w:rPr>
              <w:t>。</w:t>
            </w:r>
          </w:p>
          <w:p w14:paraId="7055B29E">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每缺少1场活动佐证材料扣1分。</w:t>
            </w:r>
          </w:p>
        </w:tc>
        <w:tc>
          <w:tcPr>
            <w:tcW w:w="1400" w:type="dxa"/>
            <w:vAlign w:val="center"/>
          </w:tcPr>
          <w:p w14:paraId="7AC789E2">
            <w:pPr>
              <w:rPr>
                <w:rFonts w:hint="eastAsia" w:ascii="仿宋_GB2312" w:hAnsi="仿宋_GB2312" w:eastAsia="仿宋_GB2312" w:cs="仿宋_GB2312"/>
                <w:color w:val="auto"/>
              </w:rPr>
            </w:pPr>
          </w:p>
        </w:tc>
      </w:tr>
      <w:tr w14:paraId="59298F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rPr>
          <w:cantSplit/>
          <w:trHeight w:val="1863" w:hRule="atLeast"/>
        </w:trPr>
        <w:tc>
          <w:tcPr>
            <w:tcW w:w="1194" w:type="dxa"/>
            <w:vMerge w:val="restart"/>
            <w:vAlign w:val="center"/>
          </w:tcPr>
          <w:p w14:paraId="420A8AD5">
            <w:pPr>
              <w:numPr>
                <w:ilvl w:val="0"/>
                <w:numId w:val="0"/>
              </w:numPr>
              <w:jc w:val="both"/>
              <w:rPr>
                <w:rFonts w:hint="eastAsia" w:ascii="仿宋_GB2312" w:hAnsi="仿宋_GB2312" w:eastAsia="仿宋_GB2312" w:cs="仿宋_GB2312"/>
                <w:color w:val="auto"/>
                <w:lang w:val="en-US" w:eastAsia="zh-CN"/>
              </w:rPr>
            </w:pPr>
            <w:r>
              <w:rPr>
                <w:rFonts w:hint="eastAsia" w:ascii="仿宋_GB2312" w:hAnsi="仿宋_GB2312" w:eastAsia="仿宋_GB2312" w:cs="仿宋_GB2312"/>
                <w:color w:val="auto"/>
              </w:rPr>
              <w:t>“物质+服务”社会救助</w:t>
            </w:r>
            <w:r>
              <w:rPr>
                <w:rFonts w:hint="eastAsia" w:ascii="仿宋_GB2312" w:hAnsi="仿宋_GB2312" w:eastAsia="仿宋_GB2312" w:cs="仿宋_GB2312"/>
                <w:color w:val="auto"/>
                <w:lang w:val="en-US" w:eastAsia="zh-CN"/>
              </w:rPr>
              <w:t>购买服务</w:t>
            </w:r>
          </w:p>
          <w:p w14:paraId="430E2EC8">
            <w:pPr>
              <w:numPr>
                <w:ilvl w:val="0"/>
                <w:numId w:val="0"/>
              </w:numPr>
              <w:jc w:val="center"/>
              <w:rPr>
                <w:rFonts w:hint="eastAsia" w:ascii="仿宋_GB2312" w:hAnsi="仿宋_GB2312" w:eastAsia="仿宋_GB2312" w:cs="仿宋_GB2312"/>
                <w:color w:val="auto"/>
                <w:lang w:val="en-US" w:eastAsia="zh-CN"/>
              </w:rPr>
            </w:pPr>
            <w:r>
              <w:rPr>
                <w:rFonts w:hint="eastAsia" w:ascii="仿宋_GB2312" w:hAnsi="仿宋_GB2312" w:eastAsia="仿宋_GB2312" w:cs="仿宋_GB2312"/>
                <w:color w:val="auto"/>
                <w:lang w:val="en-US" w:eastAsia="zh-CN"/>
              </w:rPr>
              <w:t>（12分）</w:t>
            </w:r>
          </w:p>
        </w:tc>
        <w:tc>
          <w:tcPr>
            <w:tcW w:w="1485" w:type="dxa"/>
            <w:vAlign w:val="center"/>
          </w:tcPr>
          <w:p w14:paraId="02DAFA27">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民政</w:t>
            </w:r>
            <w:r>
              <w:rPr>
                <w:rFonts w:hint="eastAsia" w:ascii="仿宋_GB2312" w:hAnsi="仿宋_GB2312" w:eastAsia="仿宋_GB2312" w:cs="仿宋_GB2312"/>
                <w:color w:val="auto"/>
              </w:rPr>
              <w:t>政策宣传</w:t>
            </w:r>
          </w:p>
          <w:p w14:paraId="44CAA000">
            <w:pPr>
              <w:jc w:val="center"/>
              <w:rPr>
                <w:rFonts w:hint="eastAsia" w:ascii="仿宋_GB2312" w:hAnsi="仿宋_GB2312" w:eastAsia="仿宋_GB2312" w:cs="仿宋_GB2312"/>
                <w:color w:val="auto"/>
                <w:lang w:val="en-US" w:eastAsia="zh-CN"/>
              </w:rPr>
            </w:pPr>
            <w:r>
              <w:rPr>
                <w:rFonts w:hint="eastAsia" w:ascii="仿宋_GB2312" w:hAnsi="仿宋_GB2312" w:eastAsia="仿宋_GB2312" w:cs="仿宋_GB2312"/>
                <w:color w:val="auto"/>
              </w:rPr>
              <w:t>咨询服务</w:t>
            </w:r>
          </w:p>
          <w:p w14:paraId="3B49C01D">
            <w:pPr>
              <w:jc w:val="center"/>
              <w:rPr>
                <w:rFonts w:hint="eastAsia" w:ascii="仿宋_GB2312" w:hAnsi="仿宋_GB2312" w:eastAsia="仿宋_GB2312" w:cs="仿宋_GB2312"/>
                <w:color w:val="auto"/>
                <w:lang w:val="en-US" w:eastAsia="zh-CN"/>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5分）</w:t>
            </w:r>
          </w:p>
        </w:tc>
        <w:tc>
          <w:tcPr>
            <w:tcW w:w="7200" w:type="dxa"/>
            <w:vAlign w:val="center"/>
          </w:tcPr>
          <w:p w14:paraId="39B71F74">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对全县村居进行全覆盖，对社会救助对象进行口头宣教、发放资料。</w:t>
            </w:r>
          </w:p>
          <w:p w14:paraId="67C8D9A3">
            <w:pPr>
              <w:ind w:firstLine="420" w:firstLineChars="200"/>
              <w:rPr>
                <w:rFonts w:hint="eastAsia" w:ascii="仿宋_GB2312" w:hAnsi="仿宋_GB2312" w:eastAsia="仿宋_GB2312" w:cs="仿宋_GB2312"/>
                <w:color w:val="auto"/>
                <w:lang w:eastAsia="zh-CN"/>
              </w:rPr>
            </w:pP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在每个村委(居)宣传栏、公示栏等居民聚集地张贴</w:t>
            </w:r>
            <w:r>
              <w:rPr>
                <w:rFonts w:hint="eastAsia" w:ascii="仿宋_GB2312" w:hAnsi="仿宋_GB2312" w:eastAsia="仿宋_GB2312" w:cs="仿宋_GB2312"/>
                <w:color w:val="auto"/>
                <w:lang w:eastAsia="zh-CN"/>
              </w:rPr>
              <w:t>。</w:t>
            </w:r>
          </w:p>
          <w:p w14:paraId="59091D09">
            <w:pPr>
              <w:ind w:firstLine="420" w:firstLineChars="200"/>
              <w:rPr>
                <w:rFonts w:hint="eastAsia" w:ascii="仿宋_GB2312" w:hAnsi="仿宋_GB2312" w:eastAsia="仿宋_GB2312" w:cs="仿宋_GB2312"/>
                <w:color w:val="auto"/>
                <w:lang w:eastAsia="zh-CN"/>
              </w:rPr>
            </w:pPr>
            <w:r>
              <w:rPr>
                <w:rFonts w:hint="eastAsia" w:ascii="仿宋_GB2312" w:hAnsi="仿宋_GB2312" w:eastAsia="仿宋_GB2312" w:cs="仿宋_GB2312"/>
                <w:color w:val="auto"/>
                <w:lang w:val="en-US" w:eastAsia="zh-CN"/>
              </w:rPr>
              <w:t>(3)</w:t>
            </w:r>
            <w:r>
              <w:rPr>
                <w:rFonts w:hint="eastAsia" w:ascii="仿宋_GB2312" w:hAnsi="仿宋_GB2312" w:eastAsia="仿宋_GB2312" w:cs="仿宋_GB2312"/>
                <w:color w:val="auto"/>
              </w:rPr>
              <w:t>1M*2M的不干胶铜版纸宣传海报。举行一次政策集中宣传活动，预计发放宣传资料10000份。</w:t>
            </w:r>
          </w:p>
        </w:tc>
        <w:tc>
          <w:tcPr>
            <w:tcW w:w="3563" w:type="dxa"/>
            <w:vAlign w:val="center"/>
          </w:tcPr>
          <w:p w14:paraId="71BBA525">
            <w:pPr>
              <w:rPr>
                <w:rFonts w:hint="eastAsia" w:ascii="仿宋_GB2312" w:hAnsi="仿宋_GB2312" w:eastAsia="仿宋_GB2312" w:cs="仿宋_GB2312"/>
                <w:color w:val="auto"/>
                <w:lang w:eastAsia="zh-CN"/>
              </w:rPr>
            </w:pPr>
            <w:r>
              <w:rPr>
                <w:rFonts w:hint="eastAsia" w:ascii="仿宋_GB2312" w:hAnsi="仿宋_GB2312" w:eastAsia="仿宋_GB2312" w:cs="仿宋_GB2312"/>
                <w:color w:val="auto"/>
                <w:lang w:val="en-US" w:eastAsia="zh-CN"/>
              </w:rPr>
              <w:t xml:space="preserve">  </w:t>
            </w:r>
            <w:r>
              <w:rPr>
                <w:rFonts w:hint="eastAsia" w:ascii="仿宋_GB2312" w:hAnsi="仿宋_GB2312" w:eastAsia="仿宋_GB2312" w:cs="仿宋_GB2312"/>
                <w:color w:val="auto"/>
              </w:rPr>
              <w:t>检查不低于二分之一数量的村委(居)宣传栏、公示栏等居民聚集地张贴宣传海报情况</w:t>
            </w:r>
            <w:r>
              <w:rPr>
                <w:rFonts w:hint="eastAsia" w:ascii="仿宋_GB2312" w:hAnsi="仿宋_GB2312" w:eastAsia="仿宋_GB2312" w:cs="仿宋_GB2312"/>
                <w:color w:val="auto"/>
                <w:lang w:eastAsia="zh-CN"/>
              </w:rPr>
              <w:t>。</w:t>
            </w:r>
          </w:p>
          <w:p w14:paraId="0335B519">
            <w:pPr>
              <w:rPr>
                <w:rFonts w:hint="eastAsia" w:ascii="仿宋_GB2312" w:hAnsi="仿宋_GB2312" w:eastAsia="仿宋_GB2312" w:cs="仿宋_GB2312"/>
                <w:color w:val="auto"/>
                <w:lang w:val="en-US" w:eastAsia="zh-CN"/>
              </w:rPr>
            </w:pPr>
            <w:r>
              <w:rPr>
                <w:rFonts w:hint="eastAsia" w:ascii="仿宋_GB2312" w:hAnsi="仿宋_GB2312" w:eastAsia="仿宋_GB2312" w:cs="仿宋_GB2312"/>
                <w:color w:val="auto"/>
              </w:rPr>
              <w:t>每少一</w:t>
            </w:r>
            <w:r>
              <w:rPr>
                <w:rFonts w:hint="eastAsia" w:ascii="仿宋_GB2312" w:hAnsi="仿宋_GB2312" w:eastAsia="仿宋_GB2312" w:cs="仿宋_GB2312"/>
                <w:color w:val="auto"/>
                <w:lang w:val="en-US" w:eastAsia="zh-CN"/>
              </w:rPr>
              <w:t>处扣0.3分（若能提供佐证材料则不扣分）</w:t>
            </w:r>
          </w:p>
        </w:tc>
        <w:tc>
          <w:tcPr>
            <w:tcW w:w="1400" w:type="dxa"/>
            <w:vAlign w:val="center"/>
          </w:tcPr>
          <w:p w14:paraId="2B28E569">
            <w:pPr>
              <w:rPr>
                <w:rFonts w:hint="eastAsia" w:ascii="仿宋_GB2312" w:hAnsi="仿宋_GB2312" w:eastAsia="仿宋_GB2312" w:cs="仿宋_GB2312"/>
                <w:color w:val="auto"/>
              </w:rPr>
            </w:pPr>
          </w:p>
        </w:tc>
      </w:tr>
      <w:tr w14:paraId="618275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rPr>
          <w:cantSplit/>
          <w:trHeight w:val="2121" w:hRule="atLeast"/>
        </w:trPr>
        <w:tc>
          <w:tcPr>
            <w:tcW w:w="1194" w:type="dxa"/>
            <w:vMerge w:val="continue"/>
            <w:vAlign w:val="center"/>
          </w:tcPr>
          <w:p w14:paraId="2F9DD020">
            <w:pPr>
              <w:rPr>
                <w:rFonts w:hint="eastAsia" w:ascii="仿宋_GB2312" w:hAnsi="仿宋_GB2312" w:eastAsia="仿宋_GB2312" w:cs="仿宋_GB2312"/>
                <w:color w:val="auto"/>
              </w:rPr>
            </w:pPr>
          </w:p>
        </w:tc>
        <w:tc>
          <w:tcPr>
            <w:tcW w:w="1485" w:type="dxa"/>
            <w:vAlign w:val="center"/>
          </w:tcPr>
          <w:p w14:paraId="2DF1F41F">
            <w:pPr>
              <w:numPr>
                <w:ilvl w:val="0"/>
                <w:numId w:val="0"/>
              </w:num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解困</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rPr>
              <w:t>脱困家庭重病</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rPr>
              <w:t>重残对象及重度失能残疾人探访关爱服务</w:t>
            </w:r>
          </w:p>
          <w:p w14:paraId="0E72CCFB">
            <w:pPr>
              <w:numPr>
                <w:ilvl w:val="0"/>
                <w:numId w:val="0"/>
              </w:num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4</w:t>
            </w:r>
            <w:r>
              <w:rPr>
                <w:rFonts w:hint="eastAsia" w:ascii="仿宋_GB2312" w:hAnsi="仿宋_GB2312" w:eastAsia="仿宋_GB2312" w:cs="仿宋_GB2312"/>
                <w:color w:val="auto"/>
              </w:rPr>
              <w:t>分)</w:t>
            </w:r>
          </w:p>
        </w:tc>
        <w:tc>
          <w:tcPr>
            <w:tcW w:w="7200" w:type="dxa"/>
            <w:vAlign w:val="center"/>
          </w:tcPr>
          <w:p w14:paraId="38422A83">
            <w:pPr>
              <w:ind w:firstLine="420" w:firstLineChars="200"/>
              <w:rPr>
                <w:rFonts w:hint="eastAsia" w:ascii="仿宋_GB2312" w:hAnsi="仿宋_GB2312" w:eastAsia="仿宋_GB2312" w:cs="仿宋_GB2312"/>
                <w:color w:val="auto"/>
                <w:lang w:eastAsia="zh-CN"/>
              </w:rPr>
            </w:pP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针对城镇解困脱困重病重残对象及重度失能残疾人，在每月一次“一问二看三查”探访关爱服务</w:t>
            </w:r>
            <w:r>
              <w:rPr>
                <w:rFonts w:hint="eastAsia" w:ascii="仿宋_GB2312" w:hAnsi="仿宋_GB2312" w:eastAsia="仿宋_GB2312" w:cs="仿宋_GB2312"/>
                <w:color w:val="auto"/>
                <w:lang w:eastAsia="zh-CN"/>
              </w:rPr>
              <w:t>。</w:t>
            </w:r>
          </w:p>
          <w:p w14:paraId="2EBCA9AD">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详细摸排了解其健康状况、安全问题、精神状况等情况，关注其生活变化情况以及救助需求，并及时进行风险干预，反馈相关部门，做到“早发现、早报告、早救助”。</w:t>
            </w:r>
          </w:p>
          <w:p w14:paraId="7C798790">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(探访关爱预计100人)</w:t>
            </w:r>
          </w:p>
        </w:tc>
        <w:tc>
          <w:tcPr>
            <w:tcW w:w="3563" w:type="dxa"/>
            <w:vAlign w:val="center"/>
          </w:tcPr>
          <w:p w14:paraId="6E0128A9">
            <w:pPr>
              <w:ind w:firstLine="420" w:firstLineChars="200"/>
              <w:rPr>
                <w:rFonts w:hint="eastAsia" w:ascii="仿宋_GB2312" w:hAnsi="仿宋_GB2312" w:eastAsia="仿宋_GB2312" w:cs="仿宋_GB2312"/>
                <w:color w:val="auto"/>
                <w:lang w:eastAsia="zh-CN"/>
              </w:rPr>
            </w:pPr>
            <w:r>
              <w:rPr>
                <w:rFonts w:hint="eastAsia" w:ascii="仿宋_GB2312" w:hAnsi="仿宋_GB2312" w:eastAsia="仿宋_GB2312" w:cs="仿宋_GB2312"/>
                <w:color w:val="auto"/>
              </w:rPr>
              <w:t>服务对象入户及时</w:t>
            </w:r>
            <w:r>
              <w:rPr>
                <w:rFonts w:hint="eastAsia" w:ascii="仿宋_GB2312" w:hAnsi="仿宋_GB2312" w:eastAsia="仿宋_GB2312" w:cs="仿宋_GB2312"/>
                <w:color w:val="auto"/>
                <w:lang w:eastAsia="zh-CN"/>
              </w:rPr>
              <w:t>。</w:t>
            </w:r>
          </w:p>
          <w:p w14:paraId="3F4FAF92">
            <w:pPr>
              <w:ind w:firstLine="420" w:firstLineChars="200"/>
              <w:rPr>
                <w:rFonts w:hint="eastAsia" w:ascii="仿宋_GB2312" w:hAnsi="仿宋_GB2312" w:eastAsia="仿宋_GB2312" w:cs="仿宋_GB2312"/>
                <w:color w:val="auto"/>
                <w:lang w:eastAsia="zh-CN"/>
              </w:rPr>
            </w:pPr>
            <w:r>
              <w:rPr>
                <w:rFonts w:hint="eastAsia" w:ascii="仿宋_GB2312" w:hAnsi="仿宋_GB2312" w:eastAsia="仿宋_GB2312" w:cs="仿宋_GB2312"/>
                <w:color w:val="auto"/>
              </w:rPr>
              <w:t>服务次数符合要求</w:t>
            </w:r>
            <w:r>
              <w:rPr>
                <w:rFonts w:hint="eastAsia" w:ascii="仿宋_GB2312" w:hAnsi="仿宋_GB2312" w:eastAsia="仿宋_GB2312" w:cs="仿宋_GB2312"/>
                <w:color w:val="auto"/>
                <w:lang w:eastAsia="zh-CN"/>
              </w:rPr>
              <w:t>。</w:t>
            </w:r>
          </w:p>
          <w:p w14:paraId="070954C3">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每出现一例入户不及时或服务次数不符合要求的，扣0.1分。</w:t>
            </w:r>
          </w:p>
        </w:tc>
        <w:tc>
          <w:tcPr>
            <w:tcW w:w="1400" w:type="dxa"/>
            <w:vAlign w:val="center"/>
          </w:tcPr>
          <w:p w14:paraId="042E2ED1">
            <w:pPr>
              <w:rPr>
                <w:rFonts w:hint="eastAsia" w:ascii="仿宋_GB2312" w:hAnsi="仿宋_GB2312" w:eastAsia="仿宋_GB2312" w:cs="仿宋_GB2312"/>
                <w:color w:val="auto"/>
              </w:rPr>
            </w:pPr>
          </w:p>
        </w:tc>
      </w:tr>
      <w:tr w14:paraId="51272C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rPr>
          <w:cantSplit/>
          <w:trHeight w:val="2593" w:hRule="atLeast"/>
        </w:trPr>
        <w:tc>
          <w:tcPr>
            <w:tcW w:w="1194" w:type="dxa"/>
            <w:vMerge w:val="continue"/>
            <w:vAlign w:val="center"/>
          </w:tcPr>
          <w:p w14:paraId="497D4C88">
            <w:pPr>
              <w:rPr>
                <w:rFonts w:hint="eastAsia" w:ascii="仿宋_GB2312" w:hAnsi="仿宋_GB2312" w:eastAsia="仿宋_GB2312" w:cs="仿宋_GB2312"/>
                <w:color w:val="auto"/>
              </w:rPr>
            </w:pPr>
          </w:p>
        </w:tc>
        <w:tc>
          <w:tcPr>
            <w:tcW w:w="1485" w:type="dxa"/>
            <w:vAlign w:val="center"/>
          </w:tcPr>
          <w:p w14:paraId="5A92ED0D">
            <w:pPr>
              <w:numPr>
                <w:ilvl w:val="0"/>
                <w:numId w:val="0"/>
              </w:numPr>
              <w:ind w:leftChars="0"/>
              <w:jc w:val="center"/>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民政</w:t>
            </w:r>
            <w:r>
              <w:rPr>
                <w:rFonts w:hint="eastAsia" w:ascii="仿宋_GB2312" w:hAnsi="仿宋_GB2312" w:eastAsia="仿宋_GB2312" w:cs="仿宋_GB2312"/>
                <w:color w:val="auto"/>
              </w:rPr>
              <w:t>领域品牌服务活动</w:t>
            </w:r>
          </w:p>
          <w:p w14:paraId="35B944E4">
            <w:pPr>
              <w:numPr>
                <w:ilvl w:val="0"/>
                <w:numId w:val="0"/>
              </w:numPr>
              <w:ind w:leftChars="0"/>
              <w:jc w:val="center"/>
              <w:rPr>
                <w:rFonts w:hint="eastAsia" w:ascii="仿宋_GB2312" w:hAnsi="仿宋_GB2312" w:eastAsia="仿宋_GB2312" w:cs="仿宋_GB2312"/>
                <w:color w:val="auto"/>
                <w:lang w:val="en-US" w:eastAsia="zh-CN"/>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3</w:t>
            </w:r>
            <w:r>
              <w:rPr>
                <w:rFonts w:hint="eastAsia" w:ascii="仿宋_GB2312" w:hAnsi="仿宋_GB2312" w:eastAsia="仿宋_GB2312" w:cs="仿宋_GB2312"/>
                <w:color w:val="auto"/>
              </w:rPr>
              <w:t>分)</w:t>
            </w:r>
          </w:p>
        </w:tc>
        <w:tc>
          <w:tcPr>
            <w:tcW w:w="7200" w:type="dxa"/>
            <w:vAlign w:val="center"/>
          </w:tcPr>
          <w:p w14:paraId="3E1C95F7">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打造</w:t>
            </w:r>
            <w:r>
              <w:rPr>
                <w:rFonts w:hint="eastAsia" w:ascii="仿宋_GB2312" w:hAnsi="仿宋_GB2312" w:eastAsia="仿宋_GB2312" w:cs="仿宋_GB2312"/>
                <w:color w:val="auto"/>
                <w:lang w:val="en-US" w:eastAsia="zh-CN"/>
              </w:rPr>
              <w:t>民政</w:t>
            </w:r>
            <w:r>
              <w:rPr>
                <w:rFonts w:hint="eastAsia" w:ascii="仿宋_GB2312" w:hAnsi="仿宋_GB2312" w:eastAsia="仿宋_GB2312" w:cs="仿宋_GB2312"/>
                <w:color w:val="auto"/>
              </w:rPr>
              <w:t>领域服务品牌，定期开展社会救 助实践品牌服务，重点针对低保户、特困户、孤老孤儿、事实无人抚养儿童等特殊 类型群体。</w:t>
            </w:r>
          </w:p>
          <w:p w14:paraId="49D0DFB9">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全年开展5场走访慰问或社区服务活动。</w:t>
            </w:r>
          </w:p>
        </w:tc>
        <w:tc>
          <w:tcPr>
            <w:tcW w:w="3563" w:type="dxa"/>
            <w:vAlign w:val="center"/>
          </w:tcPr>
          <w:p w14:paraId="392138A6">
            <w:pPr>
              <w:ind w:firstLine="420" w:firstLineChars="200"/>
              <w:rPr>
                <w:rFonts w:hint="eastAsia" w:ascii="仿宋_GB2312" w:hAnsi="仿宋_GB2312" w:eastAsia="仿宋_GB2312" w:cs="仿宋_GB2312"/>
                <w:snapToGrid w:val="0"/>
                <w:color w:val="auto"/>
                <w:kern w:val="0"/>
                <w:sz w:val="21"/>
                <w:szCs w:val="21"/>
                <w:lang w:val="en-US" w:eastAsia="zh-CN" w:bidi="ar-SA"/>
              </w:rPr>
            </w:pPr>
            <w:r>
              <w:rPr>
                <w:rFonts w:hint="eastAsia" w:ascii="仿宋_GB2312" w:hAnsi="仿宋_GB2312" w:eastAsia="仿宋_GB2312" w:cs="仿宋_GB2312"/>
                <w:snapToGrid w:val="0"/>
                <w:color w:val="auto"/>
                <w:kern w:val="0"/>
                <w:sz w:val="21"/>
                <w:szCs w:val="21"/>
                <w:lang w:val="en-US" w:eastAsia="en-US" w:bidi="ar-SA"/>
              </w:rPr>
              <w:t>检查该期所开展活动签到表、</w:t>
            </w:r>
            <w:r>
              <w:rPr>
                <w:rFonts w:hint="eastAsia" w:ascii="仿宋_GB2312" w:hAnsi="仿宋_GB2312" w:eastAsia="仿宋_GB2312" w:cs="仿宋_GB2312"/>
                <w:snapToGrid w:val="0"/>
                <w:color w:val="auto"/>
                <w:kern w:val="0"/>
                <w:sz w:val="21"/>
                <w:szCs w:val="21"/>
                <w:lang w:val="en-US" w:eastAsia="zh-CN" w:bidi="ar-SA"/>
              </w:rPr>
              <w:t>活动</w:t>
            </w:r>
            <w:r>
              <w:rPr>
                <w:rFonts w:hint="eastAsia" w:ascii="仿宋_GB2312" w:hAnsi="仿宋_GB2312" w:eastAsia="仿宋_GB2312" w:cs="仿宋_GB2312"/>
                <w:snapToGrid w:val="0"/>
                <w:color w:val="auto"/>
                <w:kern w:val="0"/>
                <w:sz w:val="21"/>
                <w:szCs w:val="21"/>
                <w:lang w:val="en-US" w:eastAsia="en-US" w:bidi="ar-SA"/>
              </w:rPr>
              <w:t>动照片等佐证材料，确定活动完成率</w:t>
            </w:r>
            <w:r>
              <w:rPr>
                <w:rFonts w:hint="eastAsia" w:ascii="仿宋_GB2312" w:hAnsi="仿宋_GB2312" w:eastAsia="仿宋_GB2312" w:cs="仿宋_GB2312"/>
                <w:snapToGrid w:val="0"/>
                <w:color w:val="auto"/>
                <w:kern w:val="0"/>
                <w:sz w:val="21"/>
                <w:szCs w:val="21"/>
                <w:lang w:val="en-US" w:eastAsia="zh-CN" w:bidi="ar-SA"/>
              </w:rPr>
              <w:t>。</w:t>
            </w:r>
          </w:p>
          <w:p w14:paraId="68C2819C">
            <w:pPr>
              <w:ind w:left="420" w:leftChars="200" w:firstLine="0" w:firstLineChars="0"/>
              <w:rPr>
                <w:rFonts w:hint="eastAsia" w:ascii="仿宋_GB2312" w:hAnsi="仿宋_GB2312" w:eastAsia="仿宋_GB2312" w:cs="仿宋_GB2312"/>
                <w:snapToGrid w:val="0"/>
                <w:color w:val="auto"/>
                <w:kern w:val="0"/>
                <w:sz w:val="21"/>
                <w:szCs w:val="21"/>
                <w:lang w:val="en-US" w:eastAsia="zh-CN" w:bidi="ar-SA"/>
              </w:rPr>
            </w:pPr>
            <w:r>
              <w:rPr>
                <w:rFonts w:hint="eastAsia" w:ascii="仿宋_GB2312" w:hAnsi="仿宋_GB2312" w:eastAsia="仿宋_GB2312" w:cs="仿宋_GB2312"/>
                <w:snapToGrid w:val="0"/>
                <w:color w:val="auto"/>
                <w:kern w:val="0"/>
                <w:sz w:val="21"/>
                <w:szCs w:val="21"/>
                <w:lang w:val="en-US" w:eastAsia="en-US" w:bidi="ar-SA"/>
              </w:rPr>
              <w:t>每缺1场活动佐证材料扣0.5分</w:t>
            </w:r>
            <w:r>
              <w:rPr>
                <w:rFonts w:hint="eastAsia" w:ascii="仿宋_GB2312" w:hAnsi="仿宋_GB2312" w:eastAsia="仿宋_GB2312" w:cs="仿宋_GB2312"/>
                <w:snapToGrid w:val="0"/>
                <w:color w:val="auto"/>
                <w:kern w:val="0"/>
                <w:sz w:val="21"/>
                <w:szCs w:val="21"/>
                <w:lang w:val="en-US" w:eastAsia="zh-CN" w:bidi="ar-SA"/>
              </w:rPr>
              <w:t>。</w:t>
            </w:r>
          </w:p>
          <w:p w14:paraId="1CF1B542">
            <w:pPr>
              <w:ind w:firstLine="420"/>
              <w:rPr>
                <w:rFonts w:hint="eastAsia" w:ascii="仿宋_GB2312" w:hAnsi="仿宋_GB2312" w:eastAsia="仿宋_GB2312" w:cs="仿宋_GB2312"/>
                <w:snapToGrid w:val="0"/>
                <w:color w:val="auto"/>
                <w:kern w:val="0"/>
                <w:sz w:val="21"/>
                <w:szCs w:val="21"/>
                <w:lang w:val="en-US" w:eastAsia="zh-CN" w:bidi="ar-SA"/>
              </w:rPr>
            </w:pPr>
            <w:r>
              <w:rPr>
                <w:rFonts w:hint="eastAsia" w:ascii="仿宋_GB2312" w:hAnsi="仿宋_GB2312" w:eastAsia="仿宋_GB2312" w:cs="仿宋_GB2312"/>
                <w:snapToGrid w:val="0"/>
                <w:color w:val="auto"/>
                <w:kern w:val="0"/>
                <w:sz w:val="21"/>
                <w:szCs w:val="21"/>
                <w:lang w:val="en-US" w:eastAsia="zh-CN" w:bidi="ar-SA"/>
              </w:rPr>
              <w:t>随</w:t>
            </w:r>
            <w:r>
              <w:rPr>
                <w:rFonts w:hint="eastAsia" w:ascii="仿宋_GB2312" w:hAnsi="仿宋_GB2312" w:eastAsia="仿宋_GB2312" w:cs="仿宋_GB2312"/>
                <w:snapToGrid w:val="0"/>
                <w:color w:val="auto"/>
                <w:kern w:val="0"/>
                <w:sz w:val="21"/>
                <w:szCs w:val="21"/>
                <w:lang w:val="en-US" w:eastAsia="en-US" w:bidi="ar-SA"/>
              </w:rPr>
              <w:t>机抽取不低于2%的服务对象</w:t>
            </w:r>
            <w:r>
              <w:rPr>
                <w:rFonts w:hint="eastAsia" w:ascii="仿宋_GB2312" w:hAnsi="仿宋_GB2312" w:eastAsia="仿宋_GB2312" w:cs="仿宋_GB2312"/>
                <w:snapToGrid w:val="0"/>
                <w:color w:val="auto"/>
                <w:kern w:val="0"/>
                <w:sz w:val="21"/>
                <w:szCs w:val="21"/>
                <w:lang w:val="en-US" w:eastAsia="zh-CN" w:bidi="ar-SA"/>
              </w:rPr>
              <w:t>。</w:t>
            </w:r>
          </w:p>
          <w:p w14:paraId="3F05F9DF">
            <w:pPr>
              <w:ind w:firstLine="420"/>
              <w:rPr>
                <w:rFonts w:hint="eastAsia" w:ascii="仿宋_GB2312" w:hAnsi="仿宋_GB2312" w:eastAsia="仿宋_GB2312" w:cs="仿宋_GB2312"/>
                <w:snapToGrid w:val="0"/>
                <w:color w:val="auto"/>
                <w:kern w:val="0"/>
                <w:sz w:val="21"/>
                <w:szCs w:val="21"/>
                <w:lang w:val="en-US" w:eastAsia="en-US" w:bidi="ar-SA"/>
              </w:rPr>
            </w:pPr>
            <w:r>
              <w:rPr>
                <w:rFonts w:hint="eastAsia" w:ascii="仿宋_GB2312" w:hAnsi="仿宋_GB2312" w:eastAsia="仿宋_GB2312" w:cs="仿宋_GB2312"/>
                <w:snapToGrid w:val="0"/>
                <w:color w:val="auto"/>
                <w:kern w:val="0"/>
                <w:sz w:val="21"/>
                <w:szCs w:val="21"/>
                <w:lang w:val="en-US" w:eastAsia="en-US" w:bidi="ar-SA"/>
              </w:rPr>
              <w:t>抽查服务对象的满意度，满意度人数需达到90%以上，每低于一个百分点，扣0.5分。</w:t>
            </w:r>
          </w:p>
        </w:tc>
        <w:tc>
          <w:tcPr>
            <w:tcW w:w="1400" w:type="dxa"/>
            <w:vAlign w:val="center"/>
          </w:tcPr>
          <w:p w14:paraId="7167FF73">
            <w:pPr>
              <w:rPr>
                <w:rFonts w:hint="eastAsia" w:ascii="仿宋_GB2312" w:hAnsi="仿宋_GB2312" w:eastAsia="仿宋_GB2312" w:cs="仿宋_GB2312"/>
                <w:color w:val="auto"/>
              </w:rPr>
            </w:pPr>
          </w:p>
        </w:tc>
      </w:tr>
      <w:tr w14:paraId="691677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7" w:type="dxa"/>
            <w:bottom w:w="0" w:type="dxa"/>
            <w:right w:w="57" w:type="dxa"/>
          </w:tblCellMar>
        </w:tblPrEx>
        <w:trPr>
          <w:cantSplit/>
          <w:trHeight w:val="1758" w:hRule="atLeast"/>
        </w:trPr>
        <w:tc>
          <w:tcPr>
            <w:tcW w:w="1194" w:type="dxa"/>
            <w:vAlign w:val="center"/>
          </w:tcPr>
          <w:p w14:paraId="23E175C4">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社会救助</w:t>
            </w:r>
          </w:p>
          <w:p w14:paraId="6127839A">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智慧化</w:t>
            </w:r>
          </w:p>
          <w:p w14:paraId="1B4E8594">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创新服务</w:t>
            </w:r>
          </w:p>
          <w:p w14:paraId="7E0040FE">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3</w:t>
            </w:r>
            <w:r>
              <w:rPr>
                <w:rFonts w:hint="eastAsia" w:ascii="仿宋_GB2312" w:hAnsi="仿宋_GB2312" w:eastAsia="仿宋_GB2312" w:cs="仿宋_GB2312"/>
                <w:color w:val="auto"/>
              </w:rPr>
              <w:t>分)</w:t>
            </w:r>
          </w:p>
        </w:tc>
        <w:tc>
          <w:tcPr>
            <w:tcW w:w="1485" w:type="dxa"/>
            <w:vAlign w:val="center"/>
          </w:tcPr>
          <w:p w14:paraId="09AB13D7">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打造</w:t>
            </w:r>
            <w:r>
              <w:rPr>
                <w:rFonts w:hint="eastAsia" w:ascii="仿宋_GB2312" w:hAnsi="仿宋_GB2312" w:eastAsia="仿宋_GB2312" w:cs="仿宋_GB2312"/>
                <w:color w:val="auto"/>
                <w:lang w:val="en-US" w:eastAsia="zh-CN"/>
              </w:rPr>
              <w:t>民政服务</w:t>
            </w:r>
            <w:r>
              <w:rPr>
                <w:rFonts w:hint="eastAsia" w:ascii="仿宋_GB2312" w:hAnsi="仿宋_GB2312" w:eastAsia="仿宋_GB2312" w:cs="仿宋_GB2312"/>
                <w:color w:val="auto"/>
              </w:rPr>
              <w:t>综合数据管理平台</w:t>
            </w:r>
          </w:p>
          <w:p w14:paraId="5F454369">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3</w:t>
            </w:r>
            <w:r>
              <w:rPr>
                <w:rFonts w:hint="eastAsia" w:ascii="仿宋_GB2312" w:hAnsi="仿宋_GB2312" w:eastAsia="仿宋_GB2312" w:cs="仿宋_GB2312"/>
                <w:color w:val="auto"/>
              </w:rPr>
              <w:t>分)</w:t>
            </w:r>
          </w:p>
        </w:tc>
        <w:tc>
          <w:tcPr>
            <w:tcW w:w="7200" w:type="dxa"/>
            <w:vAlign w:val="center"/>
          </w:tcPr>
          <w:p w14:paraId="0454FD24">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以互联信息化、大数据智能技术为支撑，搭建数字化</w:t>
            </w:r>
            <w:r>
              <w:rPr>
                <w:rFonts w:hint="eastAsia" w:ascii="仿宋_GB2312" w:hAnsi="仿宋_GB2312" w:eastAsia="仿宋_GB2312" w:cs="仿宋_GB2312"/>
                <w:color w:val="auto"/>
                <w:lang w:val="en-US" w:eastAsia="zh-CN"/>
              </w:rPr>
              <w:t>民政服务</w:t>
            </w:r>
            <w:r>
              <w:rPr>
                <w:rFonts w:hint="eastAsia" w:ascii="仿宋_GB2312" w:hAnsi="仿宋_GB2312" w:eastAsia="仿宋_GB2312" w:cs="仿宋_GB2312"/>
                <w:color w:val="auto"/>
              </w:rPr>
              <w:t>综合数据管理平台。</w:t>
            </w:r>
          </w:p>
        </w:tc>
        <w:tc>
          <w:tcPr>
            <w:tcW w:w="3563" w:type="dxa"/>
            <w:vAlign w:val="center"/>
          </w:tcPr>
          <w:p w14:paraId="5136549E">
            <w:pPr>
              <w:ind w:firstLine="420" w:firstLineChars="200"/>
              <w:rPr>
                <w:rFonts w:hint="eastAsia" w:ascii="仿宋_GB2312" w:hAnsi="仿宋_GB2312" w:eastAsia="仿宋_GB2312" w:cs="仿宋_GB2312"/>
                <w:color w:val="auto"/>
                <w:lang w:val="en-US" w:eastAsia="en-US"/>
              </w:rPr>
            </w:pPr>
            <w:r>
              <w:rPr>
                <w:rFonts w:hint="eastAsia" w:ascii="仿宋_GB2312" w:hAnsi="仿宋_GB2312" w:eastAsia="仿宋_GB2312" w:cs="仿宋_GB2312"/>
                <w:color w:val="auto"/>
                <w:lang w:val="en-US" w:eastAsia="en-US"/>
              </w:rPr>
              <w:t>以互联信息化、大数据智能技术为支撑，搭建数字化社会救助综合数据管理平台。</w:t>
            </w:r>
          </w:p>
          <w:p w14:paraId="16FC799A">
            <w:pPr>
              <w:ind w:firstLine="420" w:firstLineChars="200"/>
              <w:rPr>
                <w:rFonts w:hint="eastAsia" w:ascii="仿宋_GB2312" w:hAnsi="仿宋_GB2312" w:eastAsia="仿宋_GB2312" w:cs="仿宋_GB2312"/>
                <w:color w:val="auto"/>
                <w:lang w:val="en-US" w:eastAsia="en-US"/>
              </w:rPr>
            </w:pPr>
            <w:r>
              <w:rPr>
                <w:rFonts w:hint="eastAsia" w:ascii="仿宋_GB2312" w:hAnsi="仿宋_GB2312" w:eastAsia="仿宋_GB2312" w:cs="仿宋_GB2312"/>
                <w:color w:val="auto"/>
                <w:lang w:val="en-US" w:eastAsia="en-US"/>
              </w:rPr>
              <w:t>未完成不得分。特殊情况除外。</w:t>
            </w:r>
          </w:p>
        </w:tc>
        <w:tc>
          <w:tcPr>
            <w:tcW w:w="1400" w:type="dxa"/>
            <w:vAlign w:val="center"/>
          </w:tcPr>
          <w:p w14:paraId="4A6B40E2">
            <w:pPr>
              <w:ind w:firstLine="420" w:firstLineChars="200"/>
              <w:rPr>
                <w:rFonts w:hint="eastAsia" w:ascii="仿宋_GB2312" w:hAnsi="仿宋_GB2312" w:eastAsia="仿宋_GB2312" w:cs="仿宋_GB2312"/>
                <w:color w:val="auto"/>
              </w:rPr>
            </w:pPr>
          </w:p>
        </w:tc>
      </w:tr>
    </w:tbl>
    <w:p w14:paraId="6E828977">
      <w:pPr>
        <w:keepNext w:val="0"/>
        <w:keepLines w:val="0"/>
        <w:pageBreakBefore w:val="0"/>
        <w:widowControl/>
        <w:kinsoku w:val="0"/>
        <w:wordWrap/>
        <w:overflowPunct/>
        <w:topLinePunct w:val="0"/>
        <w:autoSpaceDE w:val="0"/>
        <w:autoSpaceDN w:val="0"/>
        <w:bidi w:val="0"/>
        <w:adjustRightInd w:val="0"/>
        <w:snapToGrid w:val="0"/>
        <w:spacing w:line="260" w:lineRule="exact"/>
        <w:textAlignment w:val="baseline"/>
        <w:rPr>
          <w:rFonts w:hint="eastAsia" w:ascii="仿宋_GB2312" w:hAnsi="仿宋_GB2312" w:eastAsia="仿宋_GB2312" w:cs="仿宋_GB2312"/>
          <w:b w:val="0"/>
          <w:bCs w:val="0"/>
          <w:color w:val="auto"/>
          <w:sz w:val="24"/>
          <w:szCs w:val="24"/>
        </w:rPr>
        <w:sectPr>
          <w:pgSz w:w="16830" w:h="11920"/>
          <w:pgMar w:top="1440" w:right="1080" w:bottom="1440" w:left="1080" w:header="0" w:footer="1063" w:gutter="0"/>
          <w:pgNumType w:fmt="decimal"/>
          <w:cols w:space="720" w:num="1"/>
        </w:sectPr>
      </w:pPr>
    </w:p>
    <w:p w14:paraId="2A5304A3">
      <w:pPr>
        <w:spacing w:before="107" w:line="360" w:lineRule="auto"/>
        <w:jc w:val="center"/>
        <w:outlineLvl w:val="0"/>
        <w:rPr>
          <w:rFonts w:hint="eastAsia" w:ascii="仿宋_GB2312" w:hAnsi="仿宋_GB2312" w:eastAsia="仿宋_GB2312" w:cs="仿宋_GB2312"/>
          <w:b w:val="0"/>
          <w:bCs w:val="0"/>
          <w:color w:val="auto"/>
          <w:sz w:val="24"/>
          <w:szCs w:val="24"/>
        </w:rPr>
      </w:pPr>
      <w:r>
        <w:rPr>
          <w:rFonts w:hint="eastAsia" w:ascii="黑体" w:hAnsi="黑体" w:eastAsia="黑体" w:cs="黑体"/>
          <w:b w:val="0"/>
          <w:bCs w:val="0"/>
          <w:color w:val="auto"/>
          <w:kern w:val="44"/>
          <w:sz w:val="36"/>
          <w:szCs w:val="36"/>
          <w:highlight w:val="none"/>
          <w:lang w:val="en-US" w:eastAsia="zh-CN" w:bidi="ar-SA"/>
        </w:rPr>
        <w:t xml:space="preserve">              表二、项目承接机构考核评价表（30分）      </w:t>
      </w:r>
      <w:r>
        <w:rPr>
          <w:rFonts w:hint="eastAsia" w:ascii="黑体" w:hAnsi="黑体" w:eastAsia="黑体" w:cs="黑体"/>
          <w:b w:val="0"/>
          <w:bCs w:val="0"/>
          <w:color w:val="auto"/>
          <w:kern w:val="44"/>
          <w:sz w:val="21"/>
          <w:szCs w:val="21"/>
          <w:highlight w:val="none"/>
          <w:lang w:val="en-US" w:eastAsia="zh-CN" w:bidi="ar-SA"/>
        </w:rPr>
        <w:t>评价人：             日期：</w:t>
      </w:r>
    </w:p>
    <w:tbl>
      <w:tblPr>
        <w:tblStyle w:val="6"/>
        <w:tblW w:w="1463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47"/>
        <w:gridCol w:w="1438"/>
        <w:gridCol w:w="10362"/>
        <w:gridCol w:w="1688"/>
      </w:tblGrid>
      <w:tr w14:paraId="05F742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147" w:type="dxa"/>
            <w:vAlign w:val="center"/>
          </w:tcPr>
          <w:p w14:paraId="4BD2CC82">
            <w:pPr>
              <w:pStyle w:val="7"/>
              <w:spacing w:before="106" w:line="219" w:lineRule="auto"/>
              <w:ind w:left="83"/>
              <w:jc w:val="center"/>
              <w:rPr>
                <w:rFonts w:hint="default" w:ascii="仿宋_GB2312" w:hAnsi="仿宋_GB2312" w:eastAsia="仿宋_GB2312" w:cs="仿宋_GB2312"/>
                <w:b/>
                <w:bCs/>
                <w:color w:val="auto"/>
                <w:sz w:val="24"/>
                <w:szCs w:val="24"/>
                <w:lang w:val="en-US" w:eastAsia="zh-CN"/>
              </w:rPr>
            </w:pPr>
            <w:r>
              <w:rPr>
                <w:rFonts w:hint="eastAsia" w:ascii="仿宋_GB2312" w:hAnsi="仿宋_GB2312" w:eastAsia="仿宋_GB2312" w:cs="仿宋_GB2312"/>
                <w:b/>
                <w:bCs/>
                <w:color w:val="auto"/>
                <w:sz w:val="24"/>
                <w:szCs w:val="24"/>
                <w:lang w:val="en-US" w:eastAsia="zh-CN"/>
              </w:rPr>
              <w:t>一级指标</w:t>
            </w:r>
          </w:p>
        </w:tc>
        <w:tc>
          <w:tcPr>
            <w:tcW w:w="1438" w:type="dxa"/>
            <w:vAlign w:val="center"/>
          </w:tcPr>
          <w:p w14:paraId="459F6590">
            <w:pPr>
              <w:pStyle w:val="7"/>
              <w:spacing w:before="106" w:line="219" w:lineRule="auto"/>
              <w:ind w:left="83"/>
              <w:jc w:val="center"/>
              <w:rPr>
                <w:rFonts w:hint="default" w:ascii="仿宋_GB2312" w:hAnsi="仿宋_GB2312" w:eastAsia="仿宋_GB2312" w:cs="仿宋_GB2312"/>
                <w:b/>
                <w:bCs/>
                <w:color w:val="auto"/>
                <w:sz w:val="24"/>
                <w:szCs w:val="24"/>
                <w:lang w:val="en-US" w:eastAsia="zh-CN"/>
              </w:rPr>
            </w:pPr>
            <w:r>
              <w:rPr>
                <w:rFonts w:hint="eastAsia" w:ascii="仿宋_GB2312" w:hAnsi="仿宋_GB2312" w:eastAsia="仿宋_GB2312" w:cs="仿宋_GB2312"/>
                <w:b/>
                <w:bCs/>
                <w:color w:val="auto"/>
                <w:sz w:val="24"/>
                <w:szCs w:val="24"/>
                <w:lang w:val="en-US" w:eastAsia="zh-CN"/>
              </w:rPr>
              <w:t>二级指标</w:t>
            </w:r>
          </w:p>
        </w:tc>
        <w:tc>
          <w:tcPr>
            <w:tcW w:w="10362" w:type="dxa"/>
            <w:vAlign w:val="center"/>
          </w:tcPr>
          <w:p w14:paraId="7AEBF3CE">
            <w:pPr>
              <w:pStyle w:val="7"/>
              <w:spacing w:before="106" w:line="219" w:lineRule="auto"/>
              <w:ind w:left="83" w:leftChars="0"/>
              <w:jc w:val="center"/>
              <w:rPr>
                <w:rFonts w:hint="default" w:ascii="仿宋_GB2312" w:hAnsi="仿宋_GB2312" w:eastAsia="仿宋_GB2312" w:cs="仿宋_GB2312"/>
                <w:b/>
                <w:bCs/>
                <w:color w:val="auto"/>
                <w:sz w:val="24"/>
                <w:szCs w:val="24"/>
                <w:lang w:val="en-US" w:eastAsia="zh-CN"/>
              </w:rPr>
            </w:pPr>
            <w:r>
              <w:rPr>
                <w:rFonts w:hint="eastAsia" w:ascii="仿宋_GB2312" w:hAnsi="仿宋_GB2312" w:eastAsia="仿宋_GB2312" w:cs="仿宋_GB2312"/>
                <w:b/>
                <w:bCs/>
                <w:color w:val="auto"/>
                <w:sz w:val="24"/>
                <w:szCs w:val="24"/>
                <w:lang w:val="en-US" w:eastAsia="zh-CN"/>
              </w:rPr>
              <w:t>指标说明及评价标准</w:t>
            </w:r>
          </w:p>
        </w:tc>
        <w:tc>
          <w:tcPr>
            <w:tcW w:w="1688" w:type="dxa"/>
            <w:vAlign w:val="center"/>
          </w:tcPr>
          <w:p w14:paraId="358DF3BA">
            <w:pPr>
              <w:pStyle w:val="7"/>
              <w:spacing w:before="106" w:line="219" w:lineRule="auto"/>
              <w:ind w:firstLine="241" w:firstLineChars="100"/>
              <w:jc w:val="both"/>
              <w:rPr>
                <w:rFonts w:hint="default" w:ascii="仿宋_GB2312" w:hAnsi="仿宋_GB2312" w:eastAsia="仿宋_GB2312" w:cs="仿宋_GB2312"/>
                <w:b/>
                <w:bCs/>
                <w:color w:val="auto"/>
                <w:sz w:val="24"/>
                <w:szCs w:val="24"/>
                <w:lang w:val="en-US" w:eastAsia="zh-CN"/>
              </w:rPr>
            </w:pPr>
            <w:r>
              <w:rPr>
                <w:rFonts w:hint="eastAsia" w:ascii="仿宋_GB2312" w:hAnsi="仿宋_GB2312" w:eastAsia="仿宋_GB2312" w:cs="仿宋_GB2312"/>
                <w:b/>
                <w:bCs/>
                <w:color w:val="auto"/>
                <w:sz w:val="24"/>
                <w:szCs w:val="24"/>
                <w:lang w:val="en-US" w:eastAsia="zh-CN"/>
              </w:rPr>
              <w:t>得分：</w:t>
            </w:r>
          </w:p>
        </w:tc>
      </w:tr>
      <w:tr w14:paraId="566124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78" w:hRule="atLeast"/>
        </w:trPr>
        <w:tc>
          <w:tcPr>
            <w:tcW w:w="1147" w:type="dxa"/>
            <w:vMerge w:val="restart"/>
            <w:vAlign w:val="center"/>
          </w:tcPr>
          <w:p w14:paraId="2D81E17A">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财务管理</w:t>
            </w:r>
          </w:p>
          <w:p w14:paraId="74CAD93B">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5</w:t>
            </w:r>
            <w:r>
              <w:rPr>
                <w:rFonts w:hint="eastAsia" w:ascii="仿宋_GB2312" w:hAnsi="仿宋_GB2312" w:eastAsia="仿宋_GB2312" w:cs="仿宋_GB2312"/>
                <w:color w:val="auto"/>
              </w:rPr>
              <w:t>分)</w:t>
            </w:r>
          </w:p>
        </w:tc>
        <w:tc>
          <w:tcPr>
            <w:tcW w:w="1438" w:type="dxa"/>
            <w:vAlign w:val="center"/>
          </w:tcPr>
          <w:p w14:paraId="41DFFDBE">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财务制度</w:t>
            </w:r>
          </w:p>
          <w:p w14:paraId="564C130B">
            <w:pPr>
              <w:jc w:val="center"/>
              <w:rPr>
                <w:rFonts w:hint="eastAsia" w:ascii="仿宋_GB2312" w:hAnsi="仿宋_GB2312" w:eastAsia="仿宋_GB2312" w:cs="仿宋_GB2312"/>
                <w:color w:val="auto"/>
                <w:lang w:eastAsia="zh-CN"/>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0.5分</w:t>
            </w:r>
            <w:r>
              <w:rPr>
                <w:rFonts w:hint="eastAsia" w:ascii="仿宋_GB2312" w:hAnsi="仿宋_GB2312" w:eastAsia="仿宋_GB2312" w:cs="仿宋_GB2312"/>
                <w:color w:val="auto"/>
                <w:lang w:eastAsia="zh-CN"/>
              </w:rPr>
              <w:t>）</w:t>
            </w:r>
          </w:p>
        </w:tc>
        <w:tc>
          <w:tcPr>
            <w:tcW w:w="10362" w:type="dxa"/>
            <w:vAlign w:val="center"/>
          </w:tcPr>
          <w:p w14:paraId="3BBE5774">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制定内部财务管理制度(包括但不限于以下内容：会计核算办法和规则、财务 会计人员岗位职责、现金和银行存款管理、项目(业务活动)收支管理办法、费用支出标准和审批、实物资产(包括固定资产、存货等)管理、投资(实体</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rPr>
              <w:t>刊物)管理、预算管理、票据管理、财务报告编制与财务分析、会计档案管理。</w:t>
            </w:r>
          </w:p>
          <w:p w14:paraId="2AEEE1D1">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按照业务活动费(主要包括：人员劳务成本、志愿者补贴、督导费用、项目活动经费等)、管理费、税费和其他费用等四类费用进行预算编报。</w:t>
            </w:r>
          </w:p>
          <w:p w14:paraId="5A6AFC4B">
            <w:pPr>
              <w:ind w:firstLine="420" w:firstLineChars="200"/>
              <w:rPr>
                <w:rFonts w:hint="default" w:ascii="仿宋_GB2312" w:hAnsi="仿宋_GB2312" w:eastAsia="仿宋_GB2312" w:cs="仿宋_GB2312"/>
                <w:color w:val="auto"/>
                <w:lang w:val="en-US" w:eastAsia="zh-CN"/>
              </w:rPr>
            </w:pPr>
            <w:r>
              <w:rPr>
                <w:rFonts w:hint="eastAsia" w:ascii="仿宋_GB2312" w:hAnsi="仿宋_GB2312" w:eastAsia="仿宋_GB2312" w:cs="仿宋_GB2312"/>
                <w:color w:val="auto"/>
              </w:rPr>
              <w:t>(1)制定了民政服务站的财务管理制度，内容完整，且证明材料完整。</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0.5分)</w:t>
            </w:r>
          </w:p>
          <w:p w14:paraId="3D0F4432">
            <w:pPr>
              <w:ind w:firstLine="420" w:firstLineChars="200"/>
              <w:rPr>
                <w:rFonts w:hint="default" w:ascii="仿宋_GB2312" w:hAnsi="仿宋_GB2312" w:eastAsia="仿宋_GB2312" w:cs="仿宋_GB2312"/>
                <w:color w:val="auto"/>
                <w:lang w:val="en-US" w:eastAsia="zh-CN"/>
              </w:rPr>
            </w:pPr>
            <w:r>
              <w:rPr>
                <w:rFonts w:hint="eastAsia" w:ascii="仿宋_GB2312" w:hAnsi="仿宋_GB2312" w:eastAsia="仿宋_GB2312" w:cs="仿宋_GB2312"/>
                <w:color w:val="auto"/>
              </w:rPr>
              <w:t>(2)财务制度不完整或简略，或证明材料不完整。</w:t>
            </w:r>
            <w:r>
              <w:rPr>
                <w:rFonts w:hint="eastAsia" w:ascii="仿宋_GB2312" w:hAnsi="仿宋_GB2312" w:eastAsia="仿宋_GB2312" w:cs="仿宋_GB2312"/>
                <w:color w:val="auto"/>
                <w:lang w:val="en-US" w:eastAsia="zh-CN"/>
              </w:rPr>
              <w:t>(0.2分）</w:t>
            </w:r>
          </w:p>
          <w:p w14:paraId="325D26A1">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(3)不符合上述情况。(0分)</w:t>
            </w:r>
          </w:p>
        </w:tc>
        <w:tc>
          <w:tcPr>
            <w:tcW w:w="1688" w:type="dxa"/>
            <w:vAlign w:val="center"/>
          </w:tcPr>
          <w:p w14:paraId="006AB751">
            <w:pPr>
              <w:ind w:firstLine="420" w:firstLineChars="200"/>
              <w:jc w:val="both"/>
              <w:rPr>
                <w:rFonts w:hint="eastAsia" w:ascii="仿宋_GB2312" w:hAnsi="仿宋_GB2312" w:eastAsia="仿宋_GB2312" w:cs="仿宋_GB2312"/>
                <w:color w:val="auto"/>
              </w:rPr>
            </w:pPr>
          </w:p>
        </w:tc>
      </w:tr>
      <w:tr w14:paraId="23673A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4" w:hRule="atLeast"/>
        </w:trPr>
        <w:tc>
          <w:tcPr>
            <w:tcW w:w="1147" w:type="dxa"/>
            <w:vMerge w:val="continue"/>
            <w:vAlign w:val="center"/>
          </w:tcPr>
          <w:p w14:paraId="7F31E5C7">
            <w:pPr>
              <w:jc w:val="center"/>
              <w:rPr>
                <w:rFonts w:hint="eastAsia" w:ascii="仿宋_GB2312" w:hAnsi="仿宋_GB2312" w:eastAsia="仿宋_GB2312" w:cs="仿宋_GB2312"/>
                <w:color w:val="auto"/>
              </w:rPr>
            </w:pPr>
          </w:p>
        </w:tc>
        <w:tc>
          <w:tcPr>
            <w:tcW w:w="1438" w:type="dxa"/>
            <w:vAlign w:val="center"/>
          </w:tcPr>
          <w:p w14:paraId="59C20AF4">
            <w:pPr>
              <w:ind w:firstLine="420" w:firstLineChars="200"/>
              <w:jc w:val="center"/>
              <w:rPr>
                <w:rFonts w:hint="eastAsia" w:ascii="仿宋_GB2312" w:hAnsi="仿宋_GB2312" w:eastAsia="仿宋_GB2312" w:cs="仿宋_GB2312"/>
                <w:color w:val="auto"/>
              </w:rPr>
            </w:pPr>
          </w:p>
          <w:p w14:paraId="194E9CF5">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财务制度执行</w:t>
            </w:r>
          </w:p>
          <w:p w14:paraId="55EF37CC">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0.5</w:t>
            </w:r>
            <w:r>
              <w:rPr>
                <w:rFonts w:hint="eastAsia" w:ascii="仿宋_GB2312" w:hAnsi="仿宋_GB2312" w:eastAsia="仿宋_GB2312" w:cs="仿宋_GB2312"/>
                <w:color w:val="auto"/>
              </w:rPr>
              <w:t>分)</w:t>
            </w:r>
          </w:p>
        </w:tc>
        <w:tc>
          <w:tcPr>
            <w:tcW w:w="10362" w:type="dxa"/>
            <w:vAlign w:val="center"/>
          </w:tcPr>
          <w:p w14:paraId="107D42E9">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(1)严格执行各项内部管理制度。</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0.5分)</w:t>
            </w:r>
          </w:p>
          <w:p w14:paraId="14B74EB3">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(2)较好执行各项内部管理制度。</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0.4分)</w:t>
            </w:r>
          </w:p>
          <w:p w14:paraId="4EAFF007">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(3)各项内部管理制度执行一般。</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0.3分)</w:t>
            </w:r>
          </w:p>
          <w:p w14:paraId="4478EB2A">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(4)各项内部管理制度执行较差。(0分)</w:t>
            </w:r>
          </w:p>
        </w:tc>
        <w:tc>
          <w:tcPr>
            <w:tcW w:w="1688" w:type="dxa"/>
            <w:vAlign w:val="center"/>
          </w:tcPr>
          <w:p w14:paraId="247E365A">
            <w:pPr>
              <w:ind w:firstLine="420" w:firstLineChars="200"/>
              <w:jc w:val="both"/>
              <w:rPr>
                <w:rFonts w:hint="eastAsia" w:ascii="仿宋_GB2312" w:hAnsi="仿宋_GB2312" w:eastAsia="仿宋_GB2312" w:cs="仿宋_GB2312"/>
                <w:color w:val="auto"/>
              </w:rPr>
            </w:pPr>
          </w:p>
        </w:tc>
      </w:tr>
      <w:tr w14:paraId="70DB90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3" w:hRule="atLeast"/>
        </w:trPr>
        <w:tc>
          <w:tcPr>
            <w:tcW w:w="1147" w:type="dxa"/>
            <w:vMerge w:val="continue"/>
            <w:vAlign w:val="center"/>
          </w:tcPr>
          <w:p w14:paraId="629D1609">
            <w:pPr>
              <w:jc w:val="center"/>
              <w:rPr>
                <w:rFonts w:hint="eastAsia" w:ascii="仿宋_GB2312" w:hAnsi="仿宋_GB2312" w:eastAsia="仿宋_GB2312" w:cs="仿宋_GB2312"/>
                <w:color w:val="auto"/>
              </w:rPr>
            </w:pPr>
          </w:p>
        </w:tc>
        <w:tc>
          <w:tcPr>
            <w:tcW w:w="1438" w:type="dxa"/>
            <w:vAlign w:val="center"/>
          </w:tcPr>
          <w:p w14:paraId="4456CE9B">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票据使用管理</w:t>
            </w:r>
          </w:p>
          <w:p w14:paraId="031D1FC8">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16A081C6">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 xml:space="preserve">项目需严格做好各类票据的使用，确保票据规范。 </w:t>
            </w:r>
          </w:p>
          <w:p w14:paraId="55C559C7">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(发现一处不规范，扣除0.</w:t>
            </w: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分，扣完</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分即止)</w:t>
            </w:r>
          </w:p>
        </w:tc>
        <w:tc>
          <w:tcPr>
            <w:tcW w:w="1688" w:type="dxa"/>
            <w:vAlign w:val="center"/>
          </w:tcPr>
          <w:p w14:paraId="2617E6F2">
            <w:pPr>
              <w:ind w:firstLine="420" w:firstLineChars="200"/>
              <w:jc w:val="both"/>
              <w:rPr>
                <w:rFonts w:hint="eastAsia" w:ascii="仿宋_GB2312" w:hAnsi="仿宋_GB2312" w:eastAsia="仿宋_GB2312" w:cs="仿宋_GB2312"/>
                <w:color w:val="auto"/>
              </w:rPr>
            </w:pPr>
          </w:p>
        </w:tc>
      </w:tr>
      <w:tr w14:paraId="280BED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7" w:hRule="atLeast"/>
        </w:trPr>
        <w:tc>
          <w:tcPr>
            <w:tcW w:w="1147" w:type="dxa"/>
            <w:vMerge w:val="continue"/>
            <w:vAlign w:val="center"/>
          </w:tcPr>
          <w:p w14:paraId="71911DAD">
            <w:pPr>
              <w:jc w:val="center"/>
              <w:rPr>
                <w:rFonts w:hint="eastAsia" w:ascii="仿宋_GB2312" w:hAnsi="仿宋_GB2312" w:eastAsia="仿宋_GB2312" w:cs="仿宋_GB2312"/>
                <w:color w:val="auto"/>
              </w:rPr>
            </w:pPr>
          </w:p>
        </w:tc>
        <w:tc>
          <w:tcPr>
            <w:tcW w:w="1438" w:type="dxa"/>
            <w:vAlign w:val="center"/>
          </w:tcPr>
          <w:p w14:paraId="6BFCCB94">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财务与项目</w:t>
            </w:r>
          </w:p>
          <w:p w14:paraId="60B7956E">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匹配度</w:t>
            </w:r>
          </w:p>
          <w:p w14:paraId="01B0CAC4">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3BF853F2">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财务资料与实务资料是否能相互佐证：(发现一处不匹配，扣除0.</w:t>
            </w: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分，扣完</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分即止)</w:t>
            </w:r>
          </w:p>
          <w:p w14:paraId="4B0C026D">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(1)财务报销与项目文书资料的匹配度(包括活动预算等)</w:t>
            </w:r>
          </w:p>
          <w:p w14:paraId="15B3CC11">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(2)资金使用进度与项目执行进度的匹配度</w:t>
            </w:r>
          </w:p>
        </w:tc>
        <w:tc>
          <w:tcPr>
            <w:tcW w:w="1688" w:type="dxa"/>
            <w:vAlign w:val="center"/>
          </w:tcPr>
          <w:p w14:paraId="196AF212">
            <w:pPr>
              <w:ind w:firstLine="420" w:firstLineChars="200"/>
              <w:jc w:val="both"/>
              <w:rPr>
                <w:rFonts w:hint="eastAsia" w:ascii="仿宋_GB2312" w:hAnsi="仿宋_GB2312" w:eastAsia="仿宋_GB2312" w:cs="仿宋_GB2312"/>
                <w:color w:val="auto"/>
              </w:rPr>
            </w:pPr>
          </w:p>
        </w:tc>
      </w:tr>
      <w:tr w14:paraId="0727D1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4" w:hRule="atLeast"/>
        </w:trPr>
        <w:tc>
          <w:tcPr>
            <w:tcW w:w="1147" w:type="dxa"/>
            <w:vMerge w:val="continue"/>
            <w:vAlign w:val="center"/>
          </w:tcPr>
          <w:p w14:paraId="5FAF4EC1">
            <w:pPr>
              <w:jc w:val="center"/>
              <w:rPr>
                <w:rFonts w:hint="eastAsia" w:ascii="仿宋_GB2312" w:hAnsi="仿宋_GB2312" w:eastAsia="仿宋_GB2312" w:cs="仿宋_GB2312"/>
                <w:color w:val="auto"/>
              </w:rPr>
            </w:pPr>
          </w:p>
        </w:tc>
        <w:tc>
          <w:tcPr>
            <w:tcW w:w="1438" w:type="dxa"/>
            <w:vAlign w:val="center"/>
          </w:tcPr>
          <w:p w14:paraId="7822B4FE">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独</w:t>
            </w:r>
            <w:r>
              <w:rPr>
                <w:rFonts w:hint="eastAsia" w:ascii="仿宋_GB2312" w:hAnsi="仿宋_GB2312" w:eastAsia="仿宋_GB2312" w:cs="仿宋_GB2312"/>
                <w:color w:val="auto"/>
                <w:lang w:val="en-US" w:eastAsia="zh-CN"/>
              </w:rPr>
              <w:t>立</w:t>
            </w:r>
            <w:r>
              <w:rPr>
                <w:rFonts w:hint="eastAsia" w:ascii="仿宋_GB2312" w:hAnsi="仿宋_GB2312" w:eastAsia="仿宋_GB2312" w:cs="仿宋_GB2312"/>
                <w:color w:val="auto"/>
              </w:rPr>
              <w:t>核算</w:t>
            </w:r>
          </w:p>
          <w:p w14:paraId="60FAD6ED">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2B645835">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对民政服务站项目经费进行独立核算，且核算及时、无错误。</w:t>
            </w:r>
          </w:p>
          <w:p w14:paraId="56212DA5">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(1)经费独立核算，且全部核算及时、无错误。</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5DDF501D">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(2)经费独立核算，且大部分核算及时、无错误。</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0.8分)</w:t>
            </w:r>
          </w:p>
          <w:p w14:paraId="0476C01F">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(3)不符合上述情况。(0分)</w:t>
            </w:r>
          </w:p>
        </w:tc>
        <w:tc>
          <w:tcPr>
            <w:tcW w:w="1688" w:type="dxa"/>
            <w:vAlign w:val="center"/>
          </w:tcPr>
          <w:p w14:paraId="361A064A">
            <w:pPr>
              <w:ind w:firstLine="420" w:firstLineChars="200"/>
              <w:jc w:val="both"/>
              <w:rPr>
                <w:rFonts w:hint="eastAsia" w:ascii="仿宋_GB2312" w:hAnsi="仿宋_GB2312" w:eastAsia="仿宋_GB2312" w:cs="仿宋_GB2312"/>
                <w:color w:val="auto"/>
              </w:rPr>
            </w:pPr>
          </w:p>
        </w:tc>
      </w:tr>
      <w:tr w14:paraId="6E3B56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9" w:hRule="atLeast"/>
        </w:trPr>
        <w:tc>
          <w:tcPr>
            <w:tcW w:w="1147" w:type="dxa"/>
            <w:vMerge w:val="continue"/>
            <w:vAlign w:val="center"/>
          </w:tcPr>
          <w:p w14:paraId="6F3E2454">
            <w:pPr>
              <w:jc w:val="center"/>
              <w:rPr>
                <w:rFonts w:hint="eastAsia" w:ascii="仿宋_GB2312" w:hAnsi="仿宋_GB2312" w:eastAsia="仿宋_GB2312" w:cs="仿宋_GB2312"/>
                <w:color w:val="auto"/>
              </w:rPr>
            </w:pPr>
          </w:p>
        </w:tc>
        <w:tc>
          <w:tcPr>
            <w:tcW w:w="1438" w:type="dxa"/>
            <w:vAlign w:val="center"/>
          </w:tcPr>
          <w:p w14:paraId="1A021101">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专款专用</w:t>
            </w:r>
          </w:p>
          <w:p w14:paraId="09085CE4">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 xml:space="preserve"> (</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62C2385D">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对民政服务站项目资金专款专用，项目资金的使用支出程序符合现行规定。</w:t>
            </w:r>
          </w:p>
          <w:p w14:paraId="0148B34B">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45030EC8">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(2)不符合上述情况。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0分)</w:t>
            </w:r>
          </w:p>
          <w:p w14:paraId="17AC004B">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出现资金违规使用(如挤占、截留、挪用专项资金等情况), 直接扣除财务管理指标分，并上报主管部门。</w:t>
            </w:r>
          </w:p>
        </w:tc>
        <w:tc>
          <w:tcPr>
            <w:tcW w:w="1688" w:type="dxa"/>
            <w:vAlign w:val="center"/>
          </w:tcPr>
          <w:p w14:paraId="150B9169">
            <w:pPr>
              <w:ind w:firstLine="420" w:firstLineChars="200"/>
              <w:jc w:val="both"/>
              <w:rPr>
                <w:rFonts w:hint="eastAsia" w:ascii="仿宋_GB2312" w:hAnsi="仿宋_GB2312" w:eastAsia="仿宋_GB2312" w:cs="仿宋_GB2312"/>
                <w:color w:val="auto"/>
              </w:rPr>
            </w:pPr>
          </w:p>
        </w:tc>
      </w:tr>
      <w:tr w14:paraId="3917DE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34" w:hRule="atLeast"/>
        </w:trPr>
        <w:tc>
          <w:tcPr>
            <w:tcW w:w="1147" w:type="dxa"/>
            <w:vMerge w:val="restart"/>
            <w:vAlign w:val="center"/>
          </w:tcPr>
          <w:p w14:paraId="1B9659D0">
            <w:pPr>
              <w:jc w:val="center"/>
              <w:rPr>
                <w:rFonts w:hint="eastAsia" w:ascii="仿宋_GB2312" w:hAnsi="仿宋_GB2312" w:eastAsia="仿宋_GB2312" w:cs="仿宋_GB2312"/>
                <w:color w:val="auto"/>
                <w:lang w:val="en-US" w:eastAsia="zh-CN"/>
              </w:rPr>
            </w:pPr>
            <w:r>
              <w:rPr>
                <w:rFonts w:hint="eastAsia" w:ascii="仿宋_GB2312" w:hAnsi="仿宋_GB2312" w:eastAsia="仿宋_GB2312" w:cs="仿宋_GB2312"/>
                <w:color w:val="auto"/>
                <w:lang w:val="en-US" w:eastAsia="zh-CN"/>
              </w:rPr>
              <w:t>工作管理</w:t>
            </w:r>
          </w:p>
          <w:p w14:paraId="1450D996">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7</w:t>
            </w:r>
            <w:r>
              <w:rPr>
                <w:rFonts w:hint="eastAsia" w:ascii="仿宋_GB2312" w:hAnsi="仿宋_GB2312" w:eastAsia="仿宋_GB2312" w:cs="仿宋_GB2312"/>
                <w:color w:val="auto"/>
              </w:rPr>
              <w:t>分)</w:t>
            </w:r>
          </w:p>
        </w:tc>
        <w:tc>
          <w:tcPr>
            <w:tcW w:w="1438" w:type="dxa"/>
            <w:vAlign w:val="center"/>
          </w:tcPr>
          <w:p w14:paraId="78F20F83">
            <w:pPr>
              <w:ind w:firstLine="420" w:firstLineChars="200"/>
              <w:jc w:val="center"/>
              <w:rPr>
                <w:rFonts w:hint="eastAsia" w:ascii="仿宋_GB2312" w:hAnsi="仿宋_GB2312" w:eastAsia="仿宋_GB2312" w:cs="仿宋_GB2312"/>
                <w:color w:val="auto"/>
              </w:rPr>
            </w:pPr>
          </w:p>
          <w:p w14:paraId="44606801">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月度简报</w:t>
            </w:r>
          </w:p>
          <w:p w14:paraId="3002B56A">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上报</w:t>
            </w:r>
          </w:p>
          <w:p w14:paraId="31C1898D">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3E276822">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按时向上级民政部门上报月度工作简报，要求有文字、图片、数据等内容。</w:t>
            </w:r>
          </w:p>
          <w:p w14:paraId="7D36A427">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(1)按要求的每月上传截止时间前上传符合要求的月度工作简报。</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0C1D6172">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(2)能够每月上传但未在要求的时间内上传。</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0.8分)</w:t>
            </w:r>
          </w:p>
          <w:p w14:paraId="725FA6A6">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(3)不符合上述情况。(0分)</w:t>
            </w:r>
          </w:p>
        </w:tc>
        <w:tc>
          <w:tcPr>
            <w:tcW w:w="1688" w:type="dxa"/>
            <w:vAlign w:val="center"/>
          </w:tcPr>
          <w:p w14:paraId="6AEA835C">
            <w:pPr>
              <w:ind w:firstLine="420" w:firstLineChars="200"/>
              <w:jc w:val="both"/>
              <w:rPr>
                <w:rFonts w:hint="eastAsia" w:ascii="仿宋_GB2312" w:hAnsi="仿宋_GB2312" w:eastAsia="仿宋_GB2312" w:cs="仿宋_GB2312"/>
                <w:color w:val="auto"/>
              </w:rPr>
            </w:pPr>
          </w:p>
        </w:tc>
      </w:tr>
      <w:tr w14:paraId="46C55C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6" w:hRule="atLeast"/>
        </w:trPr>
        <w:tc>
          <w:tcPr>
            <w:tcW w:w="1147" w:type="dxa"/>
            <w:vMerge w:val="continue"/>
            <w:vAlign w:val="center"/>
          </w:tcPr>
          <w:p w14:paraId="6FD353B7">
            <w:pPr>
              <w:jc w:val="center"/>
              <w:rPr>
                <w:rFonts w:hint="eastAsia" w:ascii="仿宋_GB2312" w:hAnsi="仿宋_GB2312" w:eastAsia="仿宋_GB2312" w:cs="仿宋_GB2312"/>
                <w:color w:val="auto"/>
              </w:rPr>
            </w:pPr>
          </w:p>
        </w:tc>
        <w:tc>
          <w:tcPr>
            <w:tcW w:w="1438" w:type="dxa"/>
            <w:vAlign w:val="center"/>
          </w:tcPr>
          <w:p w14:paraId="3359D804">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中期总结报告</w:t>
            </w:r>
          </w:p>
          <w:p w14:paraId="72BD8A69">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上报</w:t>
            </w:r>
          </w:p>
          <w:p w14:paraId="6C51ACAA">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5C403444">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及时向上级民政部门上报机构承接的民政服务站的中期总结报告。</w:t>
            </w:r>
          </w:p>
          <w:p w14:paraId="68664956">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(1)及时上传了中期总结报告。</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1703A16E">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(2)不符合上述情况。(0分)</w:t>
            </w:r>
          </w:p>
        </w:tc>
        <w:tc>
          <w:tcPr>
            <w:tcW w:w="1688" w:type="dxa"/>
            <w:vAlign w:val="center"/>
          </w:tcPr>
          <w:p w14:paraId="33B50605">
            <w:pPr>
              <w:ind w:firstLine="420" w:firstLineChars="200"/>
              <w:jc w:val="both"/>
              <w:rPr>
                <w:rFonts w:hint="eastAsia" w:ascii="仿宋_GB2312" w:hAnsi="仿宋_GB2312" w:eastAsia="仿宋_GB2312" w:cs="仿宋_GB2312"/>
                <w:color w:val="auto"/>
              </w:rPr>
            </w:pPr>
          </w:p>
        </w:tc>
      </w:tr>
      <w:tr w14:paraId="7C52E7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1" w:hRule="atLeast"/>
        </w:trPr>
        <w:tc>
          <w:tcPr>
            <w:tcW w:w="1147" w:type="dxa"/>
            <w:vMerge w:val="continue"/>
            <w:vAlign w:val="center"/>
          </w:tcPr>
          <w:p w14:paraId="2167568E">
            <w:pPr>
              <w:jc w:val="center"/>
              <w:rPr>
                <w:rFonts w:hint="eastAsia" w:ascii="仿宋_GB2312" w:hAnsi="仿宋_GB2312" w:eastAsia="仿宋_GB2312" w:cs="仿宋_GB2312"/>
                <w:color w:val="auto"/>
              </w:rPr>
            </w:pPr>
          </w:p>
        </w:tc>
        <w:tc>
          <w:tcPr>
            <w:tcW w:w="1438" w:type="dxa"/>
            <w:vAlign w:val="center"/>
          </w:tcPr>
          <w:p w14:paraId="683B21FC">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末期总结报告</w:t>
            </w:r>
          </w:p>
          <w:p w14:paraId="693A4554">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上报</w:t>
            </w:r>
          </w:p>
          <w:p w14:paraId="78D23C3B">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7E979C12">
            <w:pPr>
              <w:ind w:firstLine="420" w:firstLineChars="200"/>
              <w:jc w:val="both"/>
              <w:rPr>
                <w:rFonts w:hint="eastAsia" w:ascii="仿宋_GB2312" w:hAnsi="仿宋_GB2312" w:eastAsia="仿宋_GB2312" w:cs="仿宋_GB2312"/>
                <w:color w:val="auto"/>
              </w:rPr>
            </w:pPr>
            <w:r>
              <w:rPr>
                <w:rFonts w:hint="eastAsia" w:ascii="仿宋_GB2312" w:hAnsi="仿宋_GB2312" w:eastAsia="仿宋_GB2312" w:cs="仿宋_GB2312"/>
                <w:color w:val="auto"/>
              </w:rPr>
              <w:t>及时向上级民政部门上报机构承接的民政服务站的末期总结报告。</w:t>
            </w:r>
          </w:p>
          <w:p w14:paraId="0765FDA1">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(1)及时上传了末期总结报告。</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4E2280E8">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(2)不符合上述情况。(0分)</w:t>
            </w:r>
          </w:p>
        </w:tc>
        <w:tc>
          <w:tcPr>
            <w:tcW w:w="1688" w:type="dxa"/>
            <w:vAlign w:val="center"/>
          </w:tcPr>
          <w:p w14:paraId="58FA5ADB">
            <w:pPr>
              <w:ind w:firstLine="420" w:firstLineChars="200"/>
              <w:jc w:val="both"/>
              <w:rPr>
                <w:rFonts w:hint="eastAsia" w:ascii="仿宋_GB2312" w:hAnsi="仿宋_GB2312" w:eastAsia="仿宋_GB2312" w:cs="仿宋_GB2312"/>
                <w:color w:val="auto"/>
              </w:rPr>
            </w:pPr>
          </w:p>
        </w:tc>
      </w:tr>
      <w:tr w14:paraId="794582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97" w:hRule="atLeast"/>
        </w:trPr>
        <w:tc>
          <w:tcPr>
            <w:tcW w:w="1147" w:type="dxa"/>
            <w:vMerge w:val="continue"/>
            <w:vAlign w:val="center"/>
          </w:tcPr>
          <w:p w14:paraId="3EB83D08">
            <w:pPr>
              <w:jc w:val="center"/>
              <w:rPr>
                <w:rFonts w:hint="eastAsia" w:ascii="仿宋_GB2312" w:hAnsi="仿宋_GB2312" w:eastAsia="仿宋_GB2312" w:cs="仿宋_GB2312"/>
                <w:color w:val="auto"/>
              </w:rPr>
            </w:pPr>
          </w:p>
        </w:tc>
        <w:tc>
          <w:tcPr>
            <w:tcW w:w="1438" w:type="dxa"/>
            <w:vAlign w:val="center"/>
          </w:tcPr>
          <w:p w14:paraId="44BB5568">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人员管理制度</w:t>
            </w:r>
          </w:p>
          <w:p w14:paraId="3ABFE794">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3FEE922B">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制定清晰的民政服务站人员管理制度，并严格执行，按照制度保留痕迹材料。</w:t>
            </w:r>
          </w:p>
          <w:p w14:paraId="54ACAE8D">
            <w:pPr>
              <w:numPr>
                <w:ilvl w:val="0"/>
                <w:numId w:val="0"/>
              </w:num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)有制度，并严格遵照执行，痕迹材料完整。</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36A7F1D9">
            <w:pPr>
              <w:numPr>
                <w:ilvl w:val="0"/>
                <w:numId w:val="0"/>
              </w:num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(2)有制度，部分遵照执行，痕迹材料较完整。</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0.8分)</w:t>
            </w:r>
          </w:p>
          <w:p w14:paraId="1F3A82AD">
            <w:pPr>
              <w:numPr>
                <w:ilvl w:val="0"/>
                <w:numId w:val="0"/>
              </w:num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(3)不符合上述情况。(0分)</w:t>
            </w:r>
          </w:p>
        </w:tc>
        <w:tc>
          <w:tcPr>
            <w:tcW w:w="1688" w:type="dxa"/>
            <w:vAlign w:val="center"/>
          </w:tcPr>
          <w:p w14:paraId="6E76BC78">
            <w:pPr>
              <w:ind w:firstLine="420" w:firstLineChars="200"/>
              <w:jc w:val="both"/>
              <w:rPr>
                <w:rFonts w:hint="eastAsia" w:ascii="仿宋_GB2312" w:hAnsi="仿宋_GB2312" w:eastAsia="仿宋_GB2312" w:cs="仿宋_GB2312"/>
                <w:color w:val="auto"/>
              </w:rPr>
            </w:pPr>
          </w:p>
        </w:tc>
      </w:tr>
      <w:tr w14:paraId="5970D2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2" w:hRule="atLeast"/>
        </w:trPr>
        <w:tc>
          <w:tcPr>
            <w:tcW w:w="1147" w:type="dxa"/>
            <w:vMerge w:val="continue"/>
            <w:vAlign w:val="center"/>
          </w:tcPr>
          <w:p w14:paraId="0E550DB6">
            <w:pPr>
              <w:jc w:val="center"/>
              <w:rPr>
                <w:rFonts w:hint="eastAsia" w:ascii="仿宋_GB2312" w:hAnsi="仿宋_GB2312" w:eastAsia="仿宋_GB2312" w:cs="仿宋_GB2312"/>
                <w:color w:val="auto"/>
              </w:rPr>
            </w:pPr>
          </w:p>
        </w:tc>
        <w:tc>
          <w:tcPr>
            <w:tcW w:w="1438" w:type="dxa"/>
            <w:vAlign w:val="center"/>
          </w:tcPr>
          <w:p w14:paraId="75CAFB0D">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志愿者管理制度</w:t>
            </w:r>
          </w:p>
          <w:p w14:paraId="7D58C370">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59971A2E">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针对民政服务站实际情况，制定志愿者服务管理制度，有明确的管理细则。</w:t>
            </w:r>
          </w:p>
          <w:p w14:paraId="469EAE6B">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(1)有制度，内容完整，具备可行性。</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42D5D95A">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(2)有制度，内容简略，缺乏可行性。</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0.5分)</w:t>
            </w:r>
          </w:p>
          <w:p w14:paraId="2C0C7287">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(3)不符合上述情况。(0分)</w:t>
            </w:r>
          </w:p>
        </w:tc>
        <w:tc>
          <w:tcPr>
            <w:tcW w:w="1688" w:type="dxa"/>
            <w:vAlign w:val="center"/>
          </w:tcPr>
          <w:p w14:paraId="474323C7">
            <w:pPr>
              <w:ind w:firstLine="420" w:firstLineChars="200"/>
              <w:jc w:val="both"/>
              <w:rPr>
                <w:rFonts w:hint="eastAsia" w:ascii="仿宋_GB2312" w:hAnsi="仿宋_GB2312" w:eastAsia="仿宋_GB2312" w:cs="仿宋_GB2312"/>
                <w:color w:val="auto"/>
              </w:rPr>
            </w:pPr>
          </w:p>
        </w:tc>
      </w:tr>
      <w:tr w14:paraId="20D7DC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42" w:hRule="atLeast"/>
        </w:trPr>
        <w:tc>
          <w:tcPr>
            <w:tcW w:w="1147" w:type="dxa"/>
            <w:vMerge w:val="continue"/>
            <w:vAlign w:val="center"/>
          </w:tcPr>
          <w:p w14:paraId="73865FEF">
            <w:pPr>
              <w:jc w:val="center"/>
              <w:rPr>
                <w:rFonts w:hint="eastAsia" w:ascii="仿宋_GB2312" w:hAnsi="仿宋_GB2312" w:eastAsia="仿宋_GB2312" w:cs="仿宋_GB2312"/>
                <w:color w:val="auto"/>
              </w:rPr>
            </w:pPr>
          </w:p>
        </w:tc>
        <w:tc>
          <w:tcPr>
            <w:tcW w:w="1438" w:type="dxa"/>
            <w:vAlign w:val="center"/>
          </w:tcPr>
          <w:p w14:paraId="037E70C2">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服务场所管理</w:t>
            </w:r>
          </w:p>
          <w:p w14:paraId="7E0D138A">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制度</w:t>
            </w:r>
          </w:p>
          <w:p w14:paraId="57D17FC0">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083B6BBF">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针对民政服务站实际情况，制定服务场所管理制度，有明确的管理细则。</w:t>
            </w:r>
          </w:p>
          <w:p w14:paraId="5DEC384C">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(1)有制度，内容完整，具备可行性。</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3319AD2B">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(2)有制度，内容简略，缺乏可行性。</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0.5分)</w:t>
            </w:r>
          </w:p>
          <w:p w14:paraId="6D53170B">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(3)不符合上述情况。(0分)</w:t>
            </w:r>
          </w:p>
        </w:tc>
        <w:tc>
          <w:tcPr>
            <w:tcW w:w="1688" w:type="dxa"/>
            <w:vAlign w:val="center"/>
          </w:tcPr>
          <w:p w14:paraId="6DB05926">
            <w:pPr>
              <w:ind w:firstLine="420" w:firstLineChars="200"/>
              <w:jc w:val="both"/>
              <w:rPr>
                <w:rFonts w:hint="eastAsia" w:ascii="仿宋_GB2312" w:hAnsi="仿宋_GB2312" w:eastAsia="仿宋_GB2312" w:cs="仿宋_GB2312"/>
                <w:color w:val="auto"/>
              </w:rPr>
            </w:pPr>
          </w:p>
        </w:tc>
      </w:tr>
      <w:tr w14:paraId="2DA77F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7" w:hRule="atLeast"/>
        </w:trPr>
        <w:tc>
          <w:tcPr>
            <w:tcW w:w="1147" w:type="dxa"/>
            <w:vMerge w:val="continue"/>
            <w:vAlign w:val="center"/>
          </w:tcPr>
          <w:p w14:paraId="6E0DCA71">
            <w:pPr>
              <w:jc w:val="center"/>
              <w:rPr>
                <w:rFonts w:hint="eastAsia" w:ascii="仿宋_GB2312" w:hAnsi="仿宋_GB2312" w:eastAsia="仿宋_GB2312" w:cs="仿宋_GB2312"/>
                <w:color w:val="auto"/>
              </w:rPr>
            </w:pPr>
          </w:p>
        </w:tc>
        <w:tc>
          <w:tcPr>
            <w:tcW w:w="1438" w:type="dxa"/>
            <w:vAlign w:val="center"/>
          </w:tcPr>
          <w:p w14:paraId="48D25141">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文书档案管理</w:t>
            </w:r>
          </w:p>
          <w:p w14:paraId="0D55B2EE">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制度</w:t>
            </w:r>
          </w:p>
          <w:p w14:paraId="60FC6A50">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726BDA2D">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制定档案管理制度、档案保密制度。</w:t>
            </w:r>
          </w:p>
          <w:p w14:paraId="29E4046F">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(1)有制度，内容完整，具备可行性。</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3F98DA4B">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(2)有制度，内容简略，缺乏可行性。</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0.5分)</w:t>
            </w:r>
          </w:p>
          <w:p w14:paraId="3AF6F0D2">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(3)不符合上述情况。(0分)</w:t>
            </w:r>
          </w:p>
        </w:tc>
        <w:tc>
          <w:tcPr>
            <w:tcW w:w="1688" w:type="dxa"/>
            <w:vAlign w:val="center"/>
          </w:tcPr>
          <w:p w14:paraId="23F591DF">
            <w:pPr>
              <w:ind w:firstLine="420" w:firstLineChars="200"/>
              <w:jc w:val="both"/>
              <w:rPr>
                <w:rFonts w:hint="eastAsia" w:ascii="仿宋_GB2312" w:hAnsi="仿宋_GB2312" w:eastAsia="仿宋_GB2312" w:cs="仿宋_GB2312"/>
                <w:color w:val="auto"/>
              </w:rPr>
            </w:pPr>
          </w:p>
        </w:tc>
      </w:tr>
      <w:tr w14:paraId="069580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1" w:hRule="atLeast"/>
        </w:trPr>
        <w:tc>
          <w:tcPr>
            <w:tcW w:w="1147" w:type="dxa"/>
            <w:vMerge w:val="restart"/>
            <w:vAlign w:val="center"/>
          </w:tcPr>
          <w:p w14:paraId="4FDA65BC">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人员管理</w:t>
            </w:r>
          </w:p>
          <w:p w14:paraId="16DF4223">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7</w:t>
            </w:r>
            <w:r>
              <w:rPr>
                <w:rFonts w:hint="eastAsia" w:ascii="仿宋_GB2312" w:hAnsi="仿宋_GB2312" w:eastAsia="仿宋_GB2312" w:cs="仿宋_GB2312"/>
                <w:color w:val="auto"/>
              </w:rPr>
              <w:t>分)</w:t>
            </w:r>
          </w:p>
        </w:tc>
        <w:tc>
          <w:tcPr>
            <w:tcW w:w="1438" w:type="dxa"/>
            <w:vAlign w:val="center"/>
          </w:tcPr>
          <w:p w14:paraId="552D1622">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民政服务站点</w:t>
            </w:r>
          </w:p>
          <w:p w14:paraId="37A0D87F">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人员配备</w:t>
            </w:r>
          </w:p>
          <w:p w14:paraId="556E1C89">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352ABBA3">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配备驻站社工年龄在45岁以下(202</w:t>
            </w: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年入职的社工197</w:t>
            </w:r>
            <w:r>
              <w:rPr>
                <w:rFonts w:hint="eastAsia" w:ascii="仿宋_GB2312" w:hAnsi="仿宋_GB2312" w:eastAsia="仿宋_GB2312" w:cs="仿宋_GB2312"/>
                <w:color w:val="auto"/>
                <w:lang w:val="en-US" w:eastAsia="zh-CN"/>
              </w:rPr>
              <w:t>7</w:t>
            </w:r>
            <w:r>
              <w:rPr>
                <w:rFonts w:hint="eastAsia" w:ascii="仿宋_GB2312" w:hAnsi="仿宋_GB2312" w:eastAsia="仿宋_GB2312" w:cs="仿宋_GB2312"/>
                <w:color w:val="auto"/>
              </w:rPr>
              <w:t>年12月31号以后出生；202</w:t>
            </w:r>
            <w:r>
              <w:rPr>
                <w:rFonts w:hint="eastAsia" w:ascii="仿宋_GB2312" w:hAnsi="仿宋_GB2312" w:eastAsia="仿宋_GB2312" w:cs="仿宋_GB2312"/>
                <w:color w:val="auto"/>
                <w:lang w:val="en-US" w:eastAsia="zh-CN"/>
              </w:rPr>
              <w:t>3</w:t>
            </w:r>
            <w:r>
              <w:rPr>
                <w:rFonts w:hint="eastAsia" w:ascii="仿宋_GB2312" w:hAnsi="仿宋_GB2312" w:eastAsia="仿宋_GB2312" w:cs="仿宋_GB2312"/>
                <w:color w:val="auto"/>
              </w:rPr>
              <w:t>年入职的社工197</w:t>
            </w:r>
            <w:r>
              <w:rPr>
                <w:rFonts w:hint="eastAsia" w:ascii="仿宋_GB2312" w:hAnsi="仿宋_GB2312" w:eastAsia="仿宋_GB2312" w:cs="仿宋_GB2312"/>
                <w:color w:val="auto"/>
                <w:lang w:val="en-US" w:eastAsia="zh-CN"/>
              </w:rPr>
              <w:t>8</w:t>
            </w:r>
            <w:r>
              <w:rPr>
                <w:rFonts w:hint="eastAsia" w:ascii="仿宋_GB2312" w:hAnsi="仿宋_GB2312" w:eastAsia="仿宋_GB2312" w:cs="仿宋_GB2312"/>
                <w:color w:val="auto"/>
              </w:rPr>
              <w:t>年12月31号以后出生；202</w:t>
            </w:r>
            <w:r>
              <w:rPr>
                <w:rFonts w:hint="eastAsia" w:ascii="仿宋_GB2312" w:hAnsi="仿宋_GB2312" w:eastAsia="仿宋_GB2312" w:cs="仿宋_GB2312"/>
                <w:color w:val="auto"/>
                <w:lang w:val="en-US" w:eastAsia="zh-CN"/>
              </w:rPr>
              <w:t>4</w:t>
            </w:r>
            <w:r>
              <w:rPr>
                <w:rFonts w:hint="eastAsia" w:ascii="仿宋_GB2312" w:hAnsi="仿宋_GB2312" w:eastAsia="仿宋_GB2312" w:cs="仿宋_GB2312"/>
                <w:color w:val="auto"/>
              </w:rPr>
              <w:t>年入职的社工197</w:t>
            </w:r>
            <w:r>
              <w:rPr>
                <w:rFonts w:hint="eastAsia" w:ascii="仿宋_GB2312" w:hAnsi="仿宋_GB2312" w:eastAsia="仿宋_GB2312" w:cs="仿宋_GB2312"/>
                <w:color w:val="auto"/>
                <w:lang w:val="en-US" w:eastAsia="zh-CN"/>
              </w:rPr>
              <w:t>9</w:t>
            </w:r>
            <w:r>
              <w:rPr>
                <w:rFonts w:hint="eastAsia" w:ascii="仿宋_GB2312" w:hAnsi="仿宋_GB2312" w:eastAsia="仿宋_GB2312" w:cs="仿宋_GB2312"/>
                <w:color w:val="auto"/>
              </w:rPr>
              <w:t>年12月31号以后出生),具有大专及以上学历，且具有社会工作专业资质或为本县市区户籍。</w:t>
            </w:r>
          </w:p>
          <w:p w14:paraId="5E4E450E">
            <w:pPr>
              <w:numPr>
                <w:ilvl w:val="0"/>
                <w:numId w:val="0"/>
              </w:num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1分)      </w:t>
            </w:r>
            <w:r>
              <w:rPr>
                <w:rFonts w:hint="eastAsia" w:ascii="仿宋_GB2312" w:hAnsi="仿宋_GB2312" w:eastAsia="仿宋_GB2312" w:cs="仿宋_GB2312"/>
                <w:color w:val="auto"/>
              </w:rPr>
              <w:t>(2)部分符合上述情况。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0.5分)       </w:t>
            </w: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3</w:t>
            </w: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不</w:t>
            </w:r>
            <w:r>
              <w:rPr>
                <w:rFonts w:hint="eastAsia" w:ascii="仿宋_GB2312" w:hAnsi="仿宋_GB2312" w:eastAsia="仿宋_GB2312" w:cs="仿宋_GB2312"/>
                <w:color w:val="auto"/>
              </w:rPr>
              <w:t>符合上述情况。(</w:t>
            </w:r>
            <w:r>
              <w:rPr>
                <w:rFonts w:hint="eastAsia" w:ascii="仿宋_GB2312" w:hAnsi="仿宋_GB2312" w:eastAsia="仿宋_GB2312" w:cs="仿宋_GB2312"/>
                <w:color w:val="auto"/>
                <w:lang w:val="en-US" w:eastAsia="zh-CN"/>
              </w:rPr>
              <w:t>0</w:t>
            </w:r>
            <w:r>
              <w:rPr>
                <w:rFonts w:hint="eastAsia" w:ascii="仿宋_GB2312" w:hAnsi="仿宋_GB2312" w:eastAsia="仿宋_GB2312" w:cs="仿宋_GB2312"/>
                <w:color w:val="auto"/>
              </w:rPr>
              <w:t>分)</w:t>
            </w:r>
          </w:p>
        </w:tc>
        <w:tc>
          <w:tcPr>
            <w:tcW w:w="1688" w:type="dxa"/>
            <w:vAlign w:val="center"/>
          </w:tcPr>
          <w:p w14:paraId="01796E7D">
            <w:pPr>
              <w:ind w:firstLine="420" w:firstLineChars="200"/>
              <w:jc w:val="both"/>
              <w:rPr>
                <w:rFonts w:hint="eastAsia" w:ascii="仿宋_GB2312" w:hAnsi="仿宋_GB2312" w:eastAsia="仿宋_GB2312" w:cs="仿宋_GB2312"/>
                <w:color w:val="auto"/>
              </w:rPr>
            </w:pPr>
          </w:p>
        </w:tc>
      </w:tr>
      <w:tr w14:paraId="287BF1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147" w:type="dxa"/>
            <w:vMerge w:val="continue"/>
            <w:vAlign w:val="center"/>
          </w:tcPr>
          <w:p w14:paraId="3EDDD08A">
            <w:pPr>
              <w:jc w:val="center"/>
              <w:rPr>
                <w:rFonts w:hint="eastAsia" w:ascii="仿宋_GB2312" w:hAnsi="仿宋_GB2312" w:eastAsia="仿宋_GB2312" w:cs="仿宋_GB2312"/>
                <w:color w:val="auto"/>
              </w:rPr>
            </w:pPr>
          </w:p>
        </w:tc>
        <w:tc>
          <w:tcPr>
            <w:tcW w:w="1438" w:type="dxa"/>
            <w:vAlign w:val="center"/>
          </w:tcPr>
          <w:p w14:paraId="25F93C2E">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社工专业资质</w:t>
            </w:r>
          </w:p>
          <w:p w14:paraId="222531F9">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3F4D89D6">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根据民政服务站社工专业资质情况按比例计分，专业资质包括持社工证(含初级、中级、高级社工师证)或社工专业毕业(含社会工作专业专科、本科、研究生)。</w:t>
            </w:r>
          </w:p>
          <w:p w14:paraId="08105B2F">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(1)专业资质社工占比达50%以上。</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1分)           </w:t>
            </w:r>
            <w:r>
              <w:rPr>
                <w:rFonts w:hint="eastAsia" w:ascii="仿宋_GB2312" w:hAnsi="仿宋_GB2312" w:eastAsia="仿宋_GB2312" w:cs="仿宋_GB2312"/>
                <w:color w:val="auto"/>
              </w:rPr>
              <w:t>(2)专业资质社工占比在50%以上，20%以下。</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0.5分)</w:t>
            </w:r>
          </w:p>
          <w:p w14:paraId="59A10207">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(3)专业资质社工占比在20%以下。(0分)</w:t>
            </w:r>
          </w:p>
        </w:tc>
        <w:tc>
          <w:tcPr>
            <w:tcW w:w="1688" w:type="dxa"/>
            <w:vAlign w:val="center"/>
          </w:tcPr>
          <w:p w14:paraId="4E275ACC">
            <w:pPr>
              <w:ind w:firstLine="420" w:firstLineChars="200"/>
              <w:jc w:val="both"/>
              <w:rPr>
                <w:rFonts w:hint="eastAsia" w:ascii="仿宋_GB2312" w:hAnsi="仿宋_GB2312" w:eastAsia="仿宋_GB2312" w:cs="仿宋_GB2312"/>
                <w:color w:val="auto"/>
              </w:rPr>
            </w:pPr>
          </w:p>
        </w:tc>
      </w:tr>
      <w:tr w14:paraId="5E1458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4" w:hRule="atLeast"/>
        </w:trPr>
        <w:tc>
          <w:tcPr>
            <w:tcW w:w="1147" w:type="dxa"/>
            <w:vMerge w:val="continue"/>
            <w:vAlign w:val="center"/>
          </w:tcPr>
          <w:p w14:paraId="0752BF67">
            <w:pPr>
              <w:jc w:val="center"/>
              <w:rPr>
                <w:rFonts w:hint="eastAsia" w:ascii="仿宋_GB2312" w:hAnsi="仿宋_GB2312" w:eastAsia="仿宋_GB2312" w:cs="仿宋_GB2312"/>
                <w:color w:val="auto"/>
              </w:rPr>
            </w:pPr>
          </w:p>
        </w:tc>
        <w:tc>
          <w:tcPr>
            <w:tcW w:w="1438" w:type="dxa"/>
            <w:vAlign w:val="center"/>
          </w:tcPr>
          <w:p w14:paraId="1F67ED1F">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工作连续性</w:t>
            </w:r>
          </w:p>
          <w:p w14:paraId="69516170">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61AE9ADF">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民政服务站社工离职情况后，1个月内能够补充人员，保证该民政服务站所开展的服务未出现间断的情况。</w:t>
            </w:r>
          </w:p>
          <w:p w14:paraId="4709DF6D">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1分)                      </w:t>
            </w:r>
            <w:r>
              <w:rPr>
                <w:rFonts w:hint="eastAsia" w:ascii="仿宋_GB2312" w:hAnsi="仿宋_GB2312" w:eastAsia="仿宋_GB2312" w:cs="仿宋_GB2312"/>
                <w:color w:val="auto"/>
              </w:rPr>
              <w:t>(2)不符合上述情况。(0分)</w:t>
            </w:r>
          </w:p>
        </w:tc>
        <w:tc>
          <w:tcPr>
            <w:tcW w:w="1688" w:type="dxa"/>
            <w:vAlign w:val="center"/>
          </w:tcPr>
          <w:p w14:paraId="350627C8">
            <w:pPr>
              <w:ind w:firstLine="420" w:firstLineChars="200"/>
              <w:jc w:val="both"/>
              <w:rPr>
                <w:rFonts w:hint="eastAsia" w:ascii="仿宋_GB2312" w:hAnsi="仿宋_GB2312" w:eastAsia="仿宋_GB2312" w:cs="仿宋_GB2312"/>
                <w:color w:val="auto"/>
              </w:rPr>
            </w:pPr>
          </w:p>
        </w:tc>
      </w:tr>
      <w:tr w14:paraId="715A9A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trPr>
        <w:tc>
          <w:tcPr>
            <w:tcW w:w="1147" w:type="dxa"/>
            <w:vMerge w:val="continue"/>
            <w:vAlign w:val="center"/>
          </w:tcPr>
          <w:p w14:paraId="3FAA597D">
            <w:pPr>
              <w:jc w:val="center"/>
              <w:rPr>
                <w:rFonts w:hint="eastAsia" w:ascii="仿宋_GB2312" w:hAnsi="仿宋_GB2312" w:eastAsia="仿宋_GB2312" w:cs="仿宋_GB2312"/>
                <w:color w:val="auto"/>
              </w:rPr>
            </w:pPr>
          </w:p>
        </w:tc>
        <w:tc>
          <w:tcPr>
            <w:tcW w:w="1438" w:type="dxa"/>
            <w:vAlign w:val="center"/>
          </w:tcPr>
          <w:p w14:paraId="3E402098">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组织架构</w:t>
            </w:r>
          </w:p>
          <w:p w14:paraId="37801A6D">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0ECC14EC">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设置民政服务站组织架构，明确民政服务站内部分工及职责。</w:t>
            </w:r>
          </w:p>
          <w:p w14:paraId="5CE0C879">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(1)有清晰的组织架构，且明确的内部分工及职责。</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1分)         </w:t>
            </w:r>
            <w:r>
              <w:rPr>
                <w:rFonts w:hint="eastAsia" w:ascii="仿宋_GB2312" w:hAnsi="仿宋_GB2312" w:eastAsia="仿宋_GB2312" w:cs="仿宋_GB2312"/>
                <w:color w:val="auto"/>
              </w:rPr>
              <w:t>(2)不符合上述情况。(0分)</w:t>
            </w:r>
          </w:p>
        </w:tc>
        <w:tc>
          <w:tcPr>
            <w:tcW w:w="1688" w:type="dxa"/>
            <w:vAlign w:val="center"/>
          </w:tcPr>
          <w:p w14:paraId="0C314C58">
            <w:pPr>
              <w:ind w:firstLine="420" w:firstLineChars="200"/>
              <w:jc w:val="both"/>
              <w:rPr>
                <w:rFonts w:hint="eastAsia" w:ascii="仿宋_GB2312" w:hAnsi="仿宋_GB2312" w:eastAsia="仿宋_GB2312" w:cs="仿宋_GB2312"/>
                <w:color w:val="auto"/>
              </w:rPr>
            </w:pPr>
          </w:p>
        </w:tc>
      </w:tr>
      <w:tr w14:paraId="139690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1" w:hRule="atLeast"/>
        </w:trPr>
        <w:tc>
          <w:tcPr>
            <w:tcW w:w="1147" w:type="dxa"/>
            <w:vMerge w:val="continue"/>
            <w:vAlign w:val="center"/>
          </w:tcPr>
          <w:p w14:paraId="532B99F7">
            <w:pPr>
              <w:jc w:val="center"/>
              <w:rPr>
                <w:rFonts w:hint="eastAsia" w:ascii="仿宋_GB2312" w:hAnsi="仿宋_GB2312" w:eastAsia="仿宋_GB2312" w:cs="仿宋_GB2312"/>
                <w:color w:val="auto"/>
              </w:rPr>
            </w:pPr>
          </w:p>
        </w:tc>
        <w:tc>
          <w:tcPr>
            <w:tcW w:w="1438" w:type="dxa"/>
            <w:vAlign w:val="center"/>
          </w:tcPr>
          <w:p w14:paraId="262B6636">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薪资福利</w:t>
            </w:r>
          </w:p>
          <w:p w14:paraId="241F8468">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7025C3DB">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运营方与驻站社工签订劳动合同，并按月发放薪资并及时购买社会保险。</w:t>
            </w:r>
          </w:p>
          <w:p w14:paraId="61B6B776">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1分)                        </w:t>
            </w:r>
            <w:r>
              <w:rPr>
                <w:rFonts w:hint="eastAsia" w:ascii="仿宋_GB2312" w:hAnsi="仿宋_GB2312" w:eastAsia="仿宋_GB2312" w:cs="仿宋_GB2312"/>
                <w:color w:val="auto"/>
              </w:rPr>
              <w:t>(2)不符合上述情况。(0分)</w:t>
            </w:r>
          </w:p>
        </w:tc>
        <w:tc>
          <w:tcPr>
            <w:tcW w:w="1688" w:type="dxa"/>
            <w:vAlign w:val="center"/>
          </w:tcPr>
          <w:p w14:paraId="68943F30">
            <w:pPr>
              <w:ind w:firstLine="420" w:firstLineChars="200"/>
              <w:jc w:val="both"/>
              <w:rPr>
                <w:rFonts w:hint="eastAsia" w:ascii="仿宋_GB2312" w:hAnsi="仿宋_GB2312" w:eastAsia="仿宋_GB2312" w:cs="仿宋_GB2312"/>
                <w:color w:val="auto"/>
              </w:rPr>
            </w:pPr>
          </w:p>
        </w:tc>
      </w:tr>
      <w:tr w14:paraId="321591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8" w:hRule="atLeast"/>
        </w:trPr>
        <w:tc>
          <w:tcPr>
            <w:tcW w:w="1147" w:type="dxa"/>
            <w:vMerge w:val="continue"/>
            <w:vAlign w:val="center"/>
          </w:tcPr>
          <w:p w14:paraId="0E8A060A">
            <w:pPr>
              <w:jc w:val="center"/>
              <w:rPr>
                <w:rFonts w:hint="eastAsia" w:ascii="仿宋_GB2312" w:hAnsi="仿宋_GB2312" w:eastAsia="仿宋_GB2312" w:cs="仿宋_GB2312"/>
                <w:color w:val="auto"/>
              </w:rPr>
            </w:pPr>
          </w:p>
        </w:tc>
        <w:tc>
          <w:tcPr>
            <w:tcW w:w="1438" w:type="dxa"/>
            <w:vAlign w:val="center"/>
          </w:tcPr>
          <w:p w14:paraId="16A23FDC">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档案管理</w:t>
            </w:r>
          </w:p>
          <w:p w14:paraId="6553EC81">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72729B83">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民政服务站严格按照档案管理制度进行档案管理。档案完整、分类存档、排列有序、便于查找，且服务记录全面、真实地记录其服务运作、服务活动并完整 保存。</w:t>
            </w:r>
          </w:p>
          <w:p w14:paraId="02DB67F2">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(1)严格遵照执行，且服务记录完整。</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1分)        </w:t>
            </w:r>
            <w:r>
              <w:rPr>
                <w:rFonts w:hint="eastAsia" w:ascii="仿宋_GB2312" w:hAnsi="仿宋_GB2312" w:eastAsia="仿宋_GB2312" w:cs="仿宋_GB2312"/>
                <w:color w:val="auto"/>
              </w:rPr>
              <w:t>(2)部分服务记录完整。</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0.5分)</w:t>
            </w:r>
          </w:p>
          <w:p w14:paraId="4A87E7F7">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(3)不符合上述情况。(0分)</w:t>
            </w:r>
          </w:p>
        </w:tc>
        <w:tc>
          <w:tcPr>
            <w:tcW w:w="1688" w:type="dxa"/>
            <w:vAlign w:val="center"/>
          </w:tcPr>
          <w:p w14:paraId="3E0872C5">
            <w:pPr>
              <w:ind w:firstLine="420" w:firstLineChars="200"/>
              <w:jc w:val="both"/>
              <w:rPr>
                <w:rFonts w:hint="eastAsia" w:ascii="仿宋_GB2312" w:hAnsi="仿宋_GB2312" w:eastAsia="仿宋_GB2312" w:cs="仿宋_GB2312"/>
                <w:color w:val="auto"/>
              </w:rPr>
            </w:pPr>
          </w:p>
        </w:tc>
      </w:tr>
      <w:tr w14:paraId="5C9E6F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4" w:hRule="atLeast"/>
        </w:trPr>
        <w:tc>
          <w:tcPr>
            <w:tcW w:w="1147" w:type="dxa"/>
            <w:vMerge w:val="continue"/>
            <w:vAlign w:val="center"/>
          </w:tcPr>
          <w:p w14:paraId="6A0F7C52">
            <w:pPr>
              <w:jc w:val="center"/>
              <w:rPr>
                <w:rFonts w:hint="eastAsia" w:ascii="仿宋_GB2312" w:hAnsi="仿宋_GB2312" w:eastAsia="仿宋_GB2312" w:cs="仿宋_GB2312"/>
                <w:color w:val="auto"/>
              </w:rPr>
            </w:pPr>
          </w:p>
        </w:tc>
        <w:tc>
          <w:tcPr>
            <w:tcW w:w="1438" w:type="dxa"/>
            <w:vAlign w:val="center"/>
          </w:tcPr>
          <w:p w14:paraId="50913848">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服务动态发布</w:t>
            </w:r>
          </w:p>
          <w:p w14:paraId="43B85DF4">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1CFFC7E0">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及时发布服务动态至省市县民政部门官网、官微或江西社会工作网微信公众号或官网、官微或其他媒体。</w:t>
            </w:r>
          </w:p>
          <w:p w14:paraId="32107F01">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1分)                        </w:t>
            </w:r>
            <w:r>
              <w:rPr>
                <w:rFonts w:hint="eastAsia" w:ascii="仿宋_GB2312" w:hAnsi="仿宋_GB2312" w:eastAsia="仿宋_GB2312" w:cs="仿宋_GB2312"/>
                <w:color w:val="auto"/>
              </w:rPr>
              <w:t>(2)不符合上述情况。(0分)</w:t>
            </w:r>
          </w:p>
        </w:tc>
        <w:tc>
          <w:tcPr>
            <w:tcW w:w="1688" w:type="dxa"/>
            <w:vAlign w:val="center"/>
          </w:tcPr>
          <w:p w14:paraId="4C8134C5">
            <w:pPr>
              <w:ind w:firstLine="420" w:firstLineChars="200"/>
              <w:jc w:val="both"/>
              <w:rPr>
                <w:rFonts w:hint="eastAsia" w:ascii="仿宋_GB2312" w:hAnsi="仿宋_GB2312" w:eastAsia="仿宋_GB2312" w:cs="仿宋_GB2312"/>
                <w:color w:val="auto"/>
              </w:rPr>
            </w:pPr>
          </w:p>
        </w:tc>
      </w:tr>
      <w:tr w14:paraId="364E3C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2" w:hRule="atLeast"/>
        </w:trPr>
        <w:tc>
          <w:tcPr>
            <w:tcW w:w="1147" w:type="dxa"/>
            <w:vMerge w:val="restart"/>
            <w:vAlign w:val="center"/>
          </w:tcPr>
          <w:p w14:paraId="0DF288E8">
            <w:pPr>
              <w:jc w:val="center"/>
              <w:rPr>
                <w:rFonts w:hint="eastAsia" w:ascii="仿宋_GB2312" w:hAnsi="仿宋_GB2312" w:eastAsia="仿宋_GB2312" w:cs="仿宋_GB2312"/>
                <w:color w:val="auto"/>
              </w:rPr>
            </w:pPr>
          </w:p>
          <w:p w14:paraId="140D773C">
            <w:pPr>
              <w:jc w:val="center"/>
              <w:rPr>
                <w:rFonts w:hint="eastAsia" w:ascii="仿宋_GB2312" w:hAnsi="仿宋_GB2312" w:eastAsia="仿宋_GB2312" w:cs="仿宋_GB2312"/>
                <w:color w:val="auto"/>
              </w:rPr>
            </w:pPr>
          </w:p>
          <w:p w14:paraId="7EAE429F">
            <w:pPr>
              <w:jc w:val="center"/>
              <w:rPr>
                <w:rFonts w:hint="eastAsia" w:ascii="仿宋_GB2312" w:hAnsi="仿宋_GB2312" w:eastAsia="仿宋_GB2312" w:cs="仿宋_GB2312"/>
                <w:color w:val="auto"/>
              </w:rPr>
            </w:pPr>
          </w:p>
          <w:p w14:paraId="17EDDD71">
            <w:pPr>
              <w:jc w:val="center"/>
              <w:rPr>
                <w:rFonts w:hint="eastAsia" w:ascii="仿宋_GB2312" w:hAnsi="仿宋_GB2312" w:eastAsia="仿宋_GB2312" w:cs="仿宋_GB2312"/>
                <w:color w:val="auto"/>
              </w:rPr>
            </w:pPr>
          </w:p>
          <w:p w14:paraId="07ABC51A">
            <w:pPr>
              <w:jc w:val="center"/>
              <w:rPr>
                <w:rFonts w:hint="eastAsia" w:ascii="仿宋_GB2312" w:hAnsi="仿宋_GB2312" w:eastAsia="仿宋_GB2312" w:cs="仿宋_GB2312"/>
                <w:color w:val="auto"/>
              </w:rPr>
            </w:pPr>
          </w:p>
          <w:p w14:paraId="4BC3D6E3">
            <w:pPr>
              <w:jc w:val="center"/>
              <w:rPr>
                <w:rFonts w:hint="eastAsia" w:ascii="仿宋_GB2312" w:hAnsi="仿宋_GB2312" w:eastAsia="仿宋_GB2312" w:cs="仿宋_GB2312"/>
                <w:color w:val="auto"/>
              </w:rPr>
            </w:pPr>
          </w:p>
          <w:p w14:paraId="65158E7F">
            <w:pPr>
              <w:jc w:val="center"/>
              <w:rPr>
                <w:rFonts w:hint="eastAsia" w:ascii="仿宋_GB2312" w:hAnsi="仿宋_GB2312" w:eastAsia="仿宋_GB2312" w:cs="仿宋_GB2312"/>
                <w:color w:val="auto"/>
              </w:rPr>
            </w:pPr>
          </w:p>
          <w:p w14:paraId="63FA5154">
            <w:pPr>
              <w:jc w:val="center"/>
              <w:rPr>
                <w:rFonts w:hint="eastAsia" w:ascii="仿宋_GB2312" w:hAnsi="仿宋_GB2312" w:eastAsia="仿宋_GB2312" w:cs="仿宋_GB2312"/>
                <w:color w:val="auto"/>
              </w:rPr>
            </w:pPr>
          </w:p>
          <w:p w14:paraId="17A88CDE">
            <w:pPr>
              <w:jc w:val="center"/>
              <w:rPr>
                <w:rFonts w:hint="eastAsia" w:ascii="仿宋_GB2312" w:hAnsi="仿宋_GB2312" w:eastAsia="仿宋_GB2312" w:cs="仿宋_GB2312"/>
                <w:color w:val="auto"/>
              </w:rPr>
            </w:pPr>
          </w:p>
          <w:p w14:paraId="744D7DF5">
            <w:pPr>
              <w:jc w:val="center"/>
              <w:rPr>
                <w:rFonts w:hint="eastAsia" w:ascii="仿宋_GB2312" w:hAnsi="仿宋_GB2312" w:eastAsia="仿宋_GB2312" w:cs="仿宋_GB2312"/>
                <w:color w:val="auto"/>
              </w:rPr>
            </w:pPr>
          </w:p>
          <w:p w14:paraId="63D2ECFE">
            <w:pPr>
              <w:jc w:val="center"/>
              <w:rPr>
                <w:rFonts w:hint="eastAsia" w:ascii="仿宋_GB2312" w:hAnsi="仿宋_GB2312" w:eastAsia="仿宋_GB2312" w:cs="仿宋_GB2312"/>
                <w:color w:val="auto"/>
              </w:rPr>
            </w:pPr>
          </w:p>
          <w:p w14:paraId="648AAB24">
            <w:pPr>
              <w:jc w:val="center"/>
              <w:rPr>
                <w:rFonts w:hint="eastAsia" w:ascii="仿宋_GB2312" w:hAnsi="仿宋_GB2312" w:eastAsia="仿宋_GB2312" w:cs="仿宋_GB2312"/>
                <w:color w:val="auto"/>
              </w:rPr>
            </w:pPr>
          </w:p>
          <w:p w14:paraId="44A19C25">
            <w:pPr>
              <w:jc w:val="center"/>
              <w:rPr>
                <w:rFonts w:hint="eastAsia" w:ascii="仿宋_GB2312" w:hAnsi="仿宋_GB2312" w:eastAsia="仿宋_GB2312" w:cs="仿宋_GB2312"/>
                <w:color w:val="auto"/>
              </w:rPr>
            </w:pPr>
          </w:p>
          <w:p w14:paraId="664CEA7D">
            <w:pPr>
              <w:jc w:val="center"/>
              <w:rPr>
                <w:rFonts w:hint="eastAsia" w:ascii="仿宋_GB2312" w:hAnsi="仿宋_GB2312" w:eastAsia="仿宋_GB2312" w:cs="仿宋_GB2312"/>
                <w:color w:val="auto"/>
              </w:rPr>
            </w:pPr>
          </w:p>
          <w:p w14:paraId="302C38AC">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综合</w:t>
            </w:r>
            <w:r>
              <w:rPr>
                <w:rFonts w:hint="eastAsia" w:ascii="仿宋_GB2312" w:hAnsi="仿宋_GB2312" w:eastAsia="仿宋_GB2312" w:cs="仿宋_GB2312"/>
                <w:color w:val="auto"/>
              </w:rPr>
              <w:t>支持</w:t>
            </w:r>
          </w:p>
          <w:p w14:paraId="6F46F7D9">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9</w:t>
            </w:r>
            <w:r>
              <w:rPr>
                <w:rFonts w:hint="eastAsia" w:ascii="仿宋_GB2312" w:hAnsi="仿宋_GB2312" w:eastAsia="仿宋_GB2312" w:cs="仿宋_GB2312"/>
                <w:color w:val="auto"/>
              </w:rPr>
              <w:t>分)</w:t>
            </w:r>
          </w:p>
        </w:tc>
        <w:tc>
          <w:tcPr>
            <w:tcW w:w="1438" w:type="dxa"/>
            <w:vAlign w:val="center"/>
          </w:tcPr>
          <w:p w14:paraId="2633E10F">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省市级</w:t>
            </w:r>
            <w:r>
              <w:rPr>
                <w:rFonts w:hint="eastAsia" w:ascii="仿宋_GB2312" w:hAnsi="仿宋_GB2312" w:eastAsia="仿宋_GB2312" w:cs="仿宋_GB2312"/>
                <w:color w:val="auto"/>
              </w:rPr>
              <w:t>业务</w:t>
            </w:r>
          </w:p>
          <w:p w14:paraId="3AE42E8D">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培训</w:t>
            </w:r>
          </w:p>
          <w:p w14:paraId="2241E3CB">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2849B54D">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安排民政服务站人员按时参加各级民政部门安排的民政服务站业务培训。</w:t>
            </w:r>
          </w:p>
          <w:p w14:paraId="1BA94496">
            <w:pPr>
              <w:ind w:firstLine="420" w:firstLineChars="200"/>
              <w:rPr>
                <w:rFonts w:hint="eastAsia" w:ascii="仿宋_GB2312" w:hAnsi="仿宋_GB2312" w:eastAsia="仿宋_GB2312" w:cs="仿宋_GB2312"/>
                <w:color w:val="auto"/>
                <w:lang w:val="en-US" w:eastAsia="zh-CN"/>
              </w:rPr>
            </w:pPr>
            <w:r>
              <w:rPr>
                <w:rFonts w:hint="eastAsia" w:ascii="仿宋_GB2312" w:hAnsi="仿宋_GB2312" w:eastAsia="仿宋_GB2312" w:cs="仿宋_GB2312"/>
                <w:color w:val="auto"/>
              </w:rPr>
              <w:t>(1)按时参加，学员归来后提交培训心得。</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1分)   </w:t>
            </w:r>
          </w:p>
          <w:p w14:paraId="3A52AF4E">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(2)按时参加，但在学员归来后未提交培训心得。</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0.5分)</w:t>
            </w:r>
          </w:p>
          <w:p w14:paraId="2AC11387">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(3)未按时参加。(0分)</w:t>
            </w:r>
          </w:p>
        </w:tc>
        <w:tc>
          <w:tcPr>
            <w:tcW w:w="1688" w:type="dxa"/>
            <w:vAlign w:val="center"/>
          </w:tcPr>
          <w:p w14:paraId="35C200D5">
            <w:pPr>
              <w:ind w:firstLine="420" w:firstLineChars="200"/>
              <w:jc w:val="both"/>
              <w:rPr>
                <w:rFonts w:hint="eastAsia" w:ascii="仿宋_GB2312" w:hAnsi="仿宋_GB2312" w:eastAsia="仿宋_GB2312" w:cs="仿宋_GB2312"/>
                <w:color w:val="auto"/>
              </w:rPr>
            </w:pPr>
          </w:p>
        </w:tc>
      </w:tr>
      <w:tr w14:paraId="022C41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2" w:hRule="atLeast"/>
        </w:trPr>
        <w:tc>
          <w:tcPr>
            <w:tcW w:w="1147" w:type="dxa"/>
            <w:vMerge w:val="continue"/>
            <w:vAlign w:val="center"/>
          </w:tcPr>
          <w:p w14:paraId="6249799F">
            <w:pPr>
              <w:jc w:val="center"/>
              <w:rPr>
                <w:rFonts w:hint="eastAsia" w:ascii="仿宋_GB2312" w:hAnsi="仿宋_GB2312" w:eastAsia="仿宋_GB2312" w:cs="仿宋_GB2312"/>
                <w:color w:val="auto"/>
              </w:rPr>
            </w:pPr>
          </w:p>
        </w:tc>
        <w:tc>
          <w:tcPr>
            <w:tcW w:w="1438" w:type="dxa"/>
            <w:vAlign w:val="center"/>
          </w:tcPr>
          <w:p w14:paraId="759DC832">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机</w:t>
            </w:r>
            <w:r>
              <w:rPr>
                <w:rFonts w:hint="eastAsia" w:ascii="仿宋_GB2312" w:hAnsi="仿宋_GB2312" w:eastAsia="仿宋_GB2312" w:cs="仿宋_GB2312"/>
                <w:color w:val="auto"/>
              </w:rPr>
              <w:t>构内部</w:t>
            </w:r>
          </w:p>
          <w:p w14:paraId="116E41FC">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培训支持</w:t>
            </w:r>
          </w:p>
          <w:p w14:paraId="25398C02">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65C396E6">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除参与民政系统业务培训外，机构内部制定培训计划，定期为驻站社工开展能力建设培训并支持社工外出参与其他社会工作相关专业培训。</w:t>
            </w:r>
          </w:p>
          <w:p w14:paraId="30DD14C2">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(1)机构有内部培训计划，且较好的组织实施，人均已培训时长每年60小时以上。</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342ACE62">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(2)机构有内部培训计划，但组织实施情况一般。</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0.5分)</w:t>
            </w:r>
          </w:p>
          <w:p w14:paraId="0DCE0C6E">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(3)不符合上述情况。(0分)</w:t>
            </w:r>
          </w:p>
        </w:tc>
        <w:tc>
          <w:tcPr>
            <w:tcW w:w="1688" w:type="dxa"/>
            <w:vAlign w:val="center"/>
          </w:tcPr>
          <w:p w14:paraId="35400101">
            <w:pPr>
              <w:ind w:firstLine="420" w:firstLineChars="200"/>
              <w:jc w:val="both"/>
              <w:rPr>
                <w:rFonts w:hint="eastAsia" w:ascii="仿宋_GB2312" w:hAnsi="仿宋_GB2312" w:eastAsia="仿宋_GB2312" w:cs="仿宋_GB2312"/>
                <w:color w:val="auto"/>
              </w:rPr>
            </w:pPr>
          </w:p>
        </w:tc>
      </w:tr>
      <w:tr w14:paraId="6C1D9D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97" w:hRule="atLeast"/>
        </w:trPr>
        <w:tc>
          <w:tcPr>
            <w:tcW w:w="1147" w:type="dxa"/>
            <w:vMerge w:val="continue"/>
            <w:vAlign w:val="top"/>
          </w:tcPr>
          <w:p w14:paraId="7921EE83">
            <w:pPr>
              <w:jc w:val="center"/>
              <w:rPr>
                <w:rFonts w:hint="eastAsia" w:ascii="仿宋_GB2312" w:hAnsi="仿宋_GB2312" w:eastAsia="仿宋_GB2312" w:cs="仿宋_GB2312"/>
                <w:color w:val="auto"/>
              </w:rPr>
            </w:pPr>
          </w:p>
        </w:tc>
        <w:tc>
          <w:tcPr>
            <w:tcW w:w="1438" w:type="dxa"/>
            <w:vAlign w:val="center"/>
          </w:tcPr>
          <w:p w14:paraId="15A1770F">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机构内部督导</w:t>
            </w:r>
          </w:p>
          <w:p w14:paraId="39CADB46">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支持</w:t>
            </w:r>
          </w:p>
          <w:p w14:paraId="667868EC">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分)</w:t>
            </w:r>
          </w:p>
        </w:tc>
        <w:tc>
          <w:tcPr>
            <w:tcW w:w="10362" w:type="dxa"/>
            <w:vAlign w:val="center"/>
          </w:tcPr>
          <w:p w14:paraId="6427ECB3">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除参与</w:t>
            </w:r>
            <w:r>
              <w:rPr>
                <w:rFonts w:hint="eastAsia" w:ascii="仿宋_GB2312" w:hAnsi="仿宋_GB2312" w:eastAsia="仿宋_GB2312" w:cs="仿宋_GB2312"/>
                <w:color w:val="auto"/>
                <w:lang w:val="en-US" w:eastAsia="zh-CN"/>
              </w:rPr>
              <w:t>上级</w:t>
            </w:r>
            <w:r>
              <w:rPr>
                <w:rFonts w:hint="eastAsia" w:ascii="仿宋_GB2312" w:hAnsi="仿宋_GB2312" w:eastAsia="仿宋_GB2312" w:cs="仿宋_GB2312"/>
                <w:color w:val="auto"/>
              </w:rPr>
              <w:t>业务督导外，机构内部制定督导计划，并配备内部督导进行服务过程的指导和情感支持。</w:t>
            </w:r>
          </w:p>
          <w:p w14:paraId="57018FB6">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(1)机构有内部督导计划，且较好的组织实施，人均已督导时长每年24小时以上。</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2分)</w:t>
            </w:r>
          </w:p>
          <w:p w14:paraId="43F94E97">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(2)机构有内部督导计划，但组织实施情况一般。</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65F0AC93">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(3)不符合上述情况。(0分)</w:t>
            </w:r>
          </w:p>
        </w:tc>
        <w:tc>
          <w:tcPr>
            <w:tcW w:w="1688" w:type="dxa"/>
            <w:vAlign w:val="center"/>
          </w:tcPr>
          <w:p w14:paraId="64D1F4D6">
            <w:pPr>
              <w:ind w:firstLine="420" w:firstLineChars="200"/>
              <w:jc w:val="both"/>
              <w:rPr>
                <w:rFonts w:hint="eastAsia" w:ascii="仿宋_GB2312" w:hAnsi="仿宋_GB2312" w:eastAsia="仿宋_GB2312" w:cs="仿宋_GB2312"/>
                <w:color w:val="auto"/>
              </w:rPr>
            </w:pPr>
          </w:p>
        </w:tc>
      </w:tr>
      <w:tr w14:paraId="09438B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7" w:hRule="atLeast"/>
        </w:trPr>
        <w:tc>
          <w:tcPr>
            <w:tcW w:w="1147" w:type="dxa"/>
            <w:vMerge w:val="continue"/>
            <w:vAlign w:val="top"/>
          </w:tcPr>
          <w:p w14:paraId="5620946E">
            <w:pPr>
              <w:jc w:val="center"/>
              <w:rPr>
                <w:rFonts w:hint="eastAsia" w:ascii="仿宋_GB2312" w:hAnsi="仿宋_GB2312" w:eastAsia="仿宋_GB2312" w:cs="仿宋_GB2312"/>
                <w:color w:val="auto"/>
              </w:rPr>
            </w:pPr>
          </w:p>
        </w:tc>
        <w:tc>
          <w:tcPr>
            <w:tcW w:w="1438" w:type="dxa"/>
            <w:vAlign w:val="center"/>
          </w:tcPr>
          <w:p w14:paraId="2033B99A">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专业服务项目</w:t>
            </w:r>
          </w:p>
          <w:p w14:paraId="55770E39">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设计</w:t>
            </w:r>
          </w:p>
          <w:p w14:paraId="10997A54">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348743C1">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组织民政服务站或支持民政服务站设计符合当地实际，服务设计的内容与服务目标匹配、具有社会工作专业性的项目，并将项目落地实施。</w:t>
            </w:r>
          </w:p>
          <w:p w14:paraId="4B71E1D8">
            <w:pPr>
              <w:ind w:firstLine="420" w:firstLineChars="200"/>
              <w:rPr>
                <w:rFonts w:hint="default" w:ascii="仿宋_GB2312" w:hAnsi="仿宋_GB2312" w:eastAsia="仿宋_GB2312" w:cs="仿宋_GB2312"/>
                <w:color w:val="auto"/>
                <w:lang w:val="en-US" w:eastAsia="zh-CN"/>
              </w:rPr>
            </w:pPr>
            <w:r>
              <w:rPr>
                <w:rFonts w:hint="eastAsia" w:ascii="仿宋_GB2312" w:hAnsi="仿宋_GB2312" w:eastAsia="仿宋_GB2312" w:cs="仿宋_GB2312"/>
                <w:color w:val="auto"/>
              </w:rPr>
              <w:t>(1)符合上述情况。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78A1BC2E">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)仅设计符合当地实际、具有社会工作专业性项目，且项目设计具有可执行性。</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0.8分)</w:t>
            </w:r>
          </w:p>
          <w:p w14:paraId="15109361">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3</w:t>
            </w:r>
            <w:r>
              <w:rPr>
                <w:rFonts w:hint="eastAsia" w:ascii="仿宋_GB2312" w:hAnsi="仿宋_GB2312" w:eastAsia="仿宋_GB2312" w:cs="仿宋_GB2312"/>
                <w:color w:val="auto"/>
              </w:rPr>
              <w:t>)不符合上述情况。(0分)</w:t>
            </w:r>
          </w:p>
        </w:tc>
        <w:tc>
          <w:tcPr>
            <w:tcW w:w="1688" w:type="dxa"/>
            <w:vAlign w:val="center"/>
          </w:tcPr>
          <w:p w14:paraId="456D74EB">
            <w:pPr>
              <w:ind w:firstLine="420" w:firstLineChars="200"/>
              <w:jc w:val="both"/>
              <w:rPr>
                <w:rFonts w:hint="eastAsia" w:ascii="仿宋_GB2312" w:hAnsi="仿宋_GB2312" w:eastAsia="仿宋_GB2312" w:cs="仿宋_GB2312"/>
                <w:color w:val="auto"/>
              </w:rPr>
            </w:pPr>
          </w:p>
        </w:tc>
      </w:tr>
      <w:tr w14:paraId="633D42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49" w:hRule="atLeast"/>
        </w:trPr>
        <w:tc>
          <w:tcPr>
            <w:tcW w:w="1147" w:type="dxa"/>
            <w:vMerge w:val="continue"/>
            <w:vAlign w:val="center"/>
          </w:tcPr>
          <w:p w14:paraId="1F4F1E52">
            <w:pPr>
              <w:jc w:val="center"/>
              <w:rPr>
                <w:rFonts w:hint="eastAsia" w:ascii="仿宋_GB2312" w:hAnsi="仿宋_GB2312" w:eastAsia="仿宋_GB2312" w:cs="仿宋_GB2312"/>
                <w:color w:val="auto"/>
              </w:rPr>
            </w:pPr>
          </w:p>
        </w:tc>
        <w:tc>
          <w:tcPr>
            <w:tcW w:w="1438" w:type="dxa"/>
            <w:vAlign w:val="center"/>
          </w:tcPr>
          <w:p w14:paraId="40EE8EB2">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需求调研</w:t>
            </w:r>
          </w:p>
          <w:p w14:paraId="32BF3405">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2分</w:t>
            </w:r>
            <w:r>
              <w:rPr>
                <w:rFonts w:hint="eastAsia" w:ascii="仿宋_GB2312" w:hAnsi="仿宋_GB2312" w:eastAsia="仿宋_GB2312" w:cs="仿宋_GB2312"/>
                <w:color w:val="auto"/>
              </w:rPr>
              <w:t>)</w:t>
            </w:r>
          </w:p>
        </w:tc>
        <w:tc>
          <w:tcPr>
            <w:tcW w:w="10362" w:type="dxa"/>
            <w:vAlign w:val="center"/>
          </w:tcPr>
          <w:p w14:paraId="4B133E7D">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机构支持民政服务站点结合地区实际，运用科学的定量或定性研究方法开展民 政服务站的服务需求调研，并撰写需求分析报告。</w:t>
            </w:r>
          </w:p>
          <w:p w14:paraId="417B6193">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(1)需求调研深入，且有具体可行的分析报告。</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2分)</w:t>
            </w:r>
          </w:p>
          <w:p w14:paraId="154A56C0">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(2)开展需求调研，出具了分析报告，但是报告内容简略，或缺乏可行性。(</w:t>
            </w:r>
            <w:r>
              <w:rPr>
                <w:rFonts w:hint="eastAsia" w:ascii="仿宋_GB2312" w:hAnsi="仿宋_GB2312" w:eastAsia="仿宋_GB2312" w:cs="仿宋_GB2312"/>
                <w:color w:val="auto"/>
                <w:lang w:val="en-US" w:eastAsia="zh-CN"/>
              </w:rPr>
              <w:t>0</w:t>
            </w:r>
            <w:r>
              <w:rPr>
                <w:rFonts w:hint="eastAsia" w:ascii="仿宋_GB2312" w:hAnsi="仿宋_GB2312" w:eastAsia="仿宋_GB2312" w:cs="仿宋_GB2312"/>
                <w:color w:val="auto"/>
              </w:rPr>
              <w:t>分)</w:t>
            </w:r>
          </w:p>
        </w:tc>
        <w:tc>
          <w:tcPr>
            <w:tcW w:w="1688" w:type="dxa"/>
            <w:vAlign w:val="center"/>
          </w:tcPr>
          <w:p w14:paraId="294E123E">
            <w:pPr>
              <w:ind w:firstLine="420" w:firstLineChars="200"/>
              <w:jc w:val="both"/>
              <w:rPr>
                <w:rFonts w:hint="eastAsia" w:ascii="仿宋_GB2312" w:hAnsi="仿宋_GB2312" w:eastAsia="仿宋_GB2312" w:cs="仿宋_GB2312"/>
                <w:color w:val="auto"/>
              </w:rPr>
            </w:pPr>
          </w:p>
        </w:tc>
      </w:tr>
      <w:tr w14:paraId="103097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57" w:hRule="atLeast"/>
        </w:trPr>
        <w:tc>
          <w:tcPr>
            <w:tcW w:w="1147" w:type="dxa"/>
            <w:vMerge w:val="continue"/>
            <w:vAlign w:val="center"/>
          </w:tcPr>
          <w:p w14:paraId="54C7244E">
            <w:pPr>
              <w:jc w:val="both"/>
              <w:rPr>
                <w:rFonts w:hint="eastAsia" w:ascii="仿宋_GB2312" w:hAnsi="仿宋_GB2312" w:eastAsia="仿宋_GB2312" w:cs="仿宋_GB2312"/>
                <w:color w:val="auto"/>
              </w:rPr>
            </w:pPr>
          </w:p>
        </w:tc>
        <w:tc>
          <w:tcPr>
            <w:tcW w:w="1438" w:type="dxa"/>
            <w:vAlign w:val="center"/>
          </w:tcPr>
          <w:p w14:paraId="024D5C5D">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服务计划</w:t>
            </w:r>
          </w:p>
          <w:p w14:paraId="125DE8EB">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分)</w:t>
            </w:r>
          </w:p>
        </w:tc>
        <w:tc>
          <w:tcPr>
            <w:tcW w:w="10362" w:type="dxa"/>
            <w:vAlign w:val="center"/>
          </w:tcPr>
          <w:p w14:paraId="78DC92CA">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机构</w:t>
            </w:r>
            <w:r>
              <w:rPr>
                <w:rFonts w:hint="eastAsia" w:ascii="仿宋_GB2312" w:hAnsi="仿宋_GB2312" w:eastAsia="仿宋_GB2312" w:cs="仿宋_GB2312"/>
                <w:color w:val="auto"/>
                <w:lang w:val="en-US" w:eastAsia="zh-CN"/>
              </w:rPr>
              <w:t>支持</w:t>
            </w:r>
            <w:r>
              <w:rPr>
                <w:rFonts w:hint="eastAsia" w:ascii="仿宋_GB2312" w:hAnsi="仿宋_GB2312" w:eastAsia="仿宋_GB2312" w:cs="仿宋_GB2312"/>
                <w:color w:val="auto"/>
              </w:rPr>
              <w:t>制定民政服务站年度工作计划，有序开展服务，及时对服务情况进行科学调整。</w:t>
            </w:r>
          </w:p>
          <w:p w14:paraId="6959D627">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(1)能够按服务计划开展服务，并根据实际对服务情况进行科学调整。</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2分)</w:t>
            </w:r>
          </w:p>
          <w:p w14:paraId="3703A3DC">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(2)能够参照服务计划开展服务，但未能对服务情况进行科学调整。</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56261B4A">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(3)不符合上述情况。(0分)</w:t>
            </w:r>
          </w:p>
        </w:tc>
        <w:tc>
          <w:tcPr>
            <w:tcW w:w="1688" w:type="dxa"/>
            <w:vAlign w:val="center"/>
          </w:tcPr>
          <w:p w14:paraId="78DFAA3F">
            <w:pPr>
              <w:ind w:firstLine="420" w:firstLineChars="200"/>
              <w:jc w:val="both"/>
              <w:rPr>
                <w:rFonts w:hint="eastAsia" w:ascii="仿宋_GB2312" w:hAnsi="仿宋_GB2312" w:eastAsia="仿宋_GB2312" w:cs="仿宋_GB2312"/>
                <w:color w:val="auto"/>
              </w:rPr>
            </w:pPr>
          </w:p>
        </w:tc>
      </w:tr>
      <w:tr w14:paraId="382908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1" w:hRule="atLeast"/>
        </w:trPr>
        <w:tc>
          <w:tcPr>
            <w:tcW w:w="1147" w:type="dxa"/>
            <w:vMerge w:val="restart"/>
            <w:vAlign w:val="center"/>
          </w:tcPr>
          <w:p w14:paraId="364D089D">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社会</w:t>
            </w:r>
            <w:r>
              <w:rPr>
                <w:rFonts w:hint="eastAsia" w:ascii="仿宋_GB2312" w:hAnsi="仿宋_GB2312" w:eastAsia="仿宋_GB2312" w:cs="仿宋_GB2312"/>
                <w:color w:val="auto"/>
              </w:rPr>
              <w:t>相关方</w:t>
            </w:r>
          </w:p>
          <w:p w14:paraId="16DDC981">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评价</w:t>
            </w:r>
          </w:p>
          <w:p w14:paraId="00D930E2">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分)</w:t>
            </w:r>
          </w:p>
        </w:tc>
        <w:tc>
          <w:tcPr>
            <w:tcW w:w="1438" w:type="dxa"/>
            <w:vAlign w:val="center"/>
          </w:tcPr>
          <w:p w14:paraId="2FE8AC0D">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社工评价</w:t>
            </w:r>
          </w:p>
          <w:p w14:paraId="641EED5C">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5D432A41">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采用随机抽样方式抽取在职或离职社工进行电访，了解其对承接机构(薪资待遇、考勤休假、考核激励、专业支持等)的综合评价，以及对工作岗位的满意度。</w:t>
            </w:r>
          </w:p>
          <w:p w14:paraId="7530FDBC">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(1)对承接机构评价高，对工作岗位满意。</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66011F67">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(2)对承接机构评价一般，对工作岗位基本满意。</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0.8分)</w:t>
            </w:r>
          </w:p>
          <w:p w14:paraId="617DA684">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(3)对承接机构评价低，对工作岗位不满意。(0分)</w:t>
            </w:r>
          </w:p>
        </w:tc>
        <w:tc>
          <w:tcPr>
            <w:tcW w:w="1688" w:type="dxa"/>
            <w:vAlign w:val="center"/>
          </w:tcPr>
          <w:p w14:paraId="51B0D8B2">
            <w:pPr>
              <w:ind w:firstLine="420" w:firstLineChars="200"/>
              <w:jc w:val="both"/>
              <w:rPr>
                <w:rFonts w:hint="eastAsia" w:ascii="仿宋_GB2312" w:hAnsi="仿宋_GB2312" w:eastAsia="仿宋_GB2312" w:cs="仿宋_GB2312"/>
                <w:color w:val="auto"/>
              </w:rPr>
            </w:pPr>
          </w:p>
        </w:tc>
      </w:tr>
      <w:tr w14:paraId="43D38E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4" w:hRule="atLeast"/>
        </w:trPr>
        <w:tc>
          <w:tcPr>
            <w:tcW w:w="1147" w:type="dxa"/>
            <w:vMerge w:val="continue"/>
            <w:vAlign w:val="center"/>
          </w:tcPr>
          <w:p w14:paraId="0B0E5195">
            <w:pPr>
              <w:ind w:firstLine="420" w:firstLineChars="200"/>
              <w:jc w:val="center"/>
              <w:rPr>
                <w:rFonts w:hint="eastAsia" w:ascii="仿宋_GB2312" w:hAnsi="仿宋_GB2312" w:eastAsia="仿宋_GB2312" w:cs="仿宋_GB2312"/>
                <w:color w:val="auto"/>
              </w:rPr>
            </w:pPr>
          </w:p>
        </w:tc>
        <w:tc>
          <w:tcPr>
            <w:tcW w:w="1438" w:type="dxa"/>
            <w:vAlign w:val="center"/>
          </w:tcPr>
          <w:p w14:paraId="16C80FA5">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乡镇</w:t>
            </w:r>
            <w:r>
              <w:rPr>
                <w:rFonts w:hint="eastAsia" w:ascii="仿宋_GB2312" w:hAnsi="仿宋_GB2312" w:eastAsia="仿宋_GB2312" w:cs="仿宋_GB2312"/>
                <w:color w:val="auto"/>
              </w:rPr>
              <w:t>评价</w:t>
            </w:r>
          </w:p>
          <w:p w14:paraId="715AE125">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362" w:type="dxa"/>
            <w:vAlign w:val="center"/>
          </w:tcPr>
          <w:p w14:paraId="588CBB9A">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采用抽样调查方式，通过对乡镇(</w:t>
            </w:r>
            <w:r>
              <w:rPr>
                <w:rFonts w:hint="eastAsia" w:ascii="仿宋_GB2312" w:hAnsi="仿宋_GB2312" w:eastAsia="仿宋_GB2312" w:cs="仿宋_GB2312"/>
                <w:color w:val="auto"/>
                <w:lang w:val="en-US" w:eastAsia="zh-CN"/>
              </w:rPr>
              <w:t>场/办/管委会</w:t>
            </w:r>
            <w:r>
              <w:rPr>
                <w:rFonts w:hint="eastAsia" w:ascii="仿宋_GB2312" w:hAnsi="仿宋_GB2312" w:eastAsia="仿宋_GB2312" w:cs="仿宋_GB2312"/>
                <w:color w:val="auto"/>
              </w:rPr>
              <w:t>)的电话调查，了解其对机构整体项目管理等方面(内容、形式、安排、社工专业能力支持等)的满意度，以及对服务效果等方面综合评价。</w:t>
            </w:r>
          </w:p>
          <w:p w14:paraId="704570BA">
            <w:pPr>
              <w:numPr>
                <w:ilvl w:val="0"/>
                <w:numId w:val="0"/>
              </w:num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)对机构管理评价高，对管理效果满意。</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3A1CCF01">
            <w:pPr>
              <w:numPr>
                <w:ilvl w:val="0"/>
                <w:numId w:val="0"/>
              </w:num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(2)对机构管理评价一般，对管理效果基本满意。</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0.8分)</w:t>
            </w:r>
          </w:p>
          <w:p w14:paraId="7D637393">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(3)对机构管理评价低。(0分)</w:t>
            </w:r>
          </w:p>
        </w:tc>
        <w:tc>
          <w:tcPr>
            <w:tcW w:w="1688" w:type="dxa"/>
            <w:vAlign w:val="center"/>
          </w:tcPr>
          <w:p w14:paraId="2210D007">
            <w:pPr>
              <w:ind w:firstLine="420" w:firstLineChars="200"/>
              <w:jc w:val="both"/>
              <w:rPr>
                <w:rFonts w:hint="eastAsia" w:ascii="仿宋_GB2312" w:hAnsi="仿宋_GB2312" w:eastAsia="仿宋_GB2312" w:cs="仿宋_GB2312"/>
                <w:color w:val="auto"/>
              </w:rPr>
            </w:pPr>
          </w:p>
        </w:tc>
      </w:tr>
    </w:tbl>
    <w:p w14:paraId="45C33485">
      <w:pPr>
        <w:ind w:firstLine="420" w:firstLineChars="200"/>
        <w:rPr>
          <w:rFonts w:hint="eastAsia" w:ascii="仿宋_GB2312" w:hAnsi="仿宋_GB2312" w:eastAsia="仿宋_GB2312" w:cs="仿宋_GB2312"/>
          <w:color w:val="auto"/>
        </w:rPr>
        <w:sectPr>
          <w:pgSz w:w="16830" w:h="11920"/>
          <w:pgMar w:top="1440" w:right="1080" w:bottom="1440" w:left="1080" w:header="0" w:footer="1011" w:gutter="0"/>
          <w:pgNumType w:fmt="decimal"/>
          <w:cols w:space="720" w:num="1"/>
        </w:sectPr>
      </w:pPr>
    </w:p>
    <w:p w14:paraId="409BF55E">
      <w:pPr>
        <w:spacing w:before="107" w:line="360" w:lineRule="auto"/>
        <w:jc w:val="center"/>
        <w:outlineLvl w:val="0"/>
        <w:rPr>
          <w:rFonts w:hint="eastAsia" w:ascii="仿宋_GB2312" w:hAnsi="仿宋_GB2312" w:eastAsia="仿宋_GB2312" w:cs="仿宋_GB2312"/>
          <w:b w:val="0"/>
          <w:bCs w:val="0"/>
          <w:color w:val="auto"/>
          <w:sz w:val="24"/>
          <w:szCs w:val="24"/>
        </w:rPr>
      </w:pPr>
      <w:r>
        <w:rPr>
          <w:rFonts w:hint="eastAsia" w:ascii="黑体" w:hAnsi="黑体" w:eastAsia="黑体" w:cs="黑体"/>
          <w:b w:val="0"/>
          <w:bCs w:val="0"/>
          <w:color w:val="auto"/>
          <w:kern w:val="44"/>
          <w:sz w:val="36"/>
          <w:szCs w:val="36"/>
          <w:highlight w:val="none"/>
          <w:lang w:val="en-US" w:eastAsia="zh-CN" w:bidi="ar-SA"/>
        </w:rPr>
        <w:t>表三、民政服务站考核评价表（40分） 站点：</w:t>
      </w:r>
      <w:r>
        <w:rPr>
          <w:rFonts w:hint="eastAsia" w:ascii="黑体" w:hAnsi="黑体" w:eastAsia="黑体" w:cs="黑体"/>
          <w:b w:val="0"/>
          <w:bCs w:val="0"/>
          <w:color w:val="auto"/>
          <w:kern w:val="44"/>
          <w:sz w:val="36"/>
          <w:szCs w:val="36"/>
          <w:highlight w:val="none"/>
          <w:u w:val="single"/>
          <w:lang w:val="en-US" w:eastAsia="zh-CN" w:bidi="ar-SA"/>
        </w:rPr>
        <w:t xml:space="preserve">        </w:t>
      </w:r>
      <w:r>
        <w:rPr>
          <w:rFonts w:hint="eastAsia" w:ascii="黑体" w:hAnsi="黑体" w:eastAsia="黑体" w:cs="黑体"/>
          <w:b w:val="0"/>
          <w:bCs w:val="0"/>
          <w:color w:val="auto"/>
          <w:kern w:val="44"/>
          <w:sz w:val="36"/>
          <w:szCs w:val="36"/>
          <w:highlight w:val="none"/>
          <w:lang w:val="en-US" w:eastAsia="zh-CN" w:bidi="ar-SA"/>
        </w:rPr>
        <w:t xml:space="preserve">  </w:t>
      </w:r>
      <w:r>
        <w:rPr>
          <w:rFonts w:hint="eastAsia" w:ascii="黑体" w:hAnsi="黑体" w:eastAsia="黑体" w:cs="黑体"/>
          <w:b w:val="0"/>
          <w:bCs w:val="0"/>
          <w:color w:val="auto"/>
          <w:kern w:val="44"/>
          <w:sz w:val="21"/>
          <w:szCs w:val="21"/>
          <w:highlight w:val="none"/>
          <w:lang w:val="en-US" w:eastAsia="zh-CN" w:bidi="ar-SA"/>
        </w:rPr>
        <w:t>评价人：        日期：</w:t>
      </w:r>
    </w:p>
    <w:tbl>
      <w:tblPr>
        <w:tblStyle w:val="6"/>
        <w:tblW w:w="1463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47"/>
        <w:gridCol w:w="1438"/>
        <w:gridCol w:w="10748"/>
        <w:gridCol w:w="1302"/>
      </w:tblGrid>
      <w:tr w14:paraId="1DB265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jc w:val="center"/>
        </w:trPr>
        <w:tc>
          <w:tcPr>
            <w:tcW w:w="1147" w:type="dxa"/>
            <w:vAlign w:val="center"/>
          </w:tcPr>
          <w:p w14:paraId="560B7BF2">
            <w:pPr>
              <w:pStyle w:val="7"/>
              <w:spacing w:before="106" w:line="219" w:lineRule="auto"/>
              <w:ind w:left="83"/>
              <w:jc w:val="center"/>
              <w:rPr>
                <w:rFonts w:hint="default" w:ascii="仿宋_GB2312" w:hAnsi="仿宋_GB2312" w:eastAsia="仿宋_GB2312" w:cs="仿宋_GB2312"/>
                <w:b/>
                <w:bCs/>
                <w:color w:val="auto"/>
                <w:sz w:val="24"/>
                <w:szCs w:val="24"/>
                <w:lang w:val="en-US" w:eastAsia="zh-CN"/>
              </w:rPr>
            </w:pPr>
            <w:r>
              <w:rPr>
                <w:rFonts w:hint="eastAsia" w:ascii="仿宋_GB2312" w:hAnsi="仿宋_GB2312" w:eastAsia="仿宋_GB2312" w:cs="仿宋_GB2312"/>
                <w:b/>
                <w:bCs/>
                <w:color w:val="auto"/>
                <w:sz w:val="24"/>
                <w:szCs w:val="24"/>
                <w:lang w:val="en-US" w:eastAsia="zh-CN"/>
              </w:rPr>
              <w:t>一级指标</w:t>
            </w:r>
          </w:p>
        </w:tc>
        <w:tc>
          <w:tcPr>
            <w:tcW w:w="1438" w:type="dxa"/>
            <w:vAlign w:val="center"/>
          </w:tcPr>
          <w:p w14:paraId="1FCCCA67">
            <w:pPr>
              <w:pStyle w:val="7"/>
              <w:spacing w:before="106" w:line="219" w:lineRule="auto"/>
              <w:ind w:left="83"/>
              <w:jc w:val="center"/>
              <w:rPr>
                <w:rFonts w:hint="default" w:ascii="仿宋_GB2312" w:hAnsi="仿宋_GB2312" w:eastAsia="仿宋_GB2312" w:cs="仿宋_GB2312"/>
                <w:b/>
                <w:bCs/>
                <w:color w:val="auto"/>
                <w:sz w:val="24"/>
                <w:szCs w:val="24"/>
                <w:lang w:val="en-US" w:eastAsia="zh-CN"/>
              </w:rPr>
            </w:pPr>
            <w:r>
              <w:rPr>
                <w:rFonts w:hint="eastAsia" w:ascii="仿宋_GB2312" w:hAnsi="仿宋_GB2312" w:eastAsia="仿宋_GB2312" w:cs="仿宋_GB2312"/>
                <w:b/>
                <w:bCs/>
                <w:color w:val="auto"/>
                <w:sz w:val="24"/>
                <w:szCs w:val="24"/>
                <w:lang w:val="en-US" w:eastAsia="zh-CN"/>
              </w:rPr>
              <w:t>二级指标</w:t>
            </w:r>
          </w:p>
        </w:tc>
        <w:tc>
          <w:tcPr>
            <w:tcW w:w="10748" w:type="dxa"/>
            <w:vAlign w:val="center"/>
          </w:tcPr>
          <w:p w14:paraId="41E346BF">
            <w:pPr>
              <w:pStyle w:val="7"/>
              <w:spacing w:before="106" w:line="219" w:lineRule="auto"/>
              <w:ind w:left="83"/>
              <w:jc w:val="center"/>
              <w:rPr>
                <w:rFonts w:hint="default" w:ascii="仿宋_GB2312" w:hAnsi="仿宋_GB2312" w:eastAsia="仿宋_GB2312" w:cs="仿宋_GB2312"/>
                <w:b/>
                <w:bCs/>
                <w:color w:val="auto"/>
                <w:sz w:val="24"/>
                <w:szCs w:val="24"/>
                <w:lang w:val="en-US" w:eastAsia="zh-CN"/>
              </w:rPr>
            </w:pPr>
            <w:r>
              <w:rPr>
                <w:rFonts w:hint="eastAsia" w:ascii="仿宋_GB2312" w:hAnsi="仿宋_GB2312" w:eastAsia="仿宋_GB2312" w:cs="仿宋_GB2312"/>
                <w:b/>
                <w:bCs/>
                <w:color w:val="auto"/>
                <w:sz w:val="24"/>
                <w:szCs w:val="24"/>
                <w:lang w:val="en-US" w:eastAsia="zh-CN"/>
              </w:rPr>
              <w:t>指标说明及评价标准</w:t>
            </w:r>
          </w:p>
        </w:tc>
        <w:tc>
          <w:tcPr>
            <w:tcW w:w="1302" w:type="dxa"/>
            <w:vAlign w:val="center"/>
          </w:tcPr>
          <w:p w14:paraId="21BD574C">
            <w:pPr>
              <w:pStyle w:val="7"/>
              <w:spacing w:before="106" w:line="219" w:lineRule="auto"/>
              <w:ind w:firstLine="241" w:firstLineChars="100"/>
              <w:jc w:val="both"/>
              <w:rPr>
                <w:rFonts w:hint="default" w:ascii="仿宋_GB2312" w:hAnsi="仿宋_GB2312" w:eastAsia="仿宋_GB2312" w:cs="仿宋_GB2312"/>
                <w:b/>
                <w:bCs/>
                <w:color w:val="auto"/>
                <w:sz w:val="24"/>
                <w:szCs w:val="24"/>
                <w:lang w:val="en-US" w:eastAsia="zh-CN"/>
              </w:rPr>
            </w:pPr>
            <w:r>
              <w:rPr>
                <w:rFonts w:hint="eastAsia" w:ascii="仿宋_GB2312" w:hAnsi="仿宋_GB2312" w:eastAsia="仿宋_GB2312" w:cs="仿宋_GB2312"/>
                <w:b/>
                <w:bCs/>
                <w:color w:val="auto"/>
                <w:sz w:val="24"/>
                <w:szCs w:val="24"/>
                <w:lang w:val="en-US" w:eastAsia="zh-CN"/>
              </w:rPr>
              <w:t>得分：</w:t>
            </w:r>
          </w:p>
        </w:tc>
      </w:tr>
      <w:tr w14:paraId="4EE9BF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74" w:hRule="atLeast"/>
          <w:jc w:val="center"/>
        </w:trPr>
        <w:tc>
          <w:tcPr>
            <w:tcW w:w="1147" w:type="dxa"/>
            <w:vMerge w:val="restart"/>
            <w:vAlign w:val="center"/>
          </w:tcPr>
          <w:p w14:paraId="077F4F38">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日常民政</w:t>
            </w:r>
          </w:p>
          <w:p w14:paraId="41A4EB78">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工作</w:t>
            </w:r>
          </w:p>
          <w:p w14:paraId="632B5E35">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8</w:t>
            </w:r>
            <w:r>
              <w:rPr>
                <w:rFonts w:hint="eastAsia" w:ascii="仿宋_GB2312" w:hAnsi="仿宋_GB2312" w:eastAsia="仿宋_GB2312" w:cs="仿宋_GB2312"/>
                <w:color w:val="auto"/>
              </w:rPr>
              <w:t>分)</w:t>
            </w:r>
          </w:p>
        </w:tc>
        <w:tc>
          <w:tcPr>
            <w:tcW w:w="1438" w:type="dxa"/>
            <w:vAlign w:val="center"/>
          </w:tcPr>
          <w:p w14:paraId="02632B8F">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民政工作</w:t>
            </w:r>
          </w:p>
          <w:p w14:paraId="0561C062">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了解程度</w:t>
            </w:r>
          </w:p>
          <w:p w14:paraId="04CF1AC4">
            <w:pPr>
              <w:jc w:val="center"/>
              <w:rPr>
                <w:rFonts w:hint="eastAsia" w:ascii="仿宋_GB2312" w:hAnsi="仿宋_GB2312" w:eastAsia="仿宋_GB2312" w:cs="仿宋_GB2312"/>
                <w:color w:val="auto"/>
                <w:lang w:eastAsia="zh-CN"/>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748" w:type="dxa"/>
            <w:vAlign w:val="center"/>
          </w:tcPr>
          <w:p w14:paraId="12CC2D07">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驻点社工了解本乡镇(</w:t>
            </w:r>
            <w:r>
              <w:rPr>
                <w:rFonts w:hint="eastAsia" w:ascii="仿宋_GB2312" w:hAnsi="仿宋_GB2312" w:eastAsia="仿宋_GB2312" w:cs="仿宋_GB2312"/>
                <w:color w:val="auto"/>
                <w:lang w:eastAsia="zh-CN"/>
              </w:rPr>
              <w:t>场</w:t>
            </w:r>
            <w:r>
              <w:rPr>
                <w:rFonts w:hint="eastAsia" w:ascii="仿宋_GB2312" w:hAnsi="仿宋_GB2312" w:eastAsia="仿宋_GB2312" w:cs="仿宋_GB2312"/>
                <w:color w:val="auto"/>
                <w:lang w:val="en-US" w:eastAsia="zh-CN"/>
              </w:rPr>
              <w:t>/</w:t>
            </w:r>
            <w:r>
              <w:rPr>
                <w:rFonts w:hint="eastAsia" w:ascii="仿宋_GB2312" w:hAnsi="仿宋_GB2312" w:eastAsia="仿宋_GB2312" w:cs="仿宋_GB2312"/>
                <w:color w:val="auto"/>
                <w:lang w:eastAsia="zh-CN"/>
              </w:rPr>
              <w:t>办</w:t>
            </w:r>
            <w:r>
              <w:rPr>
                <w:rFonts w:hint="eastAsia" w:ascii="仿宋_GB2312" w:hAnsi="仿宋_GB2312" w:eastAsia="仿宋_GB2312" w:cs="仿宋_GB2312"/>
                <w:color w:val="auto"/>
                <w:lang w:val="en-US" w:eastAsia="zh-CN"/>
              </w:rPr>
              <w:t>/</w:t>
            </w:r>
            <w:r>
              <w:rPr>
                <w:rFonts w:hint="eastAsia" w:ascii="仿宋_GB2312" w:hAnsi="仿宋_GB2312" w:eastAsia="仿宋_GB2312" w:cs="仿宋_GB2312"/>
                <w:color w:val="auto"/>
                <w:lang w:eastAsia="zh-CN"/>
              </w:rPr>
              <w:t>管委会</w:t>
            </w:r>
            <w:r>
              <w:rPr>
                <w:rFonts w:hint="eastAsia" w:ascii="仿宋_GB2312" w:hAnsi="仿宋_GB2312" w:eastAsia="仿宋_GB2312" w:cs="仿宋_GB2312"/>
                <w:color w:val="auto"/>
              </w:rPr>
              <w:t>)民政服务对象基本情况，熟悉基层民政业务内容和办事流程。</w:t>
            </w:r>
          </w:p>
          <w:p w14:paraId="027AC262">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(1)非常了解本乡镇(</w:t>
            </w:r>
            <w:r>
              <w:rPr>
                <w:rFonts w:hint="eastAsia" w:ascii="仿宋_GB2312" w:hAnsi="仿宋_GB2312" w:eastAsia="仿宋_GB2312" w:cs="仿宋_GB2312"/>
                <w:color w:val="auto"/>
                <w:lang w:eastAsia="zh-CN"/>
              </w:rPr>
              <w:t>场</w:t>
            </w:r>
            <w:r>
              <w:rPr>
                <w:rFonts w:hint="eastAsia" w:ascii="仿宋_GB2312" w:hAnsi="仿宋_GB2312" w:eastAsia="仿宋_GB2312" w:cs="仿宋_GB2312"/>
                <w:color w:val="auto"/>
                <w:lang w:val="en-US" w:eastAsia="zh-CN"/>
              </w:rPr>
              <w:t>/</w:t>
            </w:r>
            <w:r>
              <w:rPr>
                <w:rFonts w:hint="eastAsia" w:ascii="仿宋_GB2312" w:hAnsi="仿宋_GB2312" w:eastAsia="仿宋_GB2312" w:cs="仿宋_GB2312"/>
                <w:color w:val="auto"/>
                <w:lang w:eastAsia="zh-CN"/>
              </w:rPr>
              <w:t>办</w:t>
            </w:r>
            <w:r>
              <w:rPr>
                <w:rFonts w:hint="eastAsia" w:ascii="仿宋_GB2312" w:hAnsi="仿宋_GB2312" w:eastAsia="仿宋_GB2312" w:cs="仿宋_GB2312"/>
                <w:color w:val="auto"/>
                <w:lang w:val="en-US" w:eastAsia="zh-CN"/>
              </w:rPr>
              <w:t>/</w:t>
            </w:r>
            <w:r>
              <w:rPr>
                <w:rFonts w:hint="eastAsia" w:ascii="仿宋_GB2312" w:hAnsi="仿宋_GB2312" w:eastAsia="仿宋_GB2312" w:cs="仿宋_GB2312"/>
                <w:color w:val="auto"/>
                <w:lang w:eastAsia="zh-CN"/>
              </w:rPr>
              <w:t>管委会</w:t>
            </w:r>
            <w:r>
              <w:rPr>
                <w:rFonts w:hint="eastAsia" w:ascii="仿宋_GB2312" w:hAnsi="仿宋_GB2312" w:eastAsia="仿宋_GB2312" w:cs="仿宋_GB2312"/>
                <w:color w:val="auto"/>
              </w:rPr>
              <w:t>)民政服务对象基本情况，熟练掌握基层民政业务内容和办事流程。</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4AED97BF">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(2)部分了解本乡镇(</w:t>
            </w:r>
            <w:r>
              <w:rPr>
                <w:rFonts w:hint="eastAsia" w:ascii="仿宋_GB2312" w:hAnsi="仿宋_GB2312" w:eastAsia="仿宋_GB2312" w:cs="仿宋_GB2312"/>
                <w:color w:val="auto"/>
                <w:lang w:eastAsia="zh-CN"/>
              </w:rPr>
              <w:t>场</w:t>
            </w:r>
            <w:r>
              <w:rPr>
                <w:rFonts w:hint="eastAsia" w:ascii="仿宋_GB2312" w:hAnsi="仿宋_GB2312" w:eastAsia="仿宋_GB2312" w:cs="仿宋_GB2312"/>
                <w:color w:val="auto"/>
                <w:lang w:val="en-US" w:eastAsia="zh-CN"/>
              </w:rPr>
              <w:t>/</w:t>
            </w:r>
            <w:r>
              <w:rPr>
                <w:rFonts w:hint="eastAsia" w:ascii="仿宋_GB2312" w:hAnsi="仿宋_GB2312" w:eastAsia="仿宋_GB2312" w:cs="仿宋_GB2312"/>
                <w:color w:val="auto"/>
                <w:lang w:eastAsia="zh-CN"/>
              </w:rPr>
              <w:t>办</w:t>
            </w:r>
            <w:r>
              <w:rPr>
                <w:rFonts w:hint="eastAsia" w:ascii="仿宋_GB2312" w:hAnsi="仿宋_GB2312" w:eastAsia="仿宋_GB2312" w:cs="仿宋_GB2312"/>
                <w:color w:val="auto"/>
                <w:lang w:val="en-US" w:eastAsia="zh-CN"/>
              </w:rPr>
              <w:t>/</w:t>
            </w:r>
            <w:r>
              <w:rPr>
                <w:rFonts w:hint="eastAsia" w:ascii="仿宋_GB2312" w:hAnsi="仿宋_GB2312" w:eastAsia="仿宋_GB2312" w:cs="仿宋_GB2312"/>
                <w:color w:val="auto"/>
                <w:lang w:eastAsia="zh-CN"/>
              </w:rPr>
              <w:t>管委会</w:t>
            </w:r>
            <w:r>
              <w:rPr>
                <w:rFonts w:hint="eastAsia" w:ascii="仿宋_GB2312" w:hAnsi="仿宋_GB2312" w:eastAsia="仿宋_GB2312" w:cs="仿宋_GB2312"/>
                <w:color w:val="auto"/>
              </w:rPr>
              <w:t>)民政服务对象基本情况，基本掌握基层民政业务内容和办事流程。</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0.5分)</w:t>
            </w:r>
          </w:p>
          <w:p w14:paraId="35EABB9F">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(3)不符合上述情况。(0分)</w:t>
            </w:r>
          </w:p>
        </w:tc>
        <w:tc>
          <w:tcPr>
            <w:tcW w:w="1302" w:type="dxa"/>
            <w:vAlign w:val="center"/>
          </w:tcPr>
          <w:p w14:paraId="477EF3EE">
            <w:pPr>
              <w:ind w:firstLine="420" w:firstLineChars="200"/>
              <w:jc w:val="both"/>
              <w:rPr>
                <w:rFonts w:hint="eastAsia" w:ascii="仿宋_GB2312" w:hAnsi="仿宋_GB2312" w:eastAsia="仿宋_GB2312" w:cs="仿宋_GB2312"/>
                <w:color w:val="auto"/>
              </w:rPr>
            </w:pPr>
          </w:p>
        </w:tc>
      </w:tr>
      <w:tr w14:paraId="7C7195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8" w:hRule="atLeast"/>
          <w:jc w:val="center"/>
        </w:trPr>
        <w:tc>
          <w:tcPr>
            <w:tcW w:w="1147" w:type="dxa"/>
            <w:vMerge w:val="continue"/>
            <w:vAlign w:val="center"/>
          </w:tcPr>
          <w:p w14:paraId="69CB0AB3">
            <w:pPr>
              <w:ind w:firstLine="420" w:firstLineChars="200"/>
              <w:jc w:val="center"/>
              <w:rPr>
                <w:rFonts w:hint="eastAsia" w:ascii="仿宋_GB2312" w:hAnsi="仿宋_GB2312" w:eastAsia="仿宋_GB2312" w:cs="仿宋_GB2312"/>
                <w:color w:val="auto"/>
              </w:rPr>
            </w:pPr>
          </w:p>
        </w:tc>
        <w:tc>
          <w:tcPr>
            <w:tcW w:w="1438" w:type="dxa"/>
            <w:vAlign w:val="center"/>
          </w:tcPr>
          <w:p w14:paraId="421BD4F4">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录入与上报</w:t>
            </w:r>
          </w:p>
          <w:p w14:paraId="55B0F630">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分)</w:t>
            </w:r>
          </w:p>
        </w:tc>
        <w:tc>
          <w:tcPr>
            <w:tcW w:w="10748" w:type="dxa"/>
            <w:vAlign w:val="center"/>
          </w:tcPr>
          <w:p w14:paraId="72E8694A">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驻点社工协助完成民政业务各线上服务系统的数据录入，清楚各业务领域民政服务对象基本情况。</w:t>
            </w:r>
          </w:p>
          <w:p w14:paraId="3DBAEEF9">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2分)      </w:t>
            </w:r>
            <w:r>
              <w:rPr>
                <w:rFonts w:hint="eastAsia" w:ascii="仿宋_GB2312" w:hAnsi="仿宋_GB2312" w:eastAsia="仿宋_GB2312" w:cs="仿宋_GB2312"/>
                <w:color w:val="auto"/>
              </w:rPr>
              <w:t>(2)不符合上述情况。(0分)</w:t>
            </w:r>
          </w:p>
        </w:tc>
        <w:tc>
          <w:tcPr>
            <w:tcW w:w="1302" w:type="dxa"/>
            <w:vAlign w:val="center"/>
          </w:tcPr>
          <w:p w14:paraId="01F483D0">
            <w:pPr>
              <w:ind w:firstLine="420" w:firstLineChars="200"/>
              <w:jc w:val="both"/>
              <w:rPr>
                <w:rFonts w:hint="eastAsia" w:ascii="仿宋_GB2312" w:hAnsi="仿宋_GB2312" w:eastAsia="仿宋_GB2312" w:cs="仿宋_GB2312"/>
                <w:color w:val="auto"/>
              </w:rPr>
            </w:pPr>
          </w:p>
        </w:tc>
      </w:tr>
      <w:tr w14:paraId="427A3D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8" w:hRule="atLeast"/>
          <w:jc w:val="center"/>
        </w:trPr>
        <w:tc>
          <w:tcPr>
            <w:tcW w:w="1147" w:type="dxa"/>
            <w:vMerge w:val="continue"/>
            <w:vAlign w:val="center"/>
          </w:tcPr>
          <w:p w14:paraId="2A289AFC">
            <w:pPr>
              <w:ind w:firstLine="420" w:firstLineChars="200"/>
              <w:jc w:val="center"/>
              <w:rPr>
                <w:rFonts w:hint="eastAsia" w:ascii="仿宋_GB2312" w:hAnsi="仿宋_GB2312" w:eastAsia="仿宋_GB2312" w:cs="仿宋_GB2312"/>
                <w:color w:val="auto"/>
              </w:rPr>
            </w:pPr>
          </w:p>
        </w:tc>
        <w:tc>
          <w:tcPr>
            <w:tcW w:w="1438" w:type="dxa"/>
            <w:vAlign w:val="center"/>
          </w:tcPr>
          <w:p w14:paraId="7F68550C">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入户走访</w:t>
            </w:r>
          </w:p>
          <w:p w14:paraId="222AA7BC">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(2分)</w:t>
            </w:r>
          </w:p>
        </w:tc>
        <w:tc>
          <w:tcPr>
            <w:tcW w:w="10748" w:type="dxa"/>
            <w:vAlign w:val="center"/>
          </w:tcPr>
          <w:p w14:paraId="55BCC822">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驻点社工定期入户走访民政服务对象，掌握本乡镇(</w:t>
            </w:r>
            <w:r>
              <w:rPr>
                <w:rFonts w:hint="eastAsia" w:ascii="仿宋_GB2312" w:hAnsi="仿宋_GB2312" w:eastAsia="仿宋_GB2312" w:cs="仿宋_GB2312"/>
                <w:color w:val="auto"/>
                <w:lang w:eastAsia="zh-CN"/>
              </w:rPr>
              <w:t>场/办/管委会</w:t>
            </w:r>
            <w:r>
              <w:rPr>
                <w:rFonts w:hint="eastAsia" w:ascii="仿宋_GB2312" w:hAnsi="仿宋_GB2312" w:eastAsia="仿宋_GB2312" w:cs="仿宋_GB2312"/>
                <w:color w:val="auto"/>
              </w:rPr>
              <w:t>)重点、特困民政服务对象基本情况。</w:t>
            </w:r>
          </w:p>
          <w:p w14:paraId="142219E1">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2分)      </w:t>
            </w:r>
            <w:r>
              <w:rPr>
                <w:rFonts w:hint="eastAsia" w:ascii="仿宋_GB2312" w:hAnsi="仿宋_GB2312" w:eastAsia="仿宋_GB2312" w:cs="仿宋_GB2312"/>
                <w:color w:val="auto"/>
              </w:rPr>
              <w:t>(2)不符合上述情况。(0分)</w:t>
            </w:r>
          </w:p>
        </w:tc>
        <w:tc>
          <w:tcPr>
            <w:tcW w:w="1302" w:type="dxa"/>
            <w:vAlign w:val="center"/>
          </w:tcPr>
          <w:p w14:paraId="59F6E70E">
            <w:pPr>
              <w:ind w:firstLine="420" w:firstLineChars="200"/>
              <w:jc w:val="both"/>
              <w:rPr>
                <w:rFonts w:hint="eastAsia" w:ascii="仿宋_GB2312" w:hAnsi="仿宋_GB2312" w:eastAsia="仿宋_GB2312" w:cs="仿宋_GB2312"/>
                <w:color w:val="auto"/>
              </w:rPr>
            </w:pPr>
          </w:p>
        </w:tc>
      </w:tr>
      <w:tr w14:paraId="33B862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8" w:hRule="atLeast"/>
          <w:jc w:val="center"/>
        </w:trPr>
        <w:tc>
          <w:tcPr>
            <w:tcW w:w="1147" w:type="dxa"/>
            <w:vMerge w:val="continue"/>
            <w:vAlign w:val="center"/>
          </w:tcPr>
          <w:p w14:paraId="02B52918">
            <w:pPr>
              <w:ind w:firstLine="420" w:firstLineChars="200"/>
              <w:jc w:val="center"/>
              <w:rPr>
                <w:rFonts w:hint="eastAsia" w:ascii="仿宋_GB2312" w:hAnsi="仿宋_GB2312" w:eastAsia="仿宋_GB2312" w:cs="仿宋_GB2312"/>
                <w:color w:val="auto"/>
              </w:rPr>
            </w:pPr>
          </w:p>
        </w:tc>
        <w:tc>
          <w:tcPr>
            <w:tcW w:w="1438" w:type="dxa"/>
            <w:vAlign w:val="center"/>
          </w:tcPr>
          <w:p w14:paraId="02652409">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咨询与宣传</w:t>
            </w:r>
          </w:p>
          <w:p w14:paraId="3F64D8E8">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(1分)</w:t>
            </w:r>
          </w:p>
        </w:tc>
        <w:tc>
          <w:tcPr>
            <w:tcW w:w="10748" w:type="dxa"/>
            <w:vAlign w:val="center"/>
          </w:tcPr>
          <w:p w14:paraId="310C204C">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驻点社工通过发放宣传手册、线上信息推送、面对面咨询等多种方式，宣传各类民政救助和服务政策。</w:t>
            </w:r>
          </w:p>
          <w:p w14:paraId="3F078A03">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1分)      </w:t>
            </w:r>
            <w:r>
              <w:rPr>
                <w:rFonts w:hint="eastAsia" w:ascii="仿宋_GB2312" w:hAnsi="仿宋_GB2312" w:eastAsia="仿宋_GB2312" w:cs="仿宋_GB2312"/>
                <w:color w:val="auto"/>
              </w:rPr>
              <w:t>(2)不符合上述情况。(0分)</w:t>
            </w:r>
          </w:p>
        </w:tc>
        <w:tc>
          <w:tcPr>
            <w:tcW w:w="1302" w:type="dxa"/>
            <w:vAlign w:val="center"/>
          </w:tcPr>
          <w:p w14:paraId="22DA790F">
            <w:pPr>
              <w:ind w:firstLine="420" w:firstLineChars="200"/>
              <w:jc w:val="both"/>
              <w:rPr>
                <w:rFonts w:hint="eastAsia" w:ascii="仿宋_GB2312" w:hAnsi="仿宋_GB2312" w:eastAsia="仿宋_GB2312" w:cs="仿宋_GB2312"/>
                <w:color w:val="auto"/>
              </w:rPr>
            </w:pPr>
          </w:p>
        </w:tc>
      </w:tr>
      <w:tr w14:paraId="00C7C8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8" w:hRule="atLeast"/>
          <w:jc w:val="center"/>
        </w:trPr>
        <w:tc>
          <w:tcPr>
            <w:tcW w:w="1147" w:type="dxa"/>
            <w:vMerge w:val="continue"/>
            <w:vAlign w:val="center"/>
          </w:tcPr>
          <w:p w14:paraId="745E3D23">
            <w:pPr>
              <w:ind w:firstLine="420" w:firstLineChars="200"/>
              <w:jc w:val="center"/>
              <w:rPr>
                <w:rFonts w:hint="eastAsia" w:ascii="仿宋_GB2312" w:hAnsi="仿宋_GB2312" w:eastAsia="仿宋_GB2312" w:cs="仿宋_GB2312"/>
                <w:color w:val="auto"/>
              </w:rPr>
            </w:pPr>
          </w:p>
        </w:tc>
        <w:tc>
          <w:tcPr>
            <w:tcW w:w="1438" w:type="dxa"/>
            <w:vAlign w:val="center"/>
          </w:tcPr>
          <w:p w14:paraId="0AF08495">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个案救助</w:t>
            </w:r>
          </w:p>
          <w:p w14:paraId="69A21557">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分)</w:t>
            </w:r>
          </w:p>
        </w:tc>
        <w:tc>
          <w:tcPr>
            <w:tcW w:w="10748" w:type="dxa"/>
            <w:vAlign w:val="center"/>
          </w:tcPr>
          <w:p w14:paraId="67AE117F">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驻点社工协助民政服务对象申请各类救助、补助和服务项目，为其提供个案救助服务。</w:t>
            </w:r>
          </w:p>
          <w:p w14:paraId="3E1ABE6D">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2分)      </w:t>
            </w:r>
            <w:r>
              <w:rPr>
                <w:rFonts w:hint="eastAsia" w:ascii="仿宋_GB2312" w:hAnsi="仿宋_GB2312" w:eastAsia="仿宋_GB2312" w:cs="仿宋_GB2312"/>
                <w:color w:val="auto"/>
              </w:rPr>
              <w:t>(2)不符合上述情况。(0分)</w:t>
            </w:r>
          </w:p>
        </w:tc>
        <w:tc>
          <w:tcPr>
            <w:tcW w:w="1302" w:type="dxa"/>
            <w:vAlign w:val="center"/>
          </w:tcPr>
          <w:p w14:paraId="2D978634">
            <w:pPr>
              <w:ind w:firstLine="420" w:firstLineChars="200"/>
              <w:jc w:val="both"/>
              <w:rPr>
                <w:rFonts w:hint="eastAsia" w:ascii="仿宋_GB2312" w:hAnsi="仿宋_GB2312" w:eastAsia="仿宋_GB2312" w:cs="仿宋_GB2312"/>
                <w:color w:val="auto"/>
              </w:rPr>
            </w:pPr>
          </w:p>
        </w:tc>
      </w:tr>
      <w:tr w14:paraId="0A92D2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8" w:hRule="atLeast"/>
          <w:jc w:val="center"/>
        </w:trPr>
        <w:tc>
          <w:tcPr>
            <w:tcW w:w="1147" w:type="dxa"/>
            <w:vMerge w:val="restart"/>
            <w:vAlign w:val="center"/>
          </w:tcPr>
          <w:p w14:paraId="47A27007">
            <w:pPr>
              <w:jc w:val="both"/>
              <w:rPr>
                <w:rFonts w:hint="default" w:ascii="仿宋_GB2312" w:hAnsi="仿宋_GB2312" w:eastAsia="仿宋_GB2312" w:cs="仿宋_GB2312"/>
                <w:color w:val="auto"/>
                <w:lang w:val="en-US"/>
              </w:rPr>
            </w:pPr>
          </w:p>
          <w:p w14:paraId="2B3314C2">
            <w:pPr>
              <w:jc w:val="center"/>
              <w:rPr>
                <w:rFonts w:hint="default" w:ascii="仿宋_GB2312" w:hAnsi="仿宋_GB2312" w:eastAsia="仿宋_GB2312" w:cs="仿宋_GB2312"/>
                <w:color w:val="auto"/>
                <w:lang w:val="en-US" w:eastAsia="zh-CN"/>
              </w:rPr>
            </w:pPr>
            <w:r>
              <w:rPr>
                <w:rFonts w:hint="eastAsia" w:ascii="仿宋_GB2312" w:hAnsi="仿宋_GB2312" w:eastAsia="仿宋_GB2312" w:cs="仿宋_GB2312"/>
                <w:color w:val="auto"/>
                <w:lang w:val="en-US" w:eastAsia="zh-CN"/>
              </w:rPr>
              <w:t>项目执行</w:t>
            </w:r>
          </w:p>
          <w:p w14:paraId="136B2018">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15</w:t>
            </w:r>
            <w:r>
              <w:rPr>
                <w:rFonts w:hint="eastAsia" w:ascii="仿宋_GB2312" w:hAnsi="仿宋_GB2312" w:eastAsia="仿宋_GB2312" w:cs="仿宋_GB2312"/>
                <w:color w:val="auto"/>
              </w:rPr>
              <w:t>分)</w:t>
            </w:r>
          </w:p>
        </w:tc>
        <w:tc>
          <w:tcPr>
            <w:tcW w:w="1438" w:type="dxa"/>
            <w:vAlign w:val="center"/>
          </w:tcPr>
          <w:p w14:paraId="43CEFB38">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服务执行情况</w:t>
            </w:r>
          </w:p>
          <w:p w14:paraId="03B5BC3B">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3</w:t>
            </w:r>
            <w:r>
              <w:rPr>
                <w:rFonts w:hint="eastAsia" w:ascii="仿宋_GB2312" w:hAnsi="仿宋_GB2312" w:eastAsia="仿宋_GB2312" w:cs="仿宋_GB2312"/>
                <w:color w:val="auto"/>
              </w:rPr>
              <w:t>分)</w:t>
            </w:r>
          </w:p>
        </w:tc>
        <w:tc>
          <w:tcPr>
            <w:tcW w:w="10748" w:type="dxa"/>
            <w:vAlign w:val="center"/>
          </w:tcPr>
          <w:p w14:paraId="1CC3F31D">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站点实际执行服务内容与原计划书各项服务内容(或变更计划约定的服务内容)相符。</w:t>
            </w:r>
          </w:p>
          <w:p w14:paraId="246515B2">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3分)      </w:t>
            </w:r>
            <w:r>
              <w:rPr>
                <w:rFonts w:hint="eastAsia" w:ascii="仿宋_GB2312" w:hAnsi="仿宋_GB2312" w:eastAsia="仿宋_GB2312" w:cs="仿宋_GB2312"/>
                <w:color w:val="auto"/>
              </w:rPr>
              <w:t>(2)部分符合上述情况。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1.5分)       </w:t>
            </w:r>
            <w:r>
              <w:rPr>
                <w:rFonts w:hint="eastAsia" w:ascii="仿宋_GB2312" w:hAnsi="仿宋_GB2312" w:eastAsia="仿宋_GB2312" w:cs="仿宋_GB2312"/>
                <w:color w:val="auto"/>
              </w:rPr>
              <w:t>(3)不符合上述情况。(0分)</w:t>
            </w:r>
          </w:p>
        </w:tc>
        <w:tc>
          <w:tcPr>
            <w:tcW w:w="1302" w:type="dxa"/>
            <w:vAlign w:val="center"/>
          </w:tcPr>
          <w:p w14:paraId="747D857B">
            <w:pPr>
              <w:ind w:firstLine="420" w:firstLineChars="200"/>
              <w:jc w:val="both"/>
              <w:rPr>
                <w:rFonts w:hint="eastAsia" w:ascii="仿宋_GB2312" w:hAnsi="仿宋_GB2312" w:eastAsia="仿宋_GB2312" w:cs="仿宋_GB2312"/>
                <w:color w:val="auto"/>
              </w:rPr>
            </w:pPr>
          </w:p>
        </w:tc>
      </w:tr>
      <w:tr w14:paraId="6D187D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7" w:hRule="atLeast"/>
          <w:jc w:val="center"/>
        </w:trPr>
        <w:tc>
          <w:tcPr>
            <w:tcW w:w="1147" w:type="dxa"/>
            <w:vMerge w:val="continue"/>
            <w:vAlign w:val="center"/>
          </w:tcPr>
          <w:p w14:paraId="788968FB">
            <w:pPr>
              <w:jc w:val="center"/>
              <w:rPr>
                <w:rFonts w:hint="eastAsia" w:ascii="仿宋_GB2312" w:hAnsi="仿宋_GB2312" w:eastAsia="仿宋_GB2312" w:cs="仿宋_GB2312"/>
                <w:color w:val="auto"/>
              </w:rPr>
            </w:pPr>
          </w:p>
        </w:tc>
        <w:tc>
          <w:tcPr>
            <w:tcW w:w="1438" w:type="dxa"/>
            <w:vAlign w:val="center"/>
          </w:tcPr>
          <w:p w14:paraId="2470BBF4">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服务进度</w:t>
            </w:r>
          </w:p>
          <w:p w14:paraId="3716D5A5">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执行情况</w:t>
            </w:r>
          </w:p>
          <w:p w14:paraId="4F31441C">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3</w:t>
            </w:r>
            <w:r>
              <w:rPr>
                <w:rFonts w:hint="eastAsia" w:ascii="仿宋_GB2312" w:hAnsi="仿宋_GB2312" w:eastAsia="仿宋_GB2312" w:cs="仿宋_GB2312"/>
                <w:color w:val="auto"/>
              </w:rPr>
              <w:t>分)</w:t>
            </w:r>
          </w:p>
        </w:tc>
        <w:tc>
          <w:tcPr>
            <w:tcW w:w="10748" w:type="dxa"/>
            <w:vAlign w:val="center"/>
          </w:tcPr>
          <w:p w14:paraId="4266C469">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站点社工能够按照项目方案或年度工作计划进度执行，并做好服务记录与管理工作。(统计社会工作专业个案、小组、社区等工作方法开展服务情况数量。)</w:t>
            </w:r>
          </w:p>
          <w:p w14:paraId="417CA37E">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3分)      </w:t>
            </w:r>
            <w:r>
              <w:rPr>
                <w:rFonts w:hint="eastAsia" w:ascii="仿宋_GB2312" w:hAnsi="仿宋_GB2312" w:eastAsia="仿宋_GB2312" w:cs="仿宋_GB2312"/>
                <w:color w:val="auto"/>
              </w:rPr>
              <w:t>(2)部分符合上述情况。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1.5分)       </w:t>
            </w:r>
            <w:r>
              <w:rPr>
                <w:rFonts w:hint="eastAsia" w:ascii="仿宋_GB2312" w:hAnsi="仿宋_GB2312" w:eastAsia="仿宋_GB2312" w:cs="仿宋_GB2312"/>
                <w:color w:val="auto"/>
              </w:rPr>
              <w:t>(3)不符合上述情况。(0分)</w:t>
            </w:r>
          </w:p>
        </w:tc>
        <w:tc>
          <w:tcPr>
            <w:tcW w:w="1302" w:type="dxa"/>
            <w:vAlign w:val="center"/>
          </w:tcPr>
          <w:p w14:paraId="7EF2E1D3">
            <w:pPr>
              <w:ind w:firstLine="420" w:firstLineChars="200"/>
              <w:jc w:val="both"/>
              <w:rPr>
                <w:rFonts w:hint="eastAsia" w:ascii="仿宋_GB2312" w:hAnsi="仿宋_GB2312" w:eastAsia="仿宋_GB2312" w:cs="仿宋_GB2312"/>
                <w:color w:val="auto"/>
              </w:rPr>
            </w:pPr>
          </w:p>
        </w:tc>
      </w:tr>
      <w:tr w14:paraId="403AAC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0" w:hRule="atLeast"/>
          <w:jc w:val="center"/>
        </w:trPr>
        <w:tc>
          <w:tcPr>
            <w:tcW w:w="1147" w:type="dxa"/>
            <w:vMerge w:val="continue"/>
            <w:vAlign w:val="center"/>
          </w:tcPr>
          <w:p w14:paraId="49466E29">
            <w:pPr>
              <w:jc w:val="center"/>
              <w:rPr>
                <w:rFonts w:hint="eastAsia" w:ascii="仿宋_GB2312" w:hAnsi="仿宋_GB2312" w:eastAsia="仿宋_GB2312" w:cs="仿宋_GB2312"/>
                <w:color w:val="auto"/>
              </w:rPr>
            </w:pPr>
          </w:p>
        </w:tc>
        <w:tc>
          <w:tcPr>
            <w:tcW w:w="1438" w:type="dxa"/>
            <w:vAlign w:val="center"/>
          </w:tcPr>
          <w:p w14:paraId="40B2371F">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服务合规性</w:t>
            </w:r>
          </w:p>
          <w:p w14:paraId="67760B75">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(2分)</w:t>
            </w:r>
          </w:p>
        </w:tc>
        <w:tc>
          <w:tcPr>
            <w:tcW w:w="10748" w:type="dxa"/>
            <w:vAlign w:val="center"/>
          </w:tcPr>
          <w:p w14:paraId="32A0DF75">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开展服务内容符合本操作规程或民政服务站运营合同中对服务内容的相关规定。</w:t>
            </w:r>
          </w:p>
          <w:p w14:paraId="464B52FE">
            <w:pPr>
              <w:numPr>
                <w:ilvl w:val="0"/>
                <w:numId w:val="0"/>
              </w:num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2分)      </w:t>
            </w:r>
            <w:r>
              <w:rPr>
                <w:rFonts w:hint="eastAsia" w:ascii="仿宋_GB2312" w:hAnsi="仿宋_GB2312" w:eastAsia="仿宋_GB2312" w:cs="仿宋_GB2312"/>
                <w:color w:val="auto"/>
              </w:rPr>
              <w:t>(2)有部分服务内容偏离相关规定。(</w:t>
            </w:r>
            <w:r>
              <w:rPr>
                <w:rFonts w:hint="eastAsia" w:ascii="仿宋_GB2312" w:hAnsi="仿宋_GB2312" w:eastAsia="仿宋_GB2312" w:cs="仿宋_GB2312"/>
                <w:color w:val="auto"/>
                <w:lang w:val="en-US" w:eastAsia="zh-CN"/>
              </w:rPr>
              <w:t>0</w:t>
            </w:r>
            <w:r>
              <w:rPr>
                <w:rFonts w:hint="eastAsia" w:ascii="仿宋_GB2312" w:hAnsi="仿宋_GB2312" w:eastAsia="仿宋_GB2312" w:cs="仿宋_GB2312"/>
                <w:color w:val="auto"/>
              </w:rPr>
              <w:t>分)</w:t>
            </w:r>
          </w:p>
        </w:tc>
        <w:tc>
          <w:tcPr>
            <w:tcW w:w="1302" w:type="dxa"/>
            <w:vAlign w:val="center"/>
          </w:tcPr>
          <w:p w14:paraId="168AA5EC">
            <w:pPr>
              <w:ind w:firstLine="420" w:firstLineChars="200"/>
              <w:jc w:val="both"/>
              <w:rPr>
                <w:rFonts w:hint="eastAsia" w:ascii="仿宋_GB2312" w:hAnsi="仿宋_GB2312" w:eastAsia="仿宋_GB2312" w:cs="仿宋_GB2312"/>
                <w:color w:val="auto"/>
              </w:rPr>
            </w:pPr>
          </w:p>
        </w:tc>
      </w:tr>
      <w:tr w14:paraId="754DCB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54" w:hRule="atLeast"/>
          <w:jc w:val="center"/>
        </w:trPr>
        <w:tc>
          <w:tcPr>
            <w:tcW w:w="1147" w:type="dxa"/>
            <w:vMerge w:val="continue"/>
            <w:vAlign w:val="center"/>
          </w:tcPr>
          <w:p w14:paraId="474489B9">
            <w:pPr>
              <w:jc w:val="center"/>
              <w:rPr>
                <w:rFonts w:hint="eastAsia" w:ascii="仿宋_GB2312" w:hAnsi="仿宋_GB2312" w:eastAsia="仿宋_GB2312" w:cs="仿宋_GB2312"/>
                <w:color w:val="auto"/>
              </w:rPr>
            </w:pPr>
          </w:p>
        </w:tc>
        <w:tc>
          <w:tcPr>
            <w:tcW w:w="1438" w:type="dxa"/>
            <w:vAlign w:val="center"/>
          </w:tcPr>
          <w:p w14:paraId="0FFF6277">
            <w:pPr>
              <w:ind w:firstLine="420" w:firstLineChars="200"/>
              <w:jc w:val="center"/>
              <w:rPr>
                <w:rFonts w:hint="eastAsia" w:ascii="仿宋_GB2312" w:hAnsi="仿宋_GB2312" w:eastAsia="仿宋_GB2312" w:cs="仿宋_GB2312"/>
                <w:color w:val="auto"/>
              </w:rPr>
            </w:pPr>
          </w:p>
          <w:p w14:paraId="7DB39614">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服务专业性</w:t>
            </w:r>
          </w:p>
          <w:p w14:paraId="2E238CF0">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(3分)</w:t>
            </w:r>
          </w:p>
        </w:tc>
        <w:tc>
          <w:tcPr>
            <w:tcW w:w="10748" w:type="dxa"/>
            <w:vAlign w:val="center"/>
          </w:tcPr>
          <w:p w14:paraId="5B70E980">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社工在开展社会工作服务时能够体现社工价值观，运用社会工作技巧。</w:t>
            </w:r>
          </w:p>
          <w:p w14:paraId="75A9A650">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(1)开展服务时熟练运用社会工作价值观及技巧，并体现在服务记录里。</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3分)</w:t>
            </w:r>
          </w:p>
          <w:p w14:paraId="3346FCA6">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(2)开展服务时使用社会工作价值观或技巧，并体现在服务记录里。</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2.5分)</w:t>
            </w:r>
          </w:p>
          <w:p w14:paraId="4EA3367B">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(3)不符合上述情况。(0分)</w:t>
            </w:r>
          </w:p>
        </w:tc>
        <w:tc>
          <w:tcPr>
            <w:tcW w:w="1302" w:type="dxa"/>
            <w:vAlign w:val="center"/>
          </w:tcPr>
          <w:p w14:paraId="39C5B4A7">
            <w:pPr>
              <w:ind w:firstLine="420" w:firstLineChars="200"/>
              <w:jc w:val="both"/>
              <w:rPr>
                <w:rFonts w:hint="eastAsia" w:ascii="仿宋_GB2312" w:hAnsi="仿宋_GB2312" w:eastAsia="仿宋_GB2312" w:cs="仿宋_GB2312"/>
                <w:color w:val="auto"/>
              </w:rPr>
            </w:pPr>
          </w:p>
        </w:tc>
      </w:tr>
      <w:tr w14:paraId="1F1F39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0" w:hRule="atLeast"/>
          <w:jc w:val="center"/>
        </w:trPr>
        <w:tc>
          <w:tcPr>
            <w:tcW w:w="1147" w:type="dxa"/>
            <w:vMerge w:val="continue"/>
            <w:vAlign w:val="center"/>
          </w:tcPr>
          <w:p w14:paraId="3437034C">
            <w:pPr>
              <w:jc w:val="center"/>
              <w:rPr>
                <w:rFonts w:hint="eastAsia" w:ascii="仿宋_GB2312" w:hAnsi="仿宋_GB2312" w:eastAsia="仿宋_GB2312" w:cs="仿宋_GB2312"/>
                <w:color w:val="auto"/>
              </w:rPr>
            </w:pPr>
          </w:p>
        </w:tc>
        <w:tc>
          <w:tcPr>
            <w:tcW w:w="1438" w:type="dxa"/>
            <w:vAlign w:val="center"/>
          </w:tcPr>
          <w:p w14:paraId="2B280CE4">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服务</w:t>
            </w:r>
            <w:r>
              <w:rPr>
                <w:rFonts w:hint="eastAsia" w:ascii="仿宋_GB2312" w:hAnsi="仿宋_GB2312" w:eastAsia="仿宋_GB2312" w:cs="仿宋_GB2312"/>
                <w:color w:val="auto"/>
              </w:rPr>
              <w:t>真实性</w:t>
            </w:r>
          </w:p>
          <w:p w14:paraId="72F1BED0">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分)</w:t>
            </w:r>
          </w:p>
        </w:tc>
        <w:tc>
          <w:tcPr>
            <w:tcW w:w="10748" w:type="dxa"/>
            <w:vAlign w:val="center"/>
          </w:tcPr>
          <w:p w14:paraId="674C855C">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服务记录、服务对象资料和培训记录等资料真实、有效。</w:t>
            </w:r>
          </w:p>
          <w:p w14:paraId="496F77BB">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(1)符合上述情况。</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2分)        </w:t>
            </w:r>
            <w:r>
              <w:rPr>
                <w:rFonts w:hint="eastAsia" w:ascii="仿宋_GB2312" w:hAnsi="仿宋_GB2312" w:eastAsia="仿宋_GB2312" w:cs="仿宋_GB2312"/>
                <w:color w:val="auto"/>
              </w:rPr>
              <w:t>(2)不符合上述情况。(0分)</w:t>
            </w:r>
          </w:p>
        </w:tc>
        <w:tc>
          <w:tcPr>
            <w:tcW w:w="1302" w:type="dxa"/>
            <w:vAlign w:val="center"/>
          </w:tcPr>
          <w:p w14:paraId="30E2EF09">
            <w:pPr>
              <w:ind w:firstLine="420" w:firstLineChars="200"/>
              <w:jc w:val="both"/>
              <w:rPr>
                <w:rFonts w:hint="eastAsia" w:ascii="仿宋_GB2312" w:hAnsi="仿宋_GB2312" w:eastAsia="仿宋_GB2312" w:cs="仿宋_GB2312"/>
                <w:color w:val="auto"/>
              </w:rPr>
            </w:pPr>
          </w:p>
        </w:tc>
      </w:tr>
      <w:tr w14:paraId="3B3535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6" w:hRule="atLeast"/>
          <w:jc w:val="center"/>
        </w:trPr>
        <w:tc>
          <w:tcPr>
            <w:tcW w:w="1147" w:type="dxa"/>
            <w:vAlign w:val="center"/>
          </w:tcPr>
          <w:p w14:paraId="4EE12815">
            <w:pPr>
              <w:jc w:val="center"/>
              <w:rPr>
                <w:rFonts w:hint="eastAsia" w:ascii="仿宋_GB2312" w:hAnsi="仿宋_GB2312" w:eastAsia="仿宋_GB2312" w:cs="仿宋_GB2312"/>
                <w:color w:val="auto"/>
              </w:rPr>
            </w:pPr>
          </w:p>
        </w:tc>
        <w:tc>
          <w:tcPr>
            <w:tcW w:w="1438" w:type="dxa"/>
            <w:vAlign w:val="center"/>
          </w:tcPr>
          <w:p w14:paraId="71DD677C">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志愿者使用</w:t>
            </w:r>
          </w:p>
          <w:p w14:paraId="586398B7">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分)</w:t>
            </w:r>
          </w:p>
        </w:tc>
        <w:tc>
          <w:tcPr>
            <w:tcW w:w="10748" w:type="dxa"/>
            <w:vAlign w:val="center"/>
          </w:tcPr>
          <w:p w14:paraId="48EAF85C">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以所在民政服务站名义组织、动员所在乡镇(</w:t>
            </w:r>
            <w:r>
              <w:rPr>
                <w:rFonts w:hint="eastAsia" w:ascii="仿宋_GB2312" w:hAnsi="仿宋_GB2312" w:eastAsia="仿宋_GB2312" w:cs="仿宋_GB2312"/>
                <w:color w:val="auto"/>
                <w:lang w:eastAsia="zh-CN"/>
              </w:rPr>
              <w:t>场</w:t>
            </w:r>
            <w:r>
              <w:rPr>
                <w:rFonts w:hint="eastAsia" w:ascii="仿宋_GB2312" w:hAnsi="仿宋_GB2312" w:eastAsia="仿宋_GB2312" w:cs="仿宋_GB2312"/>
                <w:color w:val="auto"/>
                <w:lang w:val="en-US" w:eastAsia="zh-CN"/>
              </w:rPr>
              <w:t>/</w:t>
            </w:r>
            <w:r>
              <w:rPr>
                <w:rFonts w:hint="eastAsia" w:ascii="仿宋_GB2312" w:hAnsi="仿宋_GB2312" w:eastAsia="仿宋_GB2312" w:cs="仿宋_GB2312"/>
                <w:color w:val="auto"/>
                <w:lang w:eastAsia="zh-CN"/>
              </w:rPr>
              <w:t>办</w:t>
            </w:r>
            <w:r>
              <w:rPr>
                <w:rFonts w:hint="eastAsia" w:ascii="仿宋_GB2312" w:hAnsi="仿宋_GB2312" w:eastAsia="仿宋_GB2312" w:cs="仿宋_GB2312"/>
                <w:color w:val="auto"/>
                <w:lang w:val="en-US" w:eastAsia="zh-CN"/>
              </w:rPr>
              <w:t>/</w:t>
            </w:r>
            <w:r>
              <w:rPr>
                <w:rFonts w:hint="eastAsia" w:ascii="仿宋_GB2312" w:hAnsi="仿宋_GB2312" w:eastAsia="仿宋_GB2312" w:cs="仿宋_GB2312"/>
                <w:color w:val="auto"/>
                <w:lang w:eastAsia="zh-CN"/>
              </w:rPr>
              <w:t>管委会</w:t>
            </w:r>
            <w:r>
              <w:rPr>
                <w:rFonts w:hint="eastAsia" w:ascii="仿宋_GB2312" w:hAnsi="仿宋_GB2312" w:eastAsia="仿宋_GB2312" w:cs="仿宋_GB2312"/>
                <w:color w:val="auto"/>
              </w:rPr>
              <w:t>)志愿服务队活动开展或参</w:t>
            </w:r>
          </w:p>
          <w:p w14:paraId="2CAF3C26">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与民政服务站服务活动，并及时在全国志愿服务信息系统上录入相关志愿服务信息。</w:t>
            </w:r>
          </w:p>
          <w:p w14:paraId="6CE491F7">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(1)在开展服务时志愿者参与程度明显，并能在全国志愿服务信息系统上查询到相关志愿服务记录。</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2分)</w:t>
            </w:r>
          </w:p>
          <w:p w14:paraId="09087086">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(2)在开展服务时志愿者参与程度一般，并能在全国志愿服务信息系统上查询到相关志愿服务记录。</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1.5分)</w:t>
            </w:r>
          </w:p>
          <w:p w14:paraId="709102D6">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(3)志愿者未参与服务，或在全国志愿服务信息系统上无信息记录。(0分)</w:t>
            </w:r>
          </w:p>
        </w:tc>
        <w:tc>
          <w:tcPr>
            <w:tcW w:w="1302" w:type="dxa"/>
            <w:vAlign w:val="center"/>
          </w:tcPr>
          <w:p w14:paraId="5E5617E1">
            <w:pPr>
              <w:ind w:firstLine="420" w:firstLineChars="200"/>
              <w:jc w:val="both"/>
              <w:rPr>
                <w:rFonts w:hint="eastAsia" w:ascii="仿宋_GB2312" w:hAnsi="仿宋_GB2312" w:eastAsia="仿宋_GB2312" w:cs="仿宋_GB2312"/>
                <w:color w:val="auto"/>
              </w:rPr>
            </w:pPr>
          </w:p>
        </w:tc>
      </w:tr>
      <w:tr w14:paraId="5605C8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4" w:hRule="atLeast"/>
          <w:jc w:val="center"/>
        </w:trPr>
        <w:tc>
          <w:tcPr>
            <w:tcW w:w="1147" w:type="dxa"/>
            <w:vMerge w:val="restart"/>
            <w:vAlign w:val="center"/>
          </w:tcPr>
          <w:p w14:paraId="7519C27F">
            <w:pPr>
              <w:jc w:val="center"/>
              <w:rPr>
                <w:rFonts w:hint="default" w:ascii="仿宋_GB2312" w:hAnsi="仿宋_GB2312" w:eastAsia="仿宋_GB2312" w:cs="仿宋_GB2312"/>
                <w:color w:val="auto"/>
                <w:lang w:val="en-US" w:eastAsia="zh-CN"/>
              </w:rPr>
            </w:pPr>
            <w:r>
              <w:rPr>
                <w:rFonts w:hint="eastAsia" w:ascii="仿宋_GB2312" w:hAnsi="仿宋_GB2312" w:eastAsia="仿宋_GB2312" w:cs="仿宋_GB2312"/>
                <w:color w:val="auto"/>
                <w:lang w:val="en-US" w:eastAsia="zh-CN"/>
              </w:rPr>
              <w:t>产出成效</w:t>
            </w:r>
          </w:p>
          <w:p w14:paraId="552E7405">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10</w:t>
            </w:r>
            <w:r>
              <w:rPr>
                <w:rFonts w:hint="eastAsia" w:ascii="仿宋_GB2312" w:hAnsi="仿宋_GB2312" w:eastAsia="仿宋_GB2312" w:cs="仿宋_GB2312"/>
                <w:color w:val="auto"/>
              </w:rPr>
              <w:t>分)</w:t>
            </w:r>
          </w:p>
        </w:tc>
        <w:tc>
          <w:tcPr>
            <w:tcW w:w="1438" w:type="dxa"/>
            <w:vAlign w:val="center"/>
          </w:tcPr>
          <w:p w14:paraId="3639282A">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服务指标</w:t>
            </w:r>
          </w:p>
          <w:p w14:paraId="10C58195">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达成情况</w:t>
            </w:r>
          </w:p>
          <w:p w14:paraId="113DB597">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5</w:t>
            </w:r>
            <w:r>
              <w:rPr>
                <w:rFonts w:hint="eastAsia" w:ascii="仿宋_GB2312" w:hAnsi="仿宋_GB2312" w:eastAsia="仿宋_GB2312" w:cs="仿宋_GB2312"/>
                <w:color w:val="auto"/>
              </w:rPr>
              <w:t>分)</w:t>
            </w:r>
          </w:p>
        </w:tc>
        <w:tc>
          <w:tcPr>
            <w:tcW w:w="10748" w:type="dxa"/>
            <w:vAlign w:val="center"/>
          </w:tcPr>
          <w:p w14:paraId="1E794F6E">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达成合同规定或年度工作计划中各项服务内容、指标的情况。</w:t>
            </w:r>
          </w:p>
          <w:p w14:paraId="3E25B03C">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(1)能够很好地实现服务计划中的既定指标，达成率在90%及以上。(</w:t>
            </w:r>
            <w:r>
              <w:rPr>
                <w:rFonts w:hint="eastAsia" w:ascii="仿宋_GB2312" w:hAnsi="仿宋_GB2312" w:eastAsia="仿宋_GB2312" w:cs="仿宋_GB2312"/>
                <w:color w:val="auto"/>
                <w:lang w:val="en-US" w:eastAsia="zh-CN"/>
              </w:rPr>
              <w:t>4-5</w:t>
            </w:r>
            <w:r>
              <w:rPr>
                <w:rFonts w:hint="eastAsia" w:ascii="仿宋_GB2312" w:hAnsi="仿宋_GB2312" w:eastAsia="仿宋_GB2312" w:cs="仿宋_GB2312"/>
                <w:color w:val="auto"/>
              </w:rPr>
              <w:t>分)</w:t>
            </w:r>
          </w:p>
          <w:p w14:paraId="298AB55B">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(2)服务指标完成率一般，达成率在70%—90%(含70%)(</w:t>
            </w:r>
            <w:r>
              <w:rPr>
                <w:rFonts w:hint="eastAsia" w:ascii="仿宋_GB2312" w:hAnsi="仿宋_GB2312" w:eastAsia="仿宋_GB2312" w:cs="仿宋_GB2312"/>
                <w:color w:val="auto"/>
                <w:lang w:val="en-US" w:eastAsia="zh-CN"/>
              </w:rPr>
              <w:t>2-4</w:t>
            </w:r>
            <w:r>
              <w:rPr>
                <w:rFonts w:hint="eastAsia" w:ascii="仿宋_GB2312" w:hAnsi="仿宋_GB2312" w:eastAsia="仿宋_GB2312" w:cs="仿宋_GB2312"/>
                <w:color w:val="auto"/>
              </w:rPr>
              <w:t>分)</w:t>
            </w:r>
          </w:p>
          <w:p w14:paraId="03801274">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(3)服务指标完成率低，达成率在50-70%。(</w:t>
            </w:r>
            <w:r>
              <w:rPr>
                <w:rFonts w:hint="eastAsia" w:ascii="仿宋_GB2312" w:hAnsi="仿宋_GB2312" w:eastAsia="仿宋_GB2312" w:cs="仿宋_GB2312"/>
                <w:color w:val="auto"/>
                <w:lang w:val="en-US" w:eastAsia="zh-CN"/>
              </w:rPr>
              <w:t>1-2</w:t>
            </w:r>
            <w:r>
              <w:rPr>
                <w:rFonts w:hint="eastAsia" w:ascii="仿宋_GB2312" w:hAnsi="仿宋_GB2312" w:eastAsia="仿宋_GB2312" w:cs="仿宋_GB2312"/>
                <w:color w:val="auto"/>
              </w:rPr>
              <w:t>分)</w:t>
            </w:r>
          </w:p>
          <w:p w14:paraId="2A61D18C">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(4)服务指标完成率低于50%。(</w:t>
            </w:r>
            <w:r>
              <w:rPr>
                <w:rFonts w:hint="eastAsia" w:ascii="仿宋_GB2312" w:hAnsi="仿宋_GB2312" w:eastAsia="仿宋_GB2312" w:cs="仿宋_GB2312"/>
                <w:color w:val="auto"/>
                <w:lang w:val="en-US" w:eastAsia="zh-CN"/>
              </w:rPr>
              <w:t>最低0</w:t>
            </w:r>
            <w:r>
              <w:rPr>
                <w:rFonts w:hint="eastAsia" w:ascii="仿宋_GB2312" w:hAnsi="仿宋_GB2312" w:eastAsia="仿宋_GB2312" w:cs="仿宋_GB2312"/>
                <w:color w:val="auto"/>
              </w:rPr>
              <w:t>分)</w:t>
            </w:r>
          </w:p>
        </w:tc>
        <w:tc>
          <w:tcPr>
            <w:tcW w:w="1302" w:type="dxa"/>
            <w:vAlign w:val="center"/>
          </w:tcPr>
          <w:p w14:paraId="049C2FD0">
            <w:pPr>
              <w:ind w:firstLine="420" w:firstLineChars="200"/>
              <w:jc w:val="both"/>
              <w:rPr>
                <w:rFonts w:hint="eastAsia" w:ascii="仿宋_GB2312" w:hAnsi="仿宋_GB2312" w:eastAsia="仿宋_GB2312" w:cs="仿宋_GB2312"/>
                <w:color w:val="auto"/>
              </w:rPr>
            </w:pPr>
          </w:p>
        </w:tc>
      </w:tr>
      <w:tr w14:paraId="37BA02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73" w:hRule="atLeast"/>
          <w:jc w:val="center"/>
        </w:trPr>
        <w:tc>
          <w:tcPr>
            <w:tcW w:w="1147" w:type="dxa"/>
            <w:vMerge w:val="continue"/>
            <w:vAlign w:val="center"/>
          </w:tcPr>
          <w:p w14:paraId="5CEF95F4">
            <w:pPr>
              <w:jc w:val="center"/>
              <w:rPr>
                <w:rFonts w:hint="eastAsia" w:ascii="仿宋_GB2312" w:hAnsi="仿宋_GB2312" w:eastAsia="仿宋_GB2312" w:cs="仿宋_GB2312"/>
                <w:color w:val="auto"/>
              </w:rPr>
            </w:pPr>
          </w:p>
        </w:tc>
        <w:tc>
          <w:tcPr>
            <w:tcW w:w="1438" w:type="dxa"/>
            <w:vAlign w:val="center"/>
          </w:tcPr>
          <w:p w14:paraId="6D8B8E00">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服务对象评价</w:t>
            </w:r>
          </w:p>
          <w:p w14:paraId="0C7210A5">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(2分)</w:t>
            </w:r>
          </w:p>
        </w:tc>
        <w:tc>
          <w:tcPr>
            <w:tcW w:w="10748" w:type="dxa"/>
            <w:vAlign w:val="center"/>
          </w:tcPr>
          <w:p w14:paraId="7D7E2840">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采用抽样调查方式，</w:t>
            </w:r>
            <w:r>
              <w:rPr>
                <w:rFonts w:hint="eastAsia" w:ascii="仿宋_GB2312" w:hAnsi="仿宋_GB2312" w:eastAsia="仿宋_GB2312" w:cs="仿宋_GB2312"/>
                <w:color w:val="auto"/>
                <w:lang w:val="en-US" w:eastAsia="zh-CN"/>
              </w:rPr>
              <w:t>了解服务对象</w:t>
            </w:r>
            <w:r>
              <w:rPr>
                <w:rFonts w:hint="eastAsia" w:ascii="仿宋_GB2312" w:hAnsi="仿宋_GB2312" w:eastAsia="仿宋_GB2312" w:cs="仿宋_GB2312"/>
                <w:color w:val="auto"/>
              </w:rPr>
              <w:t>对民政服务站服务(内容、形式、安排、社工服务态度、专业能力等)的满意度，以及对服务效果等方面的评价。</w:t>
            </w:r>
          </w:p>
          <w:p w14:paraId="21E6206F">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(1)对服务效果满意。</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2分)                            </w:t>
            </w:r>
            <w:r>
              <w:rPr>
                <w:rFonts w:hint="eastAsia" w:ascii="仿宋_GB2312" w:hAnsi="仿宋_GB2312" w:eastAsia="仿宋_GB2312" w:cs="仿宋_GB2312"/>
                <w:color w:val="auto"/>
              </w:rPr>
              <w:t>(2)对服务效果基本满意。</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1.5分)</w:t>
            </w:r>
          </w:p>
          <w:p w14:paraId="46695684">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(3)评价低，甚至对该机构的服务进行投诉。(0分)</w:t>
            </w:r>
          </w:p>
        </w:tc>
        <w:tc>
          <w:tcPr>
            <w:tcW w:w="1302" w:type="dxa"/>
            <w:vAlign w:val="center"/>
          </w:tcPr>
          <w:p w14:paraId="6DD70919">
            <w:pPr>
              <w:ind w:firstLine="420" w:firstLineChars="200"/>
              <w:jc w:val="both"/>
              <w:rPr>
                <w:rFonts w:hint="eastAsia" w:ascii="仿宋_GB2312" w:hAnsi="仿宋_GB2312" w:eastAsia="仿宋_GB2312" w:cs="仿宋_GB2312"/>
                <w:color w:val="auto"/>
              </w:rPr>
            </w:pPr>
          </w:p>
        </w:tc>
      </w:tr>
      <w:tr w14:paraId="51A863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6" w:hRule="atLeast"/>
          <w:jc w:val="center"/>
        </w:trPr>
        <w:tc>
          <w:tcPr>
            <w:tcW w:w="1147" w:type="dxa"/>
            <w:vMerge w:val="continue"/>
            <w:vAlign w:val="center"/>
          </w:tcPr>
          <w:p w14:paraId="64F308CF">
            <w:pPr>
              <w:jc w:val="center"/>
              <w:rPr>
                <w:rFonts w:hint="eastAsia" w:ascii="仿宋_GB2312" w:hAnsi="仿宋_GB2312" w:eastAsia="仿宋_GB2312" w:cs="仿宋_GB2312"/>
                <w:color w:val="auto"/>
              </w:rPr>
            </w:pPr>
          </w:p>
        </w:tc>
        <w:tc>
          <w:tcPr>
            <w:tcW w:w="1438" w:type="dxa"/>
            <w:vAlign w:val="center"/>
          </w:tcPr>
          <w:p w14:paraId="18745DD9">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志愿者评价</w:t>
            </w:r>
          </w:p>
          <w:p w14:paraId="459A27B6">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1</w:t>
            </w:r>
            <w:r>
              <w:rPr>
                <w:rFonts w:hint="eastAsia" w:ascii="仿宋_GB2312" w:hAnsi="仿宋_GB2312" w:eastAsia="仿宋_GB2312" w:cs="仿宋_GB2312"/>
                <w:color w:val="auto"/>
              </w:rPr>
              <w:t>分)</w:t>
            </w:r>
          </w:p>
        </w:tc>
        <w:tc>
          <w:tcPr>
            <w:tcW w:w="10748" w:type="dxa"/>
            <w:vAlign w:val="center"/>
          </w:tcPr>
          <w:p w14:paraId="0E3F5338">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采用抽样调查方式，</w:t>
            </w:r>
            <w:r>
              <w:rPr>
                <w:rFonts w:hint="eastAsia" w:ascii="仿宋_GB2312" w:hAnsi="仿宋_GB2312" w:eastAsia="仿宋_GB2312" w:cs="仿宋_GB2312"/>
                <w:color w:val="auto"/>
                <w:lang w:val="en-US" w:eastAsia="zh-CN"/>
              </w:rPr>
              <w:t>了解志愿者</w:t>
            </w:r>
            <w:r>
              <w:rPr>
                <w:rFonts w:hint="eastAsia" w:ascii="仿宋_GB2312" w:hAnsi="仿宋_GB2312" w:eastAsia="仿宋_GB2312" w:cs="仿宋_GB2312"/>
                <w:color w:val="auto"/>
              </w:rPr>
              <w:t>对民政服务站服务(内容、形式、安排、社工服务态度、专业能力等)的满意度，以及对服务效果等方面的综合评价。</w:t>
            </w:r>
          </w:p>
          <w:p w14:paraId="6E376A3B">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(1)对</w:t>
            </w:r>
            <w:r>
              <w:rPr>
                <w:rFonts w:hint="eastAsia" w:ascii="仿宋_GB2312" w:hAnsi="仿宋_GB2312" w:eastAsia="仿宋_GB2312" w:cs="仿宋_GB2312"/>
                <w:color w:val="auto"/>
                <w:lang w:val="en-US" w:eastAsia="zh-CN"/>
              </w:rPr>
              <w:t>工作</w:t>
            </w:r>
            <w:r>
              <w:rPr>
                <w:rFonts w:hint="eastAsia" w:ascii="仿宋_GB2312" w:hAnsi="仿宋_GB2312" w:eastAsia="仿宋_GB2312" w:cs="仿宋_GB2312"/>
                <w:color w:val="auto"/>
              </w:rPr>
              <w:t>效果满意。</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1分)                            </w:t>
            </w:r>
            <w:r>
              <w:rPr>
                <w:rFonts w:hint="eastAsia" w:ascii="仿宋_GB2312" w:hAnsi="仿宋_GB2312" w:eastAsia="仿宋_GB2312" w:cs="仿宋_GB2312"/>
                <w:color w:val="auto"/>
              </w:rPr>
              <w:t>(2)对</w:t>
            </w:r>
            <w:r>
              <w:rPr>
                <w:rFonts w:hint="eastAsia" w:ascii="仿宋_GB2312" w:hAnsi="仿宋_GB2312" w:eastAsia="仿宋_GB2312" w:cs="仿宋_GB2312"/>
                <w:color w:val="auto"/>
                <w:lang w:val="en-US" w:eastAsia="zh-CN"/>
              </w:rPr>
              <w:t>工作</w:t>
            </w:r>
            <w:r>
              <w:rPr>
                <w:rFonts w:hint="eastAsia" w:ascii="仿宋_GB2312" w:hAnsi="仿宋_GB2312" w:eastAsia="仿宋_GB2312" w:cs="仿宋_GB2312"/>
                <w:color w:val="auto"/>
              </w:rPr>
              <w:t>效果基本满意。</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0.5分)</w:t>
            </w:r>
          </w:p>
          <w:p w14:paraId="100EF161">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(3)评价低，甚至对该机构的</w:t>
            </w:r>
            <w:r>
              <w:rPr>
                <w:rFonts w:hint="eastAsia" w:ascii="仿宋_GB2312" w:hAnsi="仿宋_GB2312" w:eastAsia="仿宋_GB2312" w:cs="仿宋_GB2312"/>
                <w:color w:val="auto"/>
                <w:lang w:val="en-US" w:eastAsia="zh-CN"/>
              </w:rPr>
              <w:t>工作</w:t>
            </w:r>
            <w:r>
              <w:rPr>
                <w:rFonts w:hint="eastAsia" w:ascii="仿宋_GB2312" w:hAnsi="仿宋_GB2312" w:eastAsia="仿宋_GB2312" w:cs="仿宋_GB2312"/>
                <w:color w:val="auto"/>
              </w:rPr>
              <w:t>进行投诉。(0分)</w:t>
            </w:r>
          </w:p>
        </w:tc>
        <w:tc>
          <w:tcPr>
            <w:tcW w:w="1302" w:type="dxa"/>
            <w:vAlign w:val="center"/>
          </w:tcPr>
          <w:p w14:paraId="5E2098F8">
            <w:pPr>
              <w:ind w:firstLine="420" w:firstLineChars="200"/>
              <w:jc w:val="both"/>
              <w:rPr>
                <w:rFonts w:hint="eastAsia" w:ascii="仿宋_GB2312" w:hAnsi="仿宋_GB2312" w:eastAsia="仿宋_GB2312" w:cs="仿宋_GB2312"/>
                <w:color w:val="auto"/>
              </w:rPr>
            </w:pPr>
          </w:p>
        </w:tc>
      </w:tr>
      <w:tr w14:paraId="5ED7F1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6" w:hRule="atLeast"/>
          <w:jc w:val="center"/>
        </w:trPr>
        <w:tc>
          <w:tcPr>
            <w:tcW w:w="1147" w:type="dxa"/>
            <w:vMerge w:val="continue"/>
            <w:vAlign w:val="center"/>
          </w:tcPr>
          <w:p w14:paraId="7F9CAE80">
            <w:pPr>
              <w:jc w:val="center"/>
              <w:rPr>
                <w:rFonts w:hint="eastAsia" w:ascii="仿宋_GB2312" w:hAnsi="仿宋_GB2312" w:eastAsia="仿宋_GB2312" w:cs="仿宋_GB2312"/>
                <w:color w:val="auto"/>
              </w:rPr>
            </w:pPr>
          </w:p>
        </w:tc>
        <w:tc>
          <w:tcPr>
            <w:tcW w:w="1438" w:type="dxa"/>
            <w:vAlign w:val="center"/>
          </w:tcPr>
          <w:p w14:paraId="64D005DB">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lang w:val="en-US" w:eastAsia="zh-CN"/>
              </w:rPr>
              <w:t>乡镇</w:t>
            </w:r>
            <w:r>
              <w:rPr>
                <w:rFonts w:hint="eastAsia" w:ascii="仿宋_GB2312" w:hAnsi="仿宋_GB2312" w:eastAsia="仿宋_GB2312" w:cs="仿宋_GB2312"/>
                <w:color w:val="auto"/>
              </w:rPr>
              <w:t>评价</w:t>
            </w:r>
          </w:p>
          <w:p w14:paraId="019F2037">
            <w:pPr>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rPr>
              <w:t>分)</w:t>
            </w:r>
          </w:p>
        </w:tc>
        <w:tc>
          <w:tcPr>
            <w:tcW w:w="10748" w:type="dxa"/>
            <w:vAlign w:val="center"/>
          </w:tcPr>
          <w:p w14:paraId="296B5B0C">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采用抽样调查方式，</w:t>
            </w:r>
            <w:r>
              <w:rPr>
                <w:rFonts w:hint="eastAsia" w:ascii="仿宋_GB2312" w:hAnsi="仿宋_GB2312" w:eastAsia="仿宋_GB2312" w:cs="仿宋_GB2312"/>
                <w:color w:val="auto"/>
                <w:lang w:val="en-US" w:eastAsia="zh-CN"/>
              </w:rPr>
              <w:t>了解</w:t>
            </w:r>
            <w:r>
              <w:rPr>
                <w:rFonts w:hint="eastAsia" w:ascii="仿宋_GB2312" w:hAnsi="仿宋_GB2312" w:eastAsia="仿宋_GB2312" w:cs="仿宋_GB2312"/>
                <w:color w:val="auto"/>
              </w:rPr>
              <w:t>乡镇(</w:t>
            </w:r>
            <w:r>
              <w:rPr>
                <w:rFonts w:hint="eastAsia" w:ascii="仿宋_GB2312" w:hAnsi="仿宋_GB2312" w:eastAsia="仿宋_GB2312" w:cs="仿宋_GB2312"/>
                <w:color w:val="auto"/>
                <w:lang w:eastAsia="zh-CN"/>
              </w:rPr>
              <w:t>场/办/管委会</w:t>
            </w:r>
            <w:r>
              <w:rPr>
                <w:rFonts w:hint="eastAsia" w:ascii="仿宋_GB2312" w:hAnsi="仿宋_GB2312" w:eastAsia="仿宋_GB2312" w:cs="仿宋_GB2312"/>
                <w:color w:val="auto"/>
              </w:rPr>
              <w:t>)对民政服务站服务(内容、形式、安排、社工的服务态度、专业能力等)的满意度，以及对服务效果等方面的综合评价。</w:t>
            </w:r>
          </w:p>
          <w:p w14:paraId="5FCB4D75">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(1)对</w:t>
            </w:r>
            <w:r>
              <w:rPr>
                <w:rFonts w:hint="eastAsia" w:ascii="仿宋_GB2312" w:hAnsi="仿宋_GB2312" w:eastAsia="仿宋_GB2312" w:cs="仿宋_GB2312"/>
                <w:color w:val="auto"/>
                <w:lang w:val="en-US" w:eastAsia="zh-CN"/>
              </w:rPr>
              <w:t>工作及</w:t>
            </w:r>
            <w:r>
              <w:rPr>
                <w:rFonts w:hint="eastAsia" w:ascii="仿宋_GB2312" w:hAnsi="仿宋_GB2312" w:eastAsia="仿宋_GB2312" w:cs="仿宋_GB2312"/>
                <w:color w:val="auto"/>
              </w:rPr>
              <w:t>服务效果满意。</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 xml:space="preserve">2分)                      </w:t>
            </w:r>
            <w:r>
              <w:rPr>
                <w:rFonts w:hint="eastAsia" w:ascii="仿宋_GB2312" w:hAnsi="仿宋_GB2312" w:eastAsia="仿宋_GB2312" w:cs="仿宋_GB2312"/>
                <w:color w:val="auto"/>
              </w:rPr>
              <w:t>(2)对</w:t>
            </w:r>
            <w:r>
              <w:rPr>
                <w:rFonts w:hint="eastAsia" w:ascii="仿宋_GB2312" w:hAnsi="仿宋_GB2312" w:eastAsia="仿宋_GB2312" w:cs="仿宋_GB2312"/>
                <w:color w:val="auto"/>
                <w:lang w:val="en-US" w:eastAsia="zh-CN"/>
              </w:rPr>
              <w:t>工作及</w:t>
            </w:r>
            <w:r>
              <w:rPr>
                <w:rFonts w:hint="eastAsia" w:ascii="仿宋_GB2312" w:hAnsi="仿宋_GB2312" w:eastAsia="仿宋_GB2312" w:cs="仿宋_GB2312"/>
                <w:color w:val="auto"/>
              </w:rPr>
              <w:t>服务效果基本满意。</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p w14:paraId="7C09E2F5">
            <w:pPr>
              <w:ind w:firstLine="420" w:firstLineChars="200"/>
              <w:rPr>
                <w:rFonts w:hint="eastAsia" w:ascii="仿宋_GB2312" w:hAnsi="仿宋_GB2312" w:eastAsia="仿宋_GB2312" w:cs="仿宋_GB2312"/>
                <w:color w:val="auto"/>
              </w:rPr>
            </w:pPr>
            <w:r>
              <w:rPr>
                <w:rFonts w:hint="eastAsia" w:ascii="仿宋_GB2312" w:hAnsi="仿宋_GB2312" w:eastAsia="仿宋_GB2312" w:cs="仿宋_GB2312"/>
                <w:color w:val="auto"/>
              </w:rPr>
              <w:t>(3)评价低，甚至对该机构的服务进</w:t>
            </w:r>
            <w:r>
              <w:rPr>
                <w:rFonts w:hint="eastAsia" w:ascii="仿宋_GB2312" w:hAnsi="仿宋_GB2312" w:eastAsia="仿宋_GB2312" w:cs="仿宋_GB2312"/>
                <w:color w:val="auto"/>
                <w:lang w:val="en-US" w:eastAsia="zh-CN"/>
              </w:rPr>
              <w:t>行</w:t>
            </w:r>
            <w:r>
              <w:rPr>
                <w:rFonts w:hint="eastAsia" w:ascii="仿宋_GB2312" w:hAnsi="仿宋_GB2312" w:eastAsia="仿宋_GB2312" w:cs="仿宋_GB2312"/>
                <w:color w:val="auto"/>
              </w:rPr>
              <w:t>投诉。(0分)</w:t>
            </w:r>
          </w:p>
        </w:tc>
        <w:tc>
          <w:tcPr>
            <w:tcW w:w="1302" w:type="dxa"/>
            <w:vAlign w:val="center"/>
          </w:tcPr>
          <w:p w14:paraId="3B01D535">
            <w:pPr>
              <w:ind w:firstLine="420" w:firstLineChars="200"/>
              <w:jc w:val="both"/>
              <w:rPr>
                <w:rFonts w:hint="eastAsia" w:ascii="仿宋_GB2312" w:hAnsi="仿宋_GB2312" w:eastAsia="仿宋_GB2312" w:cs="仿宋_GB2312"/>
                <w:color w:val="auto"/>
              </w:rPr>
            </w:pPr>
          </w:p>
        </w:tc>
      </w:tr>
      <w:tr w14:paraId="07E15D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58" w:hRule="atLeast"/>
          <w:jc w:val="center"/>
        </w:trPr>
        <w:tc>
          <w:tcPr>
            <w:tcW w:w="1147" w:type="dxa"/>
            <w:vMerge w:val="restart"/>
            <w:vAlign w:val="center"/>
          </w:tcPr>
          <w:p w14:paraId="5C19BBAD">
            <w:pPr>
              <w:jc w:val="center"/>
              <w:rPr>
                <w:rFonts w:hint="default" w:ascii="仿宋_GB2312" w:hAnsi="仿宋_GB2312" w:eastAsia="仿宋_GB2312" w:cs="仿宋_GB2312"/>
                <w:color w:val="auto"/>
                <w:lang w:val="en-US" w:eastAsia="zh-CN"/>
              </w:rPr>
            </w:pPr>
            <w:r>
              <w:rPr>
                <w:rFonts w:hint="eastAsia" w:ascii="仿宋_GB2312" w:hAnsi="仿宋_GB2312" w:eastAsia="仿宋_GB2312" w:cs="仿宋_GB2312"/>
                <w:color w:val="auto"/>
                <w:lang w:val="en-US" w:eastAsia="zh-CN"/>
              </w:rPr>
              <w:t>其他</w:t>
            </w:r>
          </w:p>
          <w:p w14:paraId="412BD4A3">
            <w:pPr>
              <w:jc w:val="center"/>
              <w:rPr>
                <w:rFonts w:hint="default" w:ascii="仿宋_GB2312" w:hAnsi="仿宋_GB2312" w:eastAsia="仿宋_GB2312" w:cs="仿宋_GB2312"/>
                <w:b/>
                <w:bCs/>
                <w:color w:val="auto"/>
                <w:lang w:val="en-US" w:eastAsia="zh-CN"/>
              </w:rPr>
            </w:pP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7</w:t>
            </w:r>
            <w:r>
              <w:rPr>
                <w:rFonts w:hint="eastAsia" w:ascii="仿宋_GB2312" w:hAnsi="仿宋_GB2312" w:eastAsia="仿宋_GB2312" w:cs="仿宋_GB2312"/>
                <w:color w:val="auto"/>
              </w:rPr>
              <w:t>分)</w:t>
            </w:r>
          </w:p>
        </w:tc>
        <w:tc>
          <w:tcPr>
            <w:tcW w:w="1438" w:type="dxa"/>
            <w:vAlign w:val="center"/>
          </w:tcPr>
          <w:p w14:paraId="7DECAD02">
            <w:pPr>
              <w:jc w:val="center"/>
              <w:rPr>
                <w:rFonts w:hint="eastAsia" w:ascii="仿宋_GB2312" w:hAnsi="仿宋_GB2312" w:eastAsia="仿宋_GB2312" w:cs="仿宋_GB2312"/>
                <w:b w:val="0"/>
                <w:bCs w:val="0"/>
                <w:color w:val="auto"/>
              </w:rPr>
            </w:pPr>
            <w:r>
              <w:rPr>
                <w:rFonts w:hint="eastAsia" w:ascii="仿宋_GB2312" w:hAnsi="仿宋_GB2312" w:eastAsia="仿宋_GB2312" w:cs="仿宋_GB2312"/>
                <w:b w:val="0"/>
                <w:bCs w:val="0"/>
                <w:color w:val="auto"/>
              </w:rPr>
              <w:t>特色工作</w:t>
            </w:r>
          </w:p>
          <w:p w14:paraId="2A72D3C9">
            <w:pPr>
              <w:jc w:val="center"/>
              <w:rPr>
                <w:rFonts w:hint="eastAsia" w:ascii="仿宋_GB2312" w:hAnsi="仿宋_GB2312" w:eastAsia="仿宋_GB2312" w:cs="仿宋_GB2312"/>
                <w:b w:val="0"/>
                <w:bCs w:val="0"/>
                <w:color w:val="auto"/>
              </w:rPr>
            </w:pPr>
            <w:r>
              <w:rPr>
                <w:rFonts w:hint="eastAsia" w:ascii="仿宋_GB2312" w:hAnsi="仿宋_GB2312" w:eastAsia="仿宋_GB2312" w:cs="仿宋_GB2312"/>
                <w:b w:val="0"/>
                <w:bCs w:val="0"/>
                <w:color w:val="auto"/>
              </w:rPr>
              <w:t>(</w:t>
            </w:r>
            <w:r>
              <w:rPr>
                <w:rFonts w:hint="eastAsia" w:ascii="仿宋_GB2312" w:hAnsi="仿宋_GB2312" w:eastAsia="仿宋_GB2312" w:cs="仿宋_GB2312"/>
                <w:b w:val="0"/>
                <w:bCs w:val="0"/>
                <w:color w:val="auto"/>
                <w:lang w:val="en-US" w:eastAsia="zh-CN"/>
              </w:rPr>
              <w:t>6</w:t>
            </w:r>
            <w:r>
              <w:rPr>
                <w:rFonts w:hint="eastAsia" w:ascii="仿宋_GB2312" w:hAnsi="仿宋_GB2312" w:eastAsia="仿宋_GB2312" w:cs="仿宋_GB2312"/>
                <w:b w:val="0"/>
                <w:bCs w:val="0"/>
                <w:color w:val="auto"/>
              </w:rPr>
              <w:t>分)</w:t>
            </w:r>
          </w:p>
        </w:tc>
        <w:tc>
          <w:tcPr>
            <w:tcW w:w="10748" w:type="dxa"/>
            <w:vAlign w:val="center"/>
          </w:tcPr>
          <w:p w14:paraId="47D1D664">
            <w:pPr>
              <w:ind w:firstLine="420" w:firstLineChars="200"/>
              <w:rPr>
                <w:rFonts w:hint="eastAsia" w:ascii="仿宋_GB2312" w:hAnsi="仿宋_GB2312" w:eastAsia="仿宋_GB2312" w:cs="仿宋_GB2312"/>
                <w:b w:val="0"/>
                <w:bCs w:val="0"/>
                <w:color w:val="auto"/>
                <w:lang w:eastAsia="zh-CN"/>
              </w:rPr>
            </w:pPr>
            <w:r>
              <w:rPr>
                <w:rFonts w:hint="eastAsia" w:ascii="仿宋_GB2312" w:hAnsi="仿宋_GB2312" w:eastAsia="仿宋_GB2312" w:cs="仿宋_GB2312"/>
                <w:b w:val="0"/>
                <w:bCs w:val="0"/>
                <w:color w:val="auto"/>
              </w:rPr>
              <w:t>项目承接机构或民政服务站主动作为，发展特色工作，获得较大社会影响，对于推动民政服务站发展具备宣传价值的，予以加分。具体加分标准如下(同一项特色工作或多级表彰的以最高标准加分，不重复加分)</w:t>
            </w:r>
            <w:r>
              <w:rPr>
                <w:rFonts w:hint="eastAsia" w:ascii="仿宋_GB2312" w:hAnsi="仿宋_GB2312" w:eastAsia="仿宋_GB2312" w:cs="仿宋_GB2312"/>
                <w:b w:val="0"/>
                <w:bCs w:val="0"/>
                <w:color w:val="auto"/>
                <w:lang w:eastAsia="zh-CN"/>
              </w:rPr>
              <w:t>：</w:t>
            </w:r>
          </w:p>
          <w:p w14:paraId="02375F42">
            <w:pPr>
              <w:numPr>
                <w:ilvl w:val="0"/>
                <w:numId w:val="0"/>
              </w:numPr>
              <w:ind w:firstLine="420" w:firstLineChars="200"/>
              <w:rPr>
                <w:rFonts w:hint="eastAsia" w:ascii="仿宋_GB2312" w:hAnsi="仿宋_GB2312" w:eastAsia="仿宋_GB2312" w:cs="仿宋_GB2312"/>
                <w:b w:val="0"/>
                <w:bCs w:val="0"/>
                <w:color w:val="auto"/>
                <w:lang w:eastAsia="zh-CN"/>
              </w:rPr>
            </w:pPr>
            <w:r>
              <w:rPr>
                <w:rFonts w:hint="eastAsia" w:ascii="仿宋_GB2312" w:hAnsi="仿宋_GB2312" w:eastAsia="仿宋_GB2312" w:cs="仿宋_GB2312"/>
                <w:b w:val="0"/>
                <w:bCs w:val="0"/>
                <w:color w:val="auto"/>
              </w:rPr>
              <w:t>(1)特色工作获</w:t>
            </w:r>
            <w:r>
              <w:rPr>
                <w:rFonts w:hint="eastAsia" w:ascii="仿宋_GB2312" w:hAnsi="仿宋_GB2312" w:eastAsia="仿宋_GB2312" w:cs="仿宋_GB2312"/>
                <w:b w:val="0"/>
                <w:bCs w:val="0"/>
                <w:color w:val="auto"/>
                <w:lang w:val="en-US" w:eastAsia="zh-CN"/>
              </w:rPr>
              <w:t>省</w:t>
            </w:r>
            <w:r>
              <w:rPr>
                <w:rFonts w:hint="eastAsia" w:ascii="仿宋_GB2312" w:hAnsi="仿宋_GB2312" w:eastAsia="仿宋_GB2312" w:cs="仿宋_GB2312"/>
                <w:b w:val="0"/>
                <w:bCs w:val="0"/>
                <w:color w:val="auto"/>
              </w:rPr>
              <w:t>部级表彰奖励或在部级会议上典型发言的，加</w:t>
            </w:r>
            <w:r>
              <w:rPr>
                <w:rFonts w:hint="eastAsia" w:ascii="仿宋_GB2312" w:hAnsi="仿宋_GB2312" w:eastAsia="仿宋_GB2312" w:cs="仿宋_GB2312"/>
                <w:b w:val="0"/>
                <w:bCs w:val="0"/>
                <w:color w:val="auto"/>
                <w:lang w:val="en-US" w:eastAsia="zh-CN"/>
              </w:rPr>
              <w:t>5</w:t>
            </w:r>
            <w:r>
              <w:rPr>
                <w:rFonts w:hint="eastAsia" w:ascii="仿宋_GB2312" w:hAnsi="仿宋_GB2312" w:eastAsia="仿宋_GB2312" w:cs="仿宋_GB2312"/>
                <w:b w:val="0"/>
                <w:bCs w:val="0"/>
                <w:color w:val="auto"/>
              </w:rPr>
              <w:t>分</w:t>
            </w:r>
            <w:r>
              <w:rPr>
                <w:rFonts w:hint="eastAsia" w:ascii="仿宋_GB2312" w:hAnsi="仿宋_GB2312" w:eastAsia="仿宋_GB2312" w:cs="仿宋_GB2312"/>
                <w:b w:val="0"/>
                <w:bCs w:val="0"/>
                <w:color w:val="auto"/>
                <w:lang w:eastAsia="zh-CN"/>
              </w:rPr>
              <w:t>。</w:t>
            </w:r>
          </w:p>
          <w:p w14:paraId="71FBFF05">
            <w:pPr>
              <w:numPr>
                <w:ilvl w:val="0"/>
                <w:numId w:val="0"/>
              </w:numPr>
              <w:ind w:firstLine="420" w:firstLineChars="200"/>
              <w:rPr>
                <w:rFonts w:hint="default" w:ascii="仿宋_GB2312" w:hAnsi="仿宋_GB2312" w:eastAsia="仿宋_GB2312" w:cs="仿宋_GB2312"/>
                <w:b w:val="0"/>
                <w:bCs w:val="0"/>
                <w:color w:val="auto"/>
                <w:lang w:val="en-US" w:eastAsia="zh-CN"/>
              </w:rPr>
            </w:pPr>
            <w:r>
              <w:rPr>
                <w:rFonts w:hint="eastAsia" w:ascii="仿宋_GB2312" w:hAnsi="仿宋_GB2312" w:eastAsia="仿宋_GB2312" w:cs="仿宋_GB2312"/>
                <w:b w:val="0"/>
                <w:bCs w:val="0"/>
                <w:color w:val="auto"/>
              </w:rPr>
              <w:t>(</w:t>
            </w:r>
            <w:r>
              <w:rPr>
                <w:rFonts w:hint="eastAsia" w:ascii="仿宋_GB2312" w:hAnsi="仿宋_GB2312" w:eastAsia="仿宋_GB2312" w:cs="仿宋_GB2312"/>
                <w:b w:val="0"/>
                <w:bCs w:val="0"/>
                <w:color w:val="auto"/>
                <w:lang w:val="en-US" w:eastAsia="zh-CN"/>
              </w:rPr>
              <w:t>2</w:t>
            </w:r>
            <w:r>
              <w:rPr>
                <w:rFonts w:hint="eastAsia" w:ascii="仿宋_GB2312" w:hAnsi="仿宋_GB2312" w:eastAsia="仿宋_GB2312" w:cs="仿宋_GB2312"/>
                <w:b w:val="0"/>
                <w:bCs w:val="0"/>
                <w:color w:val="auto"/>
              </w:rPr>
              <w:t>)获表彰奖励或在</w:t>
            </w:r>
            <w:r>
              <w:rPr>
                <w:rFonts w:hint="eastAsia" w:ascii="仿宋_GB2312" w:hAnsi="仿宋_GB2312" w:eastAsia="仿宋_GB2312" w:cs="仿宋_GB2312"/>
                <w:b w:val="0"/>
                <w:bCs w:val="0"/>
                <w:color w:val="auto"/>
                <w:lang w:val="en-US" w:eastAsia="zh-CN"/>
              </w:rPr>
              <w:t>全</w:t>
            </w:r>
            <w:r>
              <w:rPr>
                <w:rFonts w:hint="eastAsia" w:ascii="仿宋_GB2312" w:hAnsi="仿宋_GB2312" w:eastAsia="仿宋_GB2312" w:cs="仿宋_GB2312"/>
                <w:b w:val="0"/>
                <w:bCs w:val="0"/>
                <w:color w:val="auto"/>
              </w:rPr>
              <w:t>省会议上典型发言的，省级加</w:t>
            </w:r>
            <w:r>
              <w:rPr>
                <w:rFonts w:hint="eastAsia" w:ascii="仿宋_GB2312" w:hAnsi="仿宋_GB2312" w:eastAsia="仿宋_GB2312" w:cs="仿宋_GB2312"/>
                <w:b w:val="0"/>
                <w:bCs w:val="0"/>
                <w:color w:val="auto"/>
                <w:lang w:val="en-US" w:eastAsia="zh-CN"/>
              </w:rPr>
              <w:t>3</w:t>
            </w:r>
            <w:r>
              <w:rPr>
                <w:rFonts w:hint="eastAsia" w:ascii="仿宋_GB2312" w:hAnsi="仿宋_GB2312" w:eastAsia="仿宋_GB2312" w:cs="仿宋_GB2312"/>
                <w:b w:val="0"/>
                <w:bCs w:val="0"/>
                <w:color w:val="auto"/>
              </w:rPr>
              <w:t>分</w:t>
            </w:r>
            <w:r>
              <w:rPr>
                <w:rFonts w:hint="eastAsia" w:ascii="仿宋_GB2312" w:hAnsi="仿宋_GB2312" w:eastAsia="仿宋_GB2312" w:cs="仿宋_GB2312"/>
                <w:b w:val="0"/>
                <w:bCs w:val="0"/>
                <w:color w:val="auto"/>
                <w:lang w:eastAsia="zh-CN"/>
              </w:rPr>
              <w:t>、</w:t>
            </w:r>
            <w:r>
              <w:rPr>
                <w:rFonts w:hint="eastAsia" w:ascii="仿宋_GB2312" w:hAnsi="仿宋_GB2312" w:eastAsia="仿宋_GB2312" w:cs="仿宋_GB2312"/>
                <w:b w:val="0"/>
                <w:bCs w:val="0"/>
                <w:color w:val="auto"/>
              </w:rPr>
              <w:t>市级加</w:t>
            </w:r>
            <w:r>
              <w:rPr>
                <w:rFonts w:hint="eastAsia" w:ascii="仿宋_GB2312" w:hAnsi="仿宋_GB2312" w:eastAsia="仿宋_GB2312" w:cs="仿宋_GB2312"/>
                <w:b w:val="0"/>
                <w:bCs w:val="0"/>
                <w:color w:val="auto"/>
                <w:lang w:val="en-US" w:eastAsia="zh-CN"/>
              </w:rPr>
              <w:t>1</w:t>
            </w:r>
            <w:r>
              <w:rPr>
                <w:rFonts w:hint="eastAsia" w:ascii="仿宋_GB2312" w:hAnsi="仿宋_GB2312" w:eastAsia="仿宋_GB2312" w:cs="仿宋_GB2312"/>
                <w:b w:val="0"/>
                <w:bCs w:val="0"/>
                <w:color w:val="auto"/>
              </w:rPr>
              <w:t>分。</w:t>
            </w:r>
            <w:r>
              <w:rPr>
                <w:rFonts w:hint="eastAsia" w:ascii="仿宋_GB2312" w:hAnsi="仿宋_GB2312" w:eastAsia="仿宋_GB2312" w:cs="仿宋_GB2312"/>
                <w:b w:val="0"/>
                <w:bCs w:val="0"/>
                <w:color w:val="auto"/>
                <w:lang w:eastAsia="zh-CN"/>
              </w:rPr>
              <w:t>【</w:t>
            </w:r>
            <w:r>
              <w:rPr>
                <w:rFonts w:hint="eastAsia" w:ascii="仿宋_GB2312" w:hAnsi="仿宋_GB2312" w:eastAsia="仿宋_GB2312" w:cs="仿宋_GB2312"/>
                <w:b w:val="0"/>
                <w:bCs w:val="0"/>
                <w:color w:val="auto"/>
                <w:lang w:val="en-US" w:eastAsia="zh-CN"/>
              </w:rPr>
              <w:t>(1)和(2)最高得5分。】</w:t>
            </w:r>
          </w:p>
          <w:p w14:paraId="41E3367D">
            <w:pPr>
              <w:numPr>
                <w:ilvl w:val="0"/>
                <w:numId w:val="0"/>
              </w:numPr>
              <w:ind w:firstLine="420" w:firstLineChars="200"/>
              <w:rPr>
                <w:rFonts w:hint="eastAsia" w:ascii="仿宋_GB2312" w:hAnsi="仿宋_GB2312" w:eastAsia="仿宋_GB2312" w:cs="仿宋_GB2312"/>
                <w:b w:val="0"/>
                <w:bCs w:val="0"/>
                <w:color w:val="auto"/>
              </w:rPr>
            </w:pPr>
            <w:r>
              <w:rPr>
                <w:rFonts w:hint="eastAsia" w:ascii="仿宋_GB2312" w:hAnsi="仿宋_GB2312" w:eastAsia="仿宋_GB2312" w:cs="仿宋_GB2312"/>
                <w:b w:val="0"/>
                <w:bCs w:val="0"/>
                <w:color w:val="auto"/>
              </w:rPr>
              <w:t>(</w:t>
            </w:r>
            <w:r>
              <w:rPr>
                <w:rFonts w:hint="eastAsia" w:ascii="仿宋_GB2312" w:hAnsi="仿宋_GB2312" w:eastAsia="仿宋_GB2312" w:cs="仿宋_GB2312"/>
                <w:b w:val="0"/>
                <w:bCs w:val="0"/>
                <w:color w:val="auto"/>
                <w:lang w:val="en-US" w:eastAsia="zh-CN"/>
              </w:rPr>
              <w:t>3</w:t>
            </w:r>
            <w:r>
              <w:rPr>
                <w:rFonts w:hint="eastAsia" w:ascii="仿宋_GB2312" w:hAnsi="仿宋_GB2312" w:eastAsia="仿宋_GB2312" w:cs="仿宋_GB2312"/>
                <w:b w:val="0"/>
                <w:bCs w:val="0"/>
                <w:color w:val="auto"/>
              </w:rPr>
              <w:t>)特色工作获国家级权威媒体报道的加</w:t>
            </w:r>
            <w:r>
              <w:rPr>
                <w:rFonts w:hint="eastAsia" w:ascii="仿宋_GB2312" w:hAnsi="仿宋_GB2312" w:eastAsia="仿宋_GB2312" w:cs="仿宋_GB2312"/>
                <w:b w:val="0"/>
                <w:bCs w:val="0"/>
                <w:color w:val="auto"/>
                <w:lang w:val="en-US" w:eastAsia="zh-CN"/>
              </w:rPr>
              <w:t>1</w:t>
            </w:r>
            <w:r>
              <w:rPr>
                <w:rFonts w:hint="eastAsia" w:ascii="仿宋_GB2312" w:hAnsi="仿宋_GB2312" w:eastAsia="仿宋_GB2312" w:cs="仿宋_GB2312"/>
                <w:b w:val="0"/>
                <w:bCs w:val="0"/>
                <w:color w:val="auto"/>
              </w:rPr>
              <w:t>分,</w:t>
            </w:r>
            <w:r>
              <w:rPr>
                <w:rFonts w:hint="eastAsia" w:ascii="仿宋_GB2312" w:hAnsi="仿宋_GB2312" w:eastAsia="仿宋_GB2312" w:cs="仿宋_GB2312"/>
                <w:b w:val="0"/>
                <w:bCs w:val="0"/>
                <w:color w:val="auto"/>
                <w:lang w:val="en-US" w:eastAsia="zh-CN"/>
              </w:rPr>
              <w:t>省级</w:t>
            </w:r>
            <w:r>
              <w:rPr>
                <w:rFonts w:hint="eastAsia" w:ascii="仿宋_GB2312" w:hAnsi="仿宋_GB2312" w:eastAsia="仿宋_GB2312" w:cs="仿宋_GB2312"/>
                <w:b w:val="0"/>
                <w:bCs w:val="0"/>
                <w:color w:val="auto"/>
              </w:rPr>
              <w:t>每项加</w:t>
            </w:r>
            <w:r>
              <w:rPr>
                <w:rFonts w:hint="eastAsia" w:ascii="仿宋_GB2312" w:hAnsi="仿宋_GB2312" w:eastAsia="仿宋_GB2312" w:cs="仿宋_GB2312"/>
                <w:b w:val="0"/>
                <w:bCs w:val="0"/>
                <w:color w:val="auto"/>
                <w:lang w:val="en-US" w:eastAsia="zh-CN"/>
              </w:rPr>
              <w:t>0.2</w:t>
            </w:r>
            <w:r>
              <w:rPr>
                <w:rFonts w:hint="eastAsia" w:ascii="仿宋_GB2312" w:hAnsi="仿宋_GB2312" w:eastAsia="仿宋_GB2312" w:cs="仿宋_GB2312"/>
                <w:b w:val="0"/>
                <w:bCs w:val="0"/>
                <w:color w:val="auto"/>
              </w:rPr>
              <w:t>分</w:t>
            </w:r>
            <w:r>
              <w:rPr>
                <w:rFonts w:hint="eastAsia" w:ascii="仿宋_GB2312" w:hAnsi="仿宋_GB2312" w:eastAsia="仿宋_GB2312" w:cs="仿宋_GB2312"/>
                <w:b w:val="0"/>
                <w:bCs w:val="0"/>
                <w:color w:val="auto"/>
                <w:lang w:eastAsia="zh-CN"/>
              </w:rPr>
              <w:t>、</w:t>
            </w:r>
            <w:r>
              <w:rPr>
                <w:rFonts w:hint="eastAsia" w:ascii="仿宋_GB2312" w:hAnsi="仿宋_GB2312" w:eastAsia="仿宋_GB2312" w:cs="仿宋_GB2312"/>
                <w:b w:val="0"/>
                <w:bCs w:val="0"/>
                <w:color w:val="auto"/>
                <w:lang w:val="en-US" w:eastAsia="zh-CN"/>
              </w:rPr>
              <w:t>市级</w:t>
            </w:r>
            <w:r>
              <w:rPr>
                <w:rFonts w:hint="eastAsia" w:ascii="仿宋_GB2312" w:hAnsi="仿宋_GB2312" w:eastAsia="仿宋_GB2312" w:cs="仿宋_GB2312"/>
                <w:b w:val="0"/>
                <w:bCs w:val="0"/>
                <w:color w:val="auto"/>
              </w:rPr>
              <w:t>每项加</w:t>
            </w:r>
            <w:r>
              <w:rPr>
                <w:rFonts w:hint="eastAsia" w:ascii="仿宋_GB2312" w:hAnsi="仿宋_GB2312" w:eastAsia="仿宋_GB2312" w:cs="仿宋_GB2312"/>
                <w:b w:val="0"/>
                <w:bCs w:val="0"/>
                <w:color w:val="auto"/>
                <w:lang w:val="en-US" w:eastAsia="zh-CN"/>
              </w:rPr>
              <w:t>0.1</w:t>
            </w:r>
            <w:r>
              <w:rPr>
                <w:rFonts w:hint="eastAsia" w:ascii="仿宋_GB2312" w:hAnsi="仿宋_GB2312" w:eastAsia="仿宋_GB2312" w:cs="仿宋_GB2312"/>
                <w:b w:val="0"/>
                <w:bCs w:val="0"/>
                <w:color w:val="auto"/>
              </w:rPr>
              <w:t>分</w:t>
            </w:r>
            <w:r>
              <w:rPr>
                <w:rFonts w:hint="eastAsia" w:ascii="仿宋_GB2312" w:hAnsi="仿宋_GB2312" w:eastAsia="仿宋_GB2312" w:cs="仿宋_GB2312"/>
                <w:b w:val="0"/>
                <w:bCs w:val="0"/>
                <w:color w:val="auto"/>
                <w:lang w:eastAsia="zh-CN"/>
              </w:rPr>
              <w:t>（</w:t>
            </w:r>
            <w:r>
              <w:rPr>
                <w:rFonts w:hint="eastAsia" w:ascii="仿宋_GB2312" w:hAnsi="仿宋_GB2312" w:eastAsia="仿宋_GB2312" w:cs="仿宋_GB2312"/>
                <w:b w:val="0"/>
                <w:bCs w:val="0"/>
                <w:color w:val="auto"/>
                <w:lang w:val="en-US" w:eastAsia="zh-CN"/>
              </w:rPr>
              <w:t>最高1分</w:t>
            </w:r>
            <w:r>
              <w:rPr>
                <w:rFonts w:hint="eastAsia" w:ascii="仿宋_GB2312" w:hAnsi="仿宋_GB2312" w:eastAsia="仿宋_GB2312" w:cs="仿宋_GB2312"/>
                <w:b w:val="0"/>
                <w:bCs w:val="0"/>
                <w:color w:val="auto"/>
                <w:lang w:eastAsia="zh-CN"/>
              </w:rPr>
              <w:t>）。</w:t>
            </w:r>
          </w:p>
        </w:tc>
        <w:tc>
          <w:tcPr>
            <w:tcW w:w="1302" w:type="dxa"/>
            <w:vAlign w:val="center"/>
          </w:tcPr>
          <w:p w14:paraId="1CBA8911">
            <w:pPr>
              <w:ind w:firstLine="422" w:firstLineChars="200"/>
              <w:jc w:val="both"/>
              <w:rPr>
                <w:rFonts w:hint="eastAsia" w:ascii="仿宋_GB2312" w:hAnsi="仿宋_GB2312" w:eastAsia="仿宋_GB2312" w:cs="仿宋_GB2312"/>
                <w:b/>
                <w:bCs/>
                <w:color w:val="auto"/>
              </w:rPr>
            </w:pPr>
          </w:p>
        </w:tc>
      </w:tr>
      <w:tr w14:paraId="4C286A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6" w:hRule="atLeast"/>
          <w:jc w:val="center"/>
        </w:trPr>
        <w:tc>
          <w:tcPr>
            <w:tcW w:w="1147" w:type="dxa"/>
            <w:vMerge w:val="continue"/>
            <w:vAlign w:val="center"/>
          </w:tcPr>
          <w:p w14:paraId="47BC1EF0">
            <w:pPr>
              <w:jc w:val="center"/>
              <w:rPr>
                <w:rFonts w:hint="eastAsia" w:ascii="仿宋_GB2312" w:hAnsi="仿宋_GB2312" w:eastAsia="仿宋_GB2312" w:cs="仿宋_GB2312"/>
                <w:b/>
                <w:bCs/>
                <w:color w:val="auto"/>
              </w:rPr>
            </w:pPr>
          </w:p>
        </w:tc>
        <w:tc>
          <w:tcPr>
            <w:tcW w:w="1438" w:type="dxa"/>
            <w:vAlign w:val="center"/>
          </w:tcPr>
          <w:p w14:paraId="1003826A">
            <w:pPr>
              <w:jc w:val="center"/>
              <w:rPr>
                <w:rFonts w:hint="eastAsia" w:ascii="仿宋_GB2312" w:hAnsi="仿宋_GB2312" w:eastAsia="仿宋_GB2312" w:cs="仿宋_GB2312"/>
                <w:b w:val="0"/>
                <w:bCs w:val="0"/>
                <w:color w:val="auto"/>
              </w:rPr>
            </w:pPr>
            <w:r>
              <w:rPr>
                <w:rFonts w:hint="eastAsia" w:ascii="仿宋_GB2312" w:hAnsi="仿宋_GB2312" w:eastAsia="仿宋_GB2312" w:cs="仿宋_GB2312"/>
                <w:b w:val="0"/>
                <w:bCs w:val="0"/>
                <w:color w:val="auto"/>
              </w:rPr>
              <w:t>领导重视</w:t>
            </w:r>
          </w:p>
          <w:p w14:paraId="24078D29">
            <w:pPr>
              <w:jc w:val="center"/>
              <w:rPr>
                <w:rFonts w:hint="eastAsia" w:ascii="仿宋_GB2312" w:hAnsi="仿宋_GB2312" w:eastAsia="仿宋_GB2312" w:cs="仿宋_GB2312"/>
                <w:b w:val="0"/>
                <w:bCs w:val="0"/>
                <w:color w:val="auto"/>
              </w:rPr>
            </w:pPr>
            <w:r>
              <w:rPr>
                <w:rFonts w:hint="eastAsia" w:ascii="仿宋_GB2312" w:hAnsi="仿宋_GB2312" w:eastAsia="仿宋_GB2312" w:cs="仿宋_GB2312"/>
                <w:b w:val="0"/>
                <w:bCs w:val="0"/>
                <w:color w:val="auto"/>
              </w:rPr>
              <w:t>(</w:t>
            </w:r>
            <w:r>
              <w:rPr>
                <w:rFonts w:hint="eastAsia" w:ascii="仿宋_GB2312" w:hAnsi="仿宋_GB2312" w:eastAsia="仿宋_GB2312" w:cs="仿宋_GB2312"/>
                <w:b w:val="0"/>
                <w:bCs w:val="0"/>
                <w:color w:val="auto"/>
                <w:lang w:val="en-US" w:eastAsia="zh-CN"/>
              </w:rPr>
              <w:t>1</w:t>
            </w:r>
            <w:r>
              <w:rPr>
                <w:rFonts w:hint="eastAsia" w:ascii="仿宋_GB2312" w:hAnsi="仿宋_GB2312" w:eastAsia="仿宋_GB2312" w:cs="仿宋_GB2312"/>
                <w:b w:val="0"/>
                <w:bCs w:val="0"/>
                <w:color w:val="auto"/>
              </w:rPr>
              <w:t>分)</w:t>
            </w:r>
          </w:p>
        </w:tc>
        <w:tc>
          <w:tcPr>
            <w:tcW w:w="10748" w:type="dxa"/>
            <w:vAlign w:val="center"/>
          </w:tcPr>
          <w:p w14:paraId="329CE3C1">
            <w:pPr>
              <w:ind w:firstLine="420" w:firstLineChars="200"/>
              <w:rPr>
                <w:rFonts w:hint="default" w:ascii="仿宋_GB2312" w:hAnsi="仿宋_GB2312" w:eastAsia="仿宋_GB2312" w:cs="仿宋_GB2312"/>
                <w:b w:val="0"/>
                <w:bCs w:val="0"/>
                <w:color w:val="auto"/>
                <w:lang w:val="en-US" w:eastAsia="zh-CN"/>
              </w:rPr>
            </w:pPr>
            <w:r>
              <w:rPr>
                <w:rFonts w:hint="eastAsia" w:ascii="仿宋_GB2312" w:hAnsi="仿宋_GB2312" w:eastAsia="仿宋_GB2312" w:cs="仿宋_GB2312"/>
                <w:b w:val="0"/>
                <w:bCs w:val="0"/>
                <w:color w:val="auto"/>
              </w:rPr>
              <w:t>当地党委政府、民政局主要负责同志亲自指导、调研民政服务站工作,并解决实际困难或产生明显</w:t>
            </w:r>
            <w:r>
              <w:rPr>
                <w:rFonts w:hint="eastAsia" w:ascii="仿宋_GB2312" w:hAnsi="仿宋_GB2312" w:eastAsia="仿宋_GB2312" w:cs="仿宋_GB2312"/>
                <w:b w:val="0"/>
                <w:bCs w:val="0"/>
                <w:color w:val="auto"/>
                <w:lang w:val="en-US" w:eastAsia="en-US"/>
              </w:rPr>
              <w:t>效果。</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lang w:val="en-US" w:eastAsia="zh-CN"/>
              </w:rPr>
              <w:t>1分)</w:t>
            </w:r>
          </w:p>
        </w:tc>
        <w:tc>
          <w:tcPr>
            <w:tcW w:w="1302" w:type="dxa"/>
            <w:vAlign w:val="center"/>
          </w:tcPr>
          <w:p w14:paraId="37B5ED78">
            <w:pPr>
              <w:ind w:firstLine="422" w:firstLineChars="200"/>
              <w:jc w:val="both"/>
              <w:rPr>
                <w:rFonts w:hint="eastAsia" w:ascii="仿宋_GB2312" w:hAnsi="仿宋_GB2312" w:eastAsia="仿宋_GB2312" w:cs="仿宋_GB2312"/>
                <w:b/>
                <w:bCs/>
                <w:color w:val="auto"/>
              </w:rPr>
            </w:pPr>
          </w:p>
        </w:tc>
      </w:tr>
    </w:tbl>
    <w:p w14:paraId="187A4772">
      <w:pPr>
        <w:pStyle w:val="2"/>
        <w:rPr>
          <w:rFonts w:hint="eastAsia" w:ascii="仿宋_GB2312" w:hAnsi="仿宋_GB2312" w:eastAsia="仿宋_GB2312" w:cs="仿宋_GB2312"/>
          <w:b w:val="0"/>
          <w:bCs w:val="0"/>
          <w:color w:val="auto"/>
          <w:sz w:val="15"/>
          <w:szCs w:val="15"/>
        </w:rPr>
      </w:pPr>
    </w:p>
    <w:p w14:paraId="4A01B05A">
      <w:pPr>
        <w:pStyle w:val="7"/>
        <w:spacing w:before="78" w:line="220" w:lineRule="auto"/>
        <w:ind w:left="166"/>
        <w:rPr>
          <w:rFonts w:hint="eastAsia"/>
          <w:b/>
          <w:bCs/>
          <w:color w:val="auto"/>
          <w:spacing w:val="-8"/>
        </w:rPr>
      </w:pPr>
    </w:p>
    <w:p w14:paraId="6B5A2B60">
      <w:pPr>
        <w:pStyle w:val="7"/>
        <w:spacing w:before="78" w:line="220" w:lineRule="auto"/>
        <w:ind w:left="166"/>
        <w:rPr>
          <w:rFonts w:hint="eastAsia" w:eastAsia="宋体"/>
          <w:b/>
          <w:bCs/>
          <w:color w:val="auto"/>
          <w:spacing w:val="-8"/>
          <w:lang w:val="en-US" w:eastAsia="zh-CN"/>
        </w:rPr>
      </w:pPr>
      <w:r>
        <w:rPr>
          <w:rFonts w:hint="eastAsia" w:eastAsia="宋体"/>
          <w:b/>
          <w:bCs/>
          <w:color w:val="auto"/>
          <w:spacing w:val="-8"/>
          <w:lang w:val="en-US" w:eastAsia="zh-CN"/>
        </w:rPr>
        <w:t>以招标文件为准</w:t>
      </w:r>
    </w:p>
    <w:p w14:paraId="7FF5D019">
      <w:bookmarkStart w:id="5" w:name="_GoBack"/>
      <w:bookmarkEnd w:id="5"/>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F2B13">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8A2135">
                          <w:pPr>
                            <w:pStyle w:val="3"/>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2A8A2135">
                    <w:pPr>
                      <w:pStyle w:val="3"/>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DD48C1">
    <w:pPr>
      <w:pStyle w:val="3"/>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9" name="文本框 1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8F6EF1">
                          <w:pPr>
                            <w:pStyle w:val="3"/>
                            <w:rPr>
                              <w:rFonts w:hint="default" w:eastAsia="宋体"/>
                              <w:lang w:val="en-US" w:eastAsia="zh-CN"/>
                            </w:rPr>
                          </w:pPr>
                          <w:r>
                            <w:fldChar w:fldCharType="begin"/>
                          </w:r>
                          <w:r>
                            <w:instrText xml:space="preserve"> PAGE  \* MERGEFORMAT </w:instrText>
                          </w:r>
                          <w:r>
                            <w:fldChar w:fldCharType="separate"/>
                          </w:r>
                          <w:r>
                            <w:t>56</w:t>
                          </w:r>
                          <w:r>
                            <w:fldChar w:fldCharType="end"/>
                          </w:r>
                          <w:r>
                            <w:rPr>
                              <w:rFonts w:hint="eastAsia" w:eastAsia="宋体"/>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4VfE0AgAAZQ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jOFXxNAIAAGUEAAAOAAAAAAAAAAEAIAAAAB8BAABkcnMvZTJvRG9jLnhtbFBL&#10;BQYAAAAABgAGAFkBAADFBQAAAAA=&#10;">
              <v:fill on="f" focussize="0,0"/>
              <v:stroke on="f" weight="0.5pt"/>
              <v:imagedata o:title=""/>
              <o:lock v:ext="edit" aspectratio="f"/>
              <v:textbox inset="0mm,0mm,0mm,0mm" style="mso-fit-shape-to-text:t;">
                <w:txbxContent>
                  <w:p w14:paraId="5B8F6EF1">
                    <w:pPr>
                      <w:pStyle w:val="3"/>
                      <w:rPr>
                        <w:rFonts w:hint="default" w:eastAsia="宋体"/>
                        <w:lang w:val="en-US" w:eastAsia="zh-CN"/>
                      </w:rPr>
                    </w:pPr>
                    <w:r>
                      <w:fldChar w:fldCharType="begin"/>
                    </w:r>
                    <w:r>
                      <w:instrText xml:space="preserve"> PAGE  \* MERGEFORMAT </w:instrText>
                    </w:r>
                    <w:r>
                      <w:fldChar w:fldCharType="separate"/>
                    </w:r>
                    <w:r>
                      <w:t>56</w:t>
                    </w:r>
                    <w:r>
                      <w:fldChar w:fldCharType="end"/>
                    </w:r>
                    <w:r>
                      <w:rPr>
                        <w:rFonts w:hint="eastAsia" w:eastAsia="宋体"/>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15B3A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2026-06-13T07:25:07Z</dcterms:created>
  <dc:creator>Administrator</dc:creator>
  <cp:lastModifiedBy>陈小兰</cp:lastModifiedBy>
  <dcterms:modified xsi:type="dcterms:W3CDTF">2026-06-13T07:26:01Z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eyJoZGlkIjoiZjJmYjU2ODZmNmE1ZGVjZjZhM2MxNmY3YWQ0MzExOTIiLCJ1c2VySWQiOiI1MjI0OTM5MjEifQ==</vt:lpwstr>
  </property>
  <property fmtid="{D5CDD505-2E9C-101B-9397-08002B2CF9AE}" pid="4" name="ICV">
    <vt:lpwstr>5FB85D9AFD76462CAFD5391BB8ADAF61_12</vt:lpwstr>
  </property>
</Properties>
</file>