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86D866">
      <w:pPr>
        <w:pageBreakBefore w:val="0"/>
        <w:widowControl w:val="0"/>
        <w:wordWrap/>
        <w:overflowPunct/>
        <w:topLinePunct w:val="0"/>
        <w:bidi w:val="0"/>
        <w:spacing w:before="47" w:line="219" w:lineRule="auto"/>
        <w:ind w:left="3805"/>
        <w:outlineLvl w:val="1"/>
        <w:rPr>
          <w:rFonts w:hint="eastAsia" w:ascii="宋体" w:hAnsi="宋体" w:eastAsia="宋体" w:cs="宋体"/>
          <w:color w:val="auto"/>
          <w:spacing w:val="0"/>
          <w:position w:val="0"/>
          <w:sz w:val="36"/>
          <w:szCs w:val="36"/>
        </w:rPr>
      </w:pPr>
      <w:r>
        <w:rPr>
          <w:rFonts w:hint="eastAsia" w:ascii="宋体" w:hAnsi="宋体" w:eastAsia="宋体" w:cs="宋体"/>
          <w:color w:val="auto"/>
          <w:spacing w:val="0"/>
          <w:position w:val="0"/>
          <w:sz w:val="36"/>
          <w:szCs w:val="36"/>
          <w14:textOutline w14:w="4356" w14:cap="sq" w14:cmpd="sng" w14:algn="ctr">
            <w14:solidFill>
              <w14:srgbClr w14:val="000000"/>
            </w14:solidFill>
            <w14:prstDash w14:val="solid"/>
            <w14:bevel/>
          </w14:textOutline>
        </w:rPr>
        <w:t>采购需求</w:t>
      </w:r>
    </w:p>
    <w:p w14:paraId="551FB056">
      <w:pPr>
        <w:pageBreakBefore w:val="0"/>
        <w:widowControl w:val="0"/>
        <w:wordWrap/>
        <w:overflowPunct/>
        <w:topLinePunct w:val="0"/>
        <w:bidi w:val="0"/>
        <w:spacing w:line="258" w:lineRule="auto"/>
        <w:rPr>
          <w:rFonts w:hint="eastAsia" w:ascii="宋体" w:hAnsi="宋体" w:eastAsia="宋体" w:cs="宋体"/>
          <w:color w:val="auto"/>
          <w:spacing w:val="0"/>
          <w:position w:val="0"/>
          <w:sz w:val="24"/>
          <w:szCs w:val="24"/>
        </w:rPr>
      </w:pPr>
    </w:p>
    <w:p w14:paraId="16200A98">
      <w:pPr>
        <w:widowControl w:val="0"/>
        <w:spacing w:before="47" w:line="219" w:lineRule="auto"/>
        <w:outlineLvl w:val="1"/>
        <w:rPr>
          <w:rFonts w:hint="eastAsia" w:ascii="宋体" w:hAnsi="宋体" w:eastAsia="宋体" w:cs="宋体"/>
          <w:color w:val="auto"/>
          <w:sz w:val="24"/>
          <w:szCs w:val="24"/>
        </w:rPr>
      </w:pPr>
      <w:r>
        <w:rPr>
          <w:rFonts w:hint="eastAsia" w:ascii="宋体" w:hAnsi="宋体" w:eastAsia="宋体" w:cs="宋体"/>
          <w:color w:val="auto"/>
          <w:sz w:val="24"/>
          <w:szCs w:val="24"/>
          <w14:textOutline w14:w="4356" w14:cap="sq" w14:cmpd="sng" w14:algn="ctr">
            <w14:solidFill>
              <w14:srgbClr w14:val="000000"/>
            </w14:solidFill>
            <w14:prstDash w14:val="solid"/>
            <w14:bevel/>
          </w14:textOutline>
        </w:rPr>
        <w:t>采购需求</w:t>
      </w:r>
    </w:p>
    <w:p w14:paraId="66433711">
      <w:pPr>
        <w:widowControl w:val="0"/>
        <w:spacing w:line="258" w:lineRule="auto"/>
        <w:rPr>
          <w:rFonts w:hint="eastAsia" w:ascii="宋体" w:hAnsi="宋体" w:eastAsia="宋体" w:cs="宋体"/>
          <w:color w:val="auto"/>
          <w:sz w:val="24"/>
          <w:szCs w:val="24"/>
        </w:rPr>
      </w:pPr>
    </w:p>
    <w:p w14:paraId="3BA47CD0">
      <w:pPr>
        <w:kinsoku/>
        <w:autoSpaceDE/>
        <w:autoSpaceDN/>
        <w:adjustRightInd/>
        <w:snapToGrid/>
        <w:spacing w:line="480" w:lineRule="exact"/>
        <w:textAlignment w:val="auto"/>
        <w:rPr>
          <w:rFonts w:hint="eastAsia" w:ascii="宋体" w:hAnsi="宋体" w:eastAsia="宋体" w:cs="宋体"/>
          <w:sz w:val="24"/>
          <w:lang w:eastAsia="zh-CN"/>
        </w:rPr>
      </w:pPr>
      <w:r>
        <w:rPr>
          <w:rFonts w:hint="eastAsia" w:ascii="宋体" w:hAnsi="宋体" w:eastAsia="宋体" w:cs="宋体"/>
          <w:sz w:val="24"/>
          <w:lang w:eastAsia="zh-CN"/>
        </w:rPr>
        <w:t xml:space="preserve">（一）投标人须提供全新、原装，并符合质量标准的货物。 </w:t>
      </w:r>
    </w:p>
    <w:p w14:paraId="30551825">
      <w:pPr>
        <w:kinsoku/>
        <w:autoSpaceDE/>
        <w:autoSpaceDN/>
        <w:adjustRightInd/>
        <w:snapToGrid/>
        <w:spacing w:line="480" w:lineRule="exact"/>
        <w:textAlignment w:val="auto"/>
        <w:rPr>
          <w:rFonts w:asciiTheme="minorEastAsia" w:hAnsiTheme="minorEastAsia"/>
          <w:b/>
          <w:bCs/>
          <w:sz w:val="24"/>
          <w:lang w:eastAsia="zh-CN"/>
        </w:rPr>
      </w:pPr>
      <w:r>
        <w:rPr>
          <w:rFonts w:hint="eastAsia" w:ascii="宋体" w:hAnsi="宋体" w:eastAsia="宋体" w:cs="宋体"/>
          <w:sz w:val="24"/>
          <w:lang w:eastAsia="zh-CN"/>
        </w:rPr>
        <w:t>（二）本项目核心产品为：</w:t>
      </w:r>
      <w:r>
        <w:rPr>
          <w:rFonts w:hint="eastAsia" w:asciiTheme="minorEastAsia" w:hAnsiTheme="minorEastAsia"/>
          <w:b/>
          <w:bCs/>
          <w:sz w:val="24"/>
          <w:lang w:eastAsia="zh-CN"/>
        </w:rPr>
        <w:t>VOCs走航系统</w:t>
      </w:r>
    </w:p>
    <w:p w14:paraId="4B8C2273">
      <w:pPr>
        <w:kinsoku/>
        <w:autoSpaceDE/>
        <w:autoSpaceDN/>
        <w:adjustRightInd/>
        <w:snapToGrid/>
        <w:spacing w:line="480" w:lineRule="exact"/>
        <w:textAlignment w:val="auto"/>
        <w:rPr>
          <w:lang w:eastAsia="zh-CN"/>
        </w:rPr>
      </w:pPr>
      <w:r>
        <w:rPr>
          <w:rFonts w:hint="eastAsia" w:ascii="宋体" w:hAnsi="宋体" w:eastAsia="宋体" w:cs="宋体"/>
          <w:sz w:val="24"/>
          <w:lang w:eastAsia="zh-CN"/>
        </w:rPr>
        <w:t xml:space="preserve">（三）货物如为某单位的专利或特有产品，请投标人在答疑期内告知政府采购代理机构。 </w:t>
      </w:r>
    </w:p>
    <w:p w14:paraId="5A127BE7">
      <w:pPr>
        <w:kinsoku/>
        <w:autoSpaceDE/>
        <w:autoSpaceDN/>
        <w:adjustRightInd/>
        <w:snapToGrid/>
        <w:spacing w:line="480" w:lineRule="exact"/>
        <w:textAlignment w:val="auto"/>
        <w:rPr>
          <w:lang w:eastAsia="zh-CN"/>
        </w:rPr>
      </w:pPr>
      <w:r>
        <w:rPr>
          <w:rFonts w:hint="eastAsia" w:ascii="宋体" w:hAnsi="宋体" w:eastAsia="宋体" w:cs="宋体"/>
          <w:sz w:val="24"/>
          <w:lang w:eastAsia="zh-CN"/>
        </w:rPr>
        <w:t xml:space="preserve">（四）所有货物的知识产权问题，由各投标人自行负责。 </w:t>
      </w:r>
    </w:p>
    <w:p w14:paraId="12283CDD">
      <w:pPr>
        <w:kinsoku/>
        <w:autoSpaceDE/>
        <w:autoSpaceDN/>
        <w:adjustRightInd/>
        <w:snapToGrid/>
        <w:spacing w:line="480" w:lineRule="exact"/>
        <w:textAlignment w:val="auto"/>
        <w:rPr>
          <w:lang w:eastAsia="zh-CN"/>
        </w:rPr>
      </w:pPr>
      <w:r>
        <w:rPr>
          <w:rFonts w:hint="eastAsia" w:ascii="宋体" w:hAnsi="宋体" w:eastAsia="宋体" w:cs="宋体"/>
          <w:sz w:val="24"/>
          <w:lang w:eastAsia="zh-CN"/>
        </w:rPr>
        <w:t xml:space="preserve">（五）本招标文件提出的是最低限度的要求，投标人的方案应达到或优于本招标文件要求， 且符合国家有关标准和规范要求。 </w:t>
      </w:r>
    </w:p>
    <w:p w14:paraId="2CB3AC00">
      <w:pPr>
        <w:kinsoku/>
        <w:autoSpaceDE/>
        <w:autoSpaceDN/>
        <w:adjustRightInd/>
        <w:snapToGrid/>
        <w:spacing w:line="480" w:lineRule="exact"/>
        <w:textAlignment w:val="auto"/>
        <w:rPr>
          <w:rFonts w:hint="eastAsia" w:ascii="宋体" w:hAnsi="宋体" w:eastAsia="宋体" w:cs="宋体"/>
          <w:sz w:val="24"/>
          <w:lang w:eastAsia="zh-CN"/>
        </w:rPr>
      </w:pPr>
      <w:r>
        <w:rPr>
          <w:rFonts w:hint="eastAsia" w:ascii="宋体" w:hAnsi="宋体" w:eastAsia="宋体" w:cs="宋体"/>
          <w:sz w:val="24"/>
          <w:lang w:eastAsia="zh-CN"/>
        </w:rPr>
        <w:t>（六）技术需求或服务要求：</w:t>
      </w:r>
    </w:p>
    <w:p w14:paraId="03DA3AF2">
      <w:pPr>
        <w:rPr>
          <w:lang w:eastAsia="zh-CN"/>
        </w:rPr>
      </w:pPr>
    </w:p>
    <w:tbl>
      <w:tblPr>
        <w:tblStyle w:val="5"/>
        <w:tblW w:w="95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849"/>
        <w:gridCol w:w="6804"/>
        <w:gridCol w:w="426"/>
        <w:gridCol w:w="682"/>
      </w:tblGrid>
      <w:tr w14:paraId="447DA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vAlign w:val="center"/>
          </w:tcPr>
          <w:p w14:paraId="6613F934">
            <w:pPr>
              <w:widowControl w:val="0"/>
              <w:kinsoku/>
              <w:adjustRightInd/>
              <w:snapToGrid/>
              <w:spacing w:line="400" w:lineRule="exact"/>
              <w:jc w:val="center"/>
              <w:textAlignment w:val="auto"/>
              <w:rPr>
                <w:rFonts w:asciiTheme="minorEastAsia" w:hAnsiTheme="minorEastAsia" w:cstheme="majorEastAsia"/>
                <w:sz w:val="24"/>
              </w:rPr>
            </w:pPr>
            <w:r>
              <w:rPr>
                <w:rFonts w:hint="eastAsia" w:asciiTheme="minorEastAsia" w:hAnsiTheme="minorEastAsia" w:cstheme="majorEastAsia"/>
                <w:sz w:val="24"/>
              </w:rPr>
              <w:t>序号</w:t>
            </w:r>
          </w:p>
        </w:tc>
        <w:tc>
          <w:tcPr>
            <w:tcW w:w="849" w:type="dxa"/>
            <w:vAlign w:val="center"/>
          </w:tcPr>
          <w:p w14:paraId="274C2EF0">
            <w:pPr>
              <w:widowControl w:val="0"/>
              <w:kinsoku/>
              <w:adjustRightInd/>
              <w:snapToGrid/>
              <w:spacing w:line="400" w:lineRule="exact"/>
              <w:jc w:val="center"/>
              <w:textAlignment w:val="auto"/>
              <w:rPr>
                <w:rFonts w:asciiTheme="minorEastAsia" w:hAnsiTheme="minorEastAsia" w:cstheme="majorEastAsia"/>
                <w:sz w:val="24"/>
              </w:rPr>
            </w:pPr>
            <w:r>
              <w:rPr>
                <w:rFonts w:hint="eastAsia" w:asciiTheme="minorEastAsia" w:hAnsiTheme="minorEastAsia" w:cstheme="majorEastAsia"/>
                <w:sz w:val="24"/>
              </w:rPr>
              <w:t>名称</w:t>
            </w:r>
          </w:p>
        </w:tc>
        <w:tc>
          <w:tcPr>
            <w:tcW w:w="6804" w:type="dxa"/>
            <w:vAlign w:val="center"/>
          </w:tcPr>
          <w:p w14:paraId="30B16802">
            <w:pPr>
              <w:widowControl w:val="0"/>
              <w:kinsoku/>
              <w:adjustRightInd/>
              <w:snapToGrid/>
              <w:spacing w:line="400" w:lineRule="exact"/>
              <w:jc w:val="center"/>
              <w:textAlignment w:val="auto"/>
              <w:rPr>
                <w:rFonts w:asciiTheme="minorEastAsia" w:hAnsiTheme="minorEastAsia" w:cstheme="majorEastAsia"/>
                <w:sz w:val="24"/>
              </w:rPr>
            </w:pPr>
            <w:r>
              <w:rPr>
                <w:rFonts w:hint="eastAsia" w:asciiTheme="minorEastAsia" w:hAnsiTheme="minorEastAsia" w:cstheme="majorEastAsia"/>
                <w:sz w:val="24"/>
              </w:rPr>
              <w:t>技术参数</w:t>
            </w:r>
          </w:p>
        </w:tc>
        <w:tc>
          <w:tcPr>
            <w:tcW w:w="426" w:type="dxa"/>
            <w:vAlign w:val="center"/>
          </w:tcPr>
          <w:p w14:paraId="20EFDEC2">
            <w:pPr>
              <w:widowControl w:val="0"/>
              <w:kinsoku/>
              <w:adjustRightInd/>
              <w:snapToGrid/>
              <w:spacing w:line="400" w:lineRule="exact"/>
              <w:jc w:val="center"/>
              <w:textAlignment w:val="auto"/>
              <w:rPr>
                <w:rFonts w:asciiTheme="minorEastAsia" w:hAnsiTheme="minorEastAsia" w:cstheme="majorEastAsia"/>
                <w:sz w:val="24"/>
              </w:rPr>
            </w:pPr>
            <w:r>
              <w:rPr>
                <w:rFonts w:hint="eastAsia" w:asciiTheme="minorEastAsia" w:hAnsiTheme="minorEastAsia" w:cstheme="majorEastAsia"/>
                <w:sz w:val="24"/>
              </w:rPr>
              <w:t>单位</w:t>
            </w:r>
          </w:p>
        </w:tc>
        <w:tc>
          <w:tcPr>
            <w:tcW w:w="682" w:type="dxa"/>
            <w:vAlign w:val="center"/>
          </w:tcPr>
          <w:p w14:paraId="2D417DA3">
            <w:pPr>
              <w:widowControl w:val="0"/>
              <w:kinsoku/>
              <w:adjustRightInd/>
              <w:snapToGrid/>
              <w:spacing w:line="400" w:lineRule="exact"/>
              <w:jc w:val="center"/>
              <w:textAlignment w:val="auto"/>
              <w:rPr>
                <w:rFonts w:asciiTheme="minorEastAsia" w:hAnsiTheme="minorEastAsia" w:cstheme="majorEastAsia"/>
                <w:sz w:val="24"/>
              </w:rPr>
            </w:pPr>
            <w:r>
              <w:rPr>
                <w:rFonts w:hint="eastAsia" w:asciiTheme="minorEastAsia" w:hAnsiTheme="minorEastAsia" w:cstheme="majorEastAsia"/>
                <w:sz w:val="24"/>
              </w:rPr>
              <w:t>数量</w:t>
            </w:r>
          </w:p>
        </w:tc>
      </w:tr>
      <w:tr w14:paraId="4CA07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vAlign w:val="center"/>
          </w:tcPr>
          <w:p w14:paraId="22DB11A7">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1</w:t>
            </w:r>
          </w:p>
        </w:tc>
        <w:tc>
          <w:tcPr>
            <w:tcW w:w="849" w:type="dxa"/>
            <w:vAlign w:val="center"/>
          </w:tcPr>
          <w:p w14:paraId="4940E738">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VOCs走航系统</w:t>
            </w:r>
          </w:p>
        </w:tc>
        <w:tc>
          <w:tcPr>
            <w:tcW w:w="6804" w:type="dxa"/>
            <w:vAlign w:val="center"/>
          </w:tcPr>
          <w:p w14:paraId="59F327FC">
            <w:pPr>
              <w:widowControl w:val="0"/>
              <w:numPr>
                <w:ilvl w:val="0"/>
                <w:numId w:val="1"/>
              </w:numPr>
              <w:kinsoku/>
              <w:adjustRightInd/>
              <w:snapToGrid/>
              <w:spacing w:line="400" w:lineRule="exact"/>
              <w:ind w:left="0" w:firstLine="0"/>
              <w:jc w:val="both"/>
              <w:textAlignment w:val="auto"/>
              <w:rPr>
                <w:rFonts w:cs="Times New Roman" w:asciiTheme="minorEastAsia" w:hAnsiTheme="minorEastAsia"/>
                <w:sz w:val="24"/>
                <w:lang w:eastAsia="zh-CN"/>
              </w:rPr>
            </w:pPr>
            <w:r>
              <w:rPr>
                <w:rFonts w:hint="eastAsia" w:cs="Times New Roman" w:asciiTheme="minorEastAsia" w:hAnsiTheme="minorEastAsia"/>
                <w:sz w:val="24"/>
                <w:lang w:eastAsia="zh-CN"/>
              </w:rPr>
              <w:t>电离方式：质子转移质谱；</w:t>
            </w:r>
          </w:p>
          <w:p w14:paraId="6051C3D0">
            <w:pPr>
              <w:widowControl w:val="0"/>
              <w:numPr>
                <w:ilvl w:val="0"/>
                <w:numId w:val="1"/>
              </w:numPr>
              <w:kinsoku/>
              <w:adjustRightInd/>
              <w:snapToGrid/>
              <w:spacing w:line="400" w:lineRule="exact"/>
              <w:ind w:left="0" w:firstLine="0"/>
              <w:jc w:val="both"/>
              <w:textAlignment w:val="auto"/>
              <w:rPr>
                <w:rFonts w:cs="Times New Roman" w:asciiTheme="minorEastAsia" w:hAnsiTheme="minorEastAsia"/>
                <w:sz w:val="24"/>
                <w:highlight w:val="none"/>
                <w:lang w:eastAsia="zh-CN"/>
              </w:rPr>
            </w:pPr>
            <w:r>
              <w:rPr>
                <w:rFonts w:hint="eastAsia" w:cs="Times New Roman" w:asciiTheme="minorEastAsia" w:hAnsiTheme="minorEastAsia"/>
                <w:sz w:val="24"/>
                <w:lang w:eastAsia="zh-CN"/>
              </w:rPr>
              <w:t>检测器：飞行时间质谱，</w:t>
            </w:r>
            <w:r>
              <w:rPr>
                <w:rFonts w:cs="Times New Roman" w:asciiTheme="minorEastAsia" w:hAnsiTheme="minorEastAsia"/>
                <w:sz w:val="24"/>
                <w:highlight w:val="none"/>
                <w:lang w:eastAsia="zh-CN"/>
              </w:rPr>
              <w:t>实现环境空气中</w:t>
            </w:r>
            <w:r>
              <w:rPr>
                <w:rFonts w:hint="eastAsia" w:cs="Times New Roman" w:asciiTheme="minorEastAsia" w:hAnsiTheme="minorEastAsia"/>
                <w:b w:val="0"/>
                <w:bCs w:val="0"/>
                <w:sz w:val="24"/>
                <w:highlight w:val="none"/>
                <w:lang w:val="en-US" w:eastAsia="zh-CN"/>
              </w:rPr>
              <w:t>300</w:t>
            </w:r>
            <w:r>
              <w:rPr>
                <w:rFonts w:hint="eastAsia" w:cs="Times New Roman" w:asciiTheme="minorEastAsia" w:hAnsiTheme="minorEastAsia"/>
                <w:b w:val="0"/>
                <w:bCs w:val="0"/>
                <w:sz w:val="24"/>
                <w:highlight w:val="none"/>
                <w:lang w:eastAsia="zh-CN"/>
              </w:rPr>
              <w:t>种以</w:t>
            </w:r>
            <w:r>
              <w:rPr>
                <w:rFonts w:hint="eastAsia" w:cs="Times New Roman" w:asciiTheme="minorEastAsia" w:hAnsiTheme="minorEastAsia"/>
                <w:sz w:val="24"/>
                <w:highlight w:val="none"/>
                <w:lang w:eastAsia="zh-CN"/>
              </w:rPr>
              <w:t>上</w:t>
            </w:r>
            <w:r>
              <w:rPr>
                <w:rFonts w:cs="Times New Roman" w:asciiTheme="minorEastAsia" w:hAnsiTheme="minorEastAsia"/>
                <w:sz w:val="24"/>
                <w:highlight w:val="none"/>
                <w:lang w:eastAsia="zh-CN"/>
              </w:rPr>
              <w:t>VOCs组分的实时在线监测</w:t>
            </w:r>
            <w:r>
              <w:rPr>
                <w:rFonts w:hint="eastAsia" w:cs="Times New Roman" w:asciiTheme="minorEastAsia" w:hAnsiTheme="minorEastAsia"/>
                <w:sz w:val="24"/>
                <w:highlight w:val="none"/>
                <w:lang w:eastAsia="zh-CN"/>
              </w:rPr>
              <w:t>，包括典型的有机恶臭物质；</w:t>
            </w:r>
          </w:p>
          <w:p w14:paraId="3BD1F787">
            <w:pPr>
              <w:widowControl w:val="0"/>
              <w:numPr>
                <w:ilvl w:val="0"/>
                <w:numId w:val="1"/>
              </w:numPr>
              <w:kinsoku/>
              <w:adjustRightInd/>
              <w:snapToGrid/>
              <w:spacing w:line="400" w:lineRule="exact"/>
              <w:ind w:left="0" w:firstLine="0"/>
              <w:jc w:val="both"/>
              <w:textAlignment w:val="auto"/>
              <w:rPr>
                <w:rFonts w:cs="Times New Roman" w:asciiTheme="minorEastAsia" w:hAnsiTheme="minorEastAsia"/>
                <w:sz w:val="24"/>
                <w:lang w:eastAsia="zh-CN"/>
              </w:rPr>
            </w:pPr>
            <w:r>
              <w:rPr>
                <w:rFonts w:hint="eastAsia" w:cs="Times New Roman" w:asciiTheme="minorEastAsia" w:hAnsiTheme="minorEastAsia"/>
                <w:sz w:val="24"/>
                <w:lang w:eastAsia="zh-CN"/>
              </w:rPr>
              <w:t xml:space="preserve">进样方式：直接进样，不存在膜进样的歧视效应； </w:t>
            </w:r>
          </w:p>
          <w:p w14:paraId="0111BE47">
            <w:pPr>
              <w:widowControl w:val="0"/>
              <w:numPr>
                <w:ilvl w:val="0"/>
                <w:numId w:val="1"/>
              </w:numPr>
              <w:kinsoku/>
              <w:adjustRightInd/>
              <w:snapToGrid/>
              <w:spacing w:line="400" w:lineRule="exact"/>
              <w:ind w:left="0" w:firstLine="0"/>
              <w:jc w:val="both"/>
              <w:textAlignment w:val="auto"/>
              <w:rPr>
                <w:rFonts w:cs="Times New Roman" w:asciiTheme="minorEastAsia" w:hAnsiTheme="minorEastAsia"/>
                <w:sz w:val="24"/>
                <w:lang w:eastAsia="zh-CN"/>
              </w:rPr>
            </w:pPr>
            <w:r>
              <w:rPr>
                <w:rFonts w:cs="Times New Roman" w:asciiTheme="minorEastAsia" w:hAnsiTheme="minorEastAsia"/>
                <w:sz w:val="24"/>
                <w:lang w:eastAsia="zh-CN"/>
              </w:rPr>
              <w:t>离子源技术规格：离子源采用双阳极结构的辉光放电设计</w:t>
            </w:r>
            <w:r>
              <w:rPr>
                <w:rFonts w:hint="eastAsia" w:cs="Times New Roman" w:asciiTheme="minorEastAsia" w:hAnsiTheme="minorEastAsia"/>
                <w:sz w:val="24"/>
                <w:lang w:eastAsia="zh-CN"/>
              </w:rPr>
              <w:t>；</w:t>
            </w:r>
          </w:p>
          <w:p w14:paraId="20BD612B">
            <w:pPr>
              <w:widowControl w:val="0"/>
              <w:numPr>
                <w:ilvl w:val="0"/>
                <w:numId w:val="1"/>
              </w:numPr>
              <w:kinsoku/>
              <w:adjustRightInd/>
              <w:snapToGrid/>
              <w:spacing w:line="400" w:lineRule="exact"/>
              <w:ind w:left="0" w:firstLine="0"/>
              <w:jc w:val="both"/>
              <w:textAlignment w:val="auto"/>
              <w:rPr>
                <w:rFonts w:cs="Times New Roman" w:asciiTheme="minorEastAsia" w:hAnsiTheme="minorEastAsia"/>
                <w:sz w:val="24"/>
                <w:lang w:eastAsia="zh-CN"/>
              </w:rPr>
            </w:pPr>
            <w:r>
              <w:rPr>
                <w:rFonts w:cs="Times New Roman" w:asciiTheme="minorEastAsia" w:hAnsiTheme="minorEastAsia"/>
                <w:sz w:val="24"/>
                <w:lang w:eastAsia="zh-CN"/>
              </w:rPr>
              <w:t>质子转移反应区性能：质子转移反应区采用多频射频增强技术</w:t>
            </w:r>
            <w:r>
              <w:rPr>
                <w:rFonts w:hint="eastAsia" w:cs="Times New Roman" w:asciiTheme="minorEastAsia" w:hAnsiTheme="minorEastAsia"/>
                <w:sz w:val="24"/>
                <w:lang w:eastAsia="zh-CN"/>
              </w:rPr>
              <w:t>；</w:t>
            </w:r>
          </w:p>
          <w:p w14:paraId="1C456B04">
            <w:pPr>
              <w:widowControl w:val="0"/>
              <w:numPr>
                <w:ilvl w:val="0"/>
                <w:numId w:val="1"/>
              </w:numPr>
              <w:kinsoku/>
              <w:adjustRightInd/>
              <w:snapToGrid/>
              <w:spacing w:line="400" w:lineRule="exact"/>
              <w:ind w:left="0" w:firstLine="0"/>
              <w:jc w:val="both"/>
              <w:textAlignment w:val="auto"/>
              <w:rPr>
                <w:rFonts w:cs="Times New Roman" w:asciiTheme="minorEastAsia" w:hAnsiTheme="minorEastAsia"/>
                <w:sz w:val="24"/>
                <w:lang w:eastAsia="zh-CN"/>
              </w:rPr>
            </w:pPr>
            <w:r>
              <w:rPr>
                <w:rFonts w:hint="eastAsia" w:cs="Times New Roman" w:asciiTheme="minorEastAsia" w:hAnsiTheme="minorEastAsia"/>
                <w:sz w:val="24"/>
                <w:lang w:eastAsia="zh-CN"/>
              </w:rPr>
              <w:t>谱图检测速度：</w:t>
            </w:r>
            <w:r>
              <w:rPr>
                <w:rFonts w:cs="Times New Roman" w:asciiTheme="minorEastAsia" w:hAnsiTheme="minorEastAsia"/>
                <w:sz w:val="24"/>
                <w:lang w:eastAsia="zh-CN"/>
              </w:rPr>
              <w:t>设备谱图检测速度需达到10ms/谱及以上，</w:t>
            </w:r>
            <w:r>
              <w:rPr>
                <w:rFonts w:hint="eastAsia" w:ascii="宋体" w:hAnsi="宋体" w:eastAsia="宋体" w:cs="宋体"/>
                <w:color w:val="auto"/>
                <w:sz w:val="24"/>
                <w:szCs w:val="24"/>
                <w:highlight w:val="none"/>
                <w:lang w:val="en-US" w:eastAsia="zh-CN"/>
              </w:rPr>
              <w:t>质量检测范围满足1-500u,</w:t>
            </w:r>
            <w:r>
              <w:rPr>
                <w:rFonts w:cs="Times New Roman" w:asciiTheme="minorEastAsia" w:hAnsiTheme="minorEastAsia"/>
                <w:color w:val="auto"/>
                <w:sz w:val="24"/>
                <w:highlight w:val="none"/>
                <w:lang w:eastAsia="zh-CN"/>
              </w:rPr>
              <w:t>且</w:t>
            </w:r>
            <w:r>
              <w:rPr>
                <w:rFonts w:cs="Times New Roman" w:asciiTheme="minorEastAsia" w:hAnsiTheme="minorEastAsia"/>
                <w:sz w:val="24"/>
                <w:lang w:eastAsia="zh-CN"/>
              </w:rPr>
              <w:t>检测输出的谱图必须为瞬态分子离子峰全谱，不得出现谱图缺失、峰形失真等情况</w:t>
            </w:r>
            <w:r>
              <w:rPr>
                <w:rFonts w:hint="eastAsia" w:cs="Times New Roman" w:asciiTheme="minorEastAsia" w:hAnsiTheme="minorEastAsia"/>
                <w:sz w:val="24"/>
                <w:lang w:eastAsia="zh-CN"/>
              </w:rPr>
              <w:t>；</w:t>
            </w:r>
          </w:p>
          <w:p w14:paraId="2E2746DE">
            <w:pPr>
              <w:widowControl w:val="0"/>
              <w:numPr>
                <w:ilvl w:val="0"/>
                <w:numId w:val="1"/>
              </w:numPr>
              <w:kinsoku/>
              <w:adjustRightInd/>
              <w:snapToGrid/>
              <w:spacing w:line="400" w:lineRule="exact"/>
              <w:ind w:left="0" w:firstLine="0"/>
              <w:jc w:val="both"/>
              <w:textAlignment w:val="auto"/>
              <w:rPr>
                <w:rFonts w:cs="Times New Roman" w:asciiTheme="minorEastAsia" w:hAnsiTheme="minorEastAsia"/>
                <w:sz w:val="24"/>
                <w:lang w:eastAsia="zh-CN"/>
              </w:rPr>
            </w:pPr>
            <w:r>
              <w:rPr>
                <w:rFonts w:cs="Times New Roman" w:asciiTheme="minorEastAsia" w:hAnsiTheme="minorEastAsia"/>
                <w:sz w:val="24"/>
                <w:lang w:eastAsia="zh-CN"/>
              </w:rPr>
              <w:t>最低检测限</w:t>
            </w:r>
            <w:r>
              <w:rPr>
                <w:rFonts w:hint="eastAsia" w:cs="Times New Roman" w:asciiTheme="minorEastAsia" w:hAnsiTheme="minorEastAsia"/>
                <w:sz w:val="24"/>
                <w:lang w:eastAsia="zh-CN"/>
              </w:rPr>
              <w:t>要求：</w:t>
            </w:r>
            <w:r>
              <w:rPr>
                <w:rFonts w:cs="Times New Roman" w:asciiTheme="minorEastAsia" w:hAnsiTheme="minorEastAsia"/>
                <w:sz w:val="24"/>
                <w:lang w:eastAsia="zh-CN"/>
              </w:rPr>
              <w:t>以二甲苯为标准检测对象，在累加1min的监测条件下，设备检测限需≤80ppt；在每秒实时监测的条件下，检测限需≤1ppb</w:t>
            </w:r>
            <w:r>
              <w:rPr>
                <w:rFonts w:hint="eastAsia" w:cs="Times New Roman" w:asciiTheme="minorEastAsia" w:hAnsiTheme="minorEastAsia"/>
                <w:sz w:val="24"/>
                <w:lang w:eastAsia="zh-CN"/>
              </w:rPr>
              <w:t>；</w:t>
            </w:r>
          </w:p>
          <w:p w14:paraId="33D67CA4">
            <w:pPr>
              <w:widowControl w:val="0"/>
              <w:numPr>
                <w:ilvl w:val="0"/>
                <w:numId w:val="1"/>
              </w:numPr>
              <w:kinsoku/>
              <w:adjustRightInd/>
              <w:snapToGrid/>
              <w:spacing w:line="400" w:lineRule="exact"/>
              <w:ind w:left="0" w:firstLine="0"/>
              <w:jc w:val="both"/>
              <w:textAlignment w:val="auto"/>
              <w:rPr>
                <w:rFonts w:cs="Times New Roman" w:asciiTheme="minorEastAsia" w:hAnsiTheme="minorEastAsia"/>
                <w:sz w:val="24"/>
                <w:lang w:eastAsia="zh-CN"/>
              </w:rPr>
            </w:pPr>
            <w:r>
              <w:rPr>
                <w:rFonts w:cs="Times New Roman" w:asciiTheme="minorEastAsia" w:hAnsiTheme="minorEastAsia"/>
                <w:sz w:val="24"/>
                <w:lang w:eastAsia="zh-CN"/>
              </w:rPr>
              <w:t>动态检测范围要求：设备动态检测范围需达到</w:t>
            </w:r>
            <w:r>
              <w:rPr>
                <w:rFonts w:hint="eastAsia" w:cs="Times New Roman" w:asciiTheme="minorEastAsia" w:hAnsiTheme="minorEastAsia"/>
                <w:sz w:val="24"/>
                <w:lang w:eastAsia="zh-CN"/>
              </w:rPr>
              <w:t>5</w:t>
            </w:r>
            <w:r>
              <w:rPr>
                <w:rFonts w:cs="Times New Roman" w:asciiTheme="minorEastAsia" w:hAnsiTheme="minorEastAsia"/>
                <w:sz w:val="24"/>
                <w:lang w:eastAsia="zh-CN"/>
              </w:rPr>
              <w:t>个数量级及以上，具备宽浓度范围的监测能力，可灵活适配不同浓度梯度的VOCs监测场景</w:t>
            </w:r>
            <w:r>
              <w:rPr>
                <w:rFonts w:hint="eastAsia" w:cs="Times New Roman" w:asciiTheme="minorEastAsia" w:hAnsiTheme="minorEastAsia"/>
                <w:sz w:val="24"/>
                <w:lang w:eastAsia="zh-CN"/>
              </w:rPr>
              <w:t>；</w:t>
            </w:r>
          </w:p>
          <w:p w14:paraId="4678746F">
            <w:pPr>
              <w:widowControl w:val="0"/>
              <w:numPr>
                <w:ilvl w:val="0"/>
                <w:numId w:val="1"/>
              </w:numPr>
              <w:kinsoku/>
              <w:adjustRightInd/>
              <w:snapToGrid/>
              <w:spacing w:line="400" w:lineRule="exact"/>
              <w:ind w:left="0" w:firstLine="0"/>
              <w:jc w:val="both"/>
              <w:textAlignment w:val="auto"/>
              <w:rPr>
                <w:rFonts w:cs="Times New Roman" w:asciiTheme="minorEastAsia" w:hAnsiTheme="minorEastAsia"/>
                <w:sz w:val="24"/>
                <w:lang w:eastAsia="zh-CN"/>
              </w:rPr>
            </w:pPr>
            <w:r>
              <w:rPr>
                <w:rFonts w:cs="Times New Roman" w:asciiTheme="minorEastAsia" w:hAnsiTheme="minorEastAsia"/>
                <w:sz w:val="24"/>
                <w:lang w:eastAsia="zh-CN"/>
              </w:rPr>
              <w:t>质子转移反应区压强调节设计</w:t>
            </w:r>
            <w:r>
              <w:rPr>
                <w:rFonts w:hint="eastAsia" w:cs="Times New Roman" w:asciiTheme="minorEastAsia" w:hAnsiTheme="minorEastAsia"/>
                <w:sz w:val="24"/>
                <w:lang w:eastAsia="zh-CN"/>
              </w:rPr>
              <w:t>：质子转移反应区压强调节采用独立的真空泵装置（与质谱的前级泵和分子泵独立），避免真空返流影响，延长质谱前级泵的使用寿命；</w:t>
            </w:r>
          </w:p>
          <w:p w14:paraId="1617A825">
            <w:pPr>
              <w:widowControl w:val="0"/>
              <w:kinsoku/>
              <w:adjustRightInd/>
              <w:snapToGrid/>
              <w:spacing w:line="400" w:lineRule="exact"/>
              <w:jc w:val="both"/>
              <w:textAlignment w:val="auto"/>
              <w:rPr>
                <w:rFonts w:cs="Times New Roman" w:asciiTheme="minorEastAsia" w:hAnsiTheme="minorEastAsia"/>
                <w:sz w:val="24"/>
                <w:lang w:eastAsia="zh-CN"/>
              </w:rPr>
            </w:pPr>
            <w:r>
              <w:rPr>
                <w:rFonts w:hint="eastAsia" w:cs="Times New Roman" w:asciiTheme="minorEastAsia" w:hAnsiTheme="minorEastAsia"/>
                <w:sz w:val="24"/>
                <w:lang w:eastAsia="zh-CN"/>
              </w:rPr>
              <w:t>（10）气样引流装置</w:t>
            </w:r>
            <w:r>
              <w:rPr>
                <w:rFonts w:cs="Times New Roman" w:asciiTheme="minorEastAsia" w:hAnsiTheme="minorEastAsia"/>
                <w:sz w:val="24"/>
                <w:lang w:eastAsia="zh-CN"/>
              </w:rPr>
              <w:t>技术要求</w:t>
            </w:r>
            <w:r>
              <w:rPr>
                <w:rFonts w:hint="eastAsia" w:cs="Times New Roman" w:asciiTheme="minorEastAsia" w:hAnsiTheme="minorEastAsia"/>
                <w:sz w:val="24"/>
                <w:lang w:eastAsia="zh-CN"/>
              </w:rPr>
              <w:t>：</w:t>
            </w:r>
            <w:r>
              <w:rPr>
                <w:rFonts w:cs="Times New Roman" w:asciiTheme="minorEastAsia" w:hAnsiTheme="minorEastAsia"/>
                <w:sz w:val="24"/>
                <w:lang w:eastAsia="zh-CN"/>
              </w:rPr>
              <w:t>采用24V安全电压供电，杜绝高压供电带来的安全隐患</w:t>
            </w:r>
            <w:r>
              <w:rPr>
                <w:rFonts w:hint="eastAsia" w:cs="Times New Roman" w:asciiTheme="minorEastAsia" w:hAnsiTheme="minorEastAsia"/>
                <w:sz w:val="24"/>
                <w:lang w:eastAsia="zh-CN"/>
              </w:rPr>
              <w:t>，</w:t>
            </w:r>
            <w:r>
              <w:rPr>
                <w:rFonts w:cs="Times New Roman" w:asciiTheme="minorEastAsia" w:hAnsiTheme="minorEastAsia"/>
                <w:sz w:val="24"/>
                <w:lang w:eastAsia="zh-CN"/>
              </w:rPr>
              <w:t>引流流速需不低于3L/min，确保气样能够快速、稳定地引入检测系统</w:t>
            </w:r>
            <w:r>
              <w:rPr>
                <w:rFonts w:hint="eastAsia" w:cs="Times New Roman" w:asciiTheme="minorEastAsia" w:hAnsiTheme="minorEastAsia"/>
                <w:sz w:val="24"/>
                <w:lang w:eastAsia="zh-CN"/>
              </w:rPr>
              <w:t>，</w:t>
            </w:r>
            <w:r>
              <w:rPr>
                <w:rFonts w:cs="Times New Roman" w:asciiTheme="minorEastAsia" w:hAnsiTheme="minorEastAsia"/>
                <w:sz w:val="24"/>
                <w:lang w:eastAsia="zh-CN"/>
              </w:rPr>
              <w:t>引流流路需采用惰性化材质，避免材质吸附气样组分</w:t>
            </w:r>
            <w:r>
              <w:rPr>
                <w:rFonts w:hint="eastAsia" w:cs="Times New Roman" w:asciiTheme="minorEastAsia" w:hAnsiTheme="minorEastAsia"/>
                <w:sz w:val="24"/>
                <w:lang w:eastAsia="zh-CN"/>
              </w:rPr>
              <w:t>；</w:t>
            </w:r>
            <w:r>
              <w:rPr>
                <w:rFonts w:cs="Times New Roman" w:asciiTheme="minorEastAsia" w:hAnsiTheme="minorEastAsia"/>
                <w:sz w:val="24"/>
                <w:lang w:eastAsia="zh-CN"/>
              </w:rPr>
              <w:t>经引流装置的气样采用被动式引入检测仪器，保障监测数据能够真实反映环境中VOCs的实际浓度</w:t>
            </w:r>
            <w:r>
              <w:rPr>
                <w:rFonts w:hint="eastAsia" w:cs="Times New Roman" w:asciiTheme="minorEastAsia" w:hAnsiTheme="minorEastAsia"/>
                <w:sz w:val="24"/>
                <w:lang w:eastAsia="zh-CN"/>
              </w:rPr>
              <w:t>；</w:t>
            </w:r>
          </w:p>
          <w:p w14:paraId="249A5F1F">
            <w:pPr>
              <w:widowControl w:val="0"/>
              <w:kinsoku/>
              <w:adjustRightInd/>
              <w:snapToGrid/>
              <w:spacing w:line="400" w:lineRule="exact"/>
              <w:jc w:val="both"/>
              <w:textAlignment w:val="auto"/>
              <w:rPr>
                <w:rFonts w:cs="Times New Roman" w:asciiTheme="minorEastAsia" w:hAnsiTheme="minorEastAsia"/>
                <w:sz w:val="24"/>
                <w:lang w:eastAsia="zh-CN"/>
              </w:rPr>
            </w:pPr>
            <w:r>
              <w:rPr>
                <w:rFonts w:hint="eastAsia" w:cs="Times New Roman" w:asciiTheme="minorEastAsia" w:hAnsiTheme="minorEastAsia"/>
                <w:sz w:val="24"/>
                <w:lang w:eastAsia="zh-CN"/>
              </w:rPr>
              <w:t>（11）</w:t>
            </w:r>
            <w:r>
              <w:rPr>
                <w:rFonts w:cs="Times New Roman" w:asciiTheme="minorEastAsia" w:hAnsiTheme="minorEastAsia"/>
                <w:sz w:val="24"/>
                <w:lang w:eastAsia="zh-CN"/>
              </w:rPr>
              <w:t>设备运行稳定性标准：设备在连续24小时不间断运行的工况下，运行稳定性误差需≤10%</w:t>
            </w:r>
            <w:r>
              <w:rPr>
                <w:rFonts w:hint="eastAsia" w:cs="Times New Roman" w:asciiTheme="minorEastAsia" w:hAnsiTheme="minorEastAsia"/>
                <w:sz w:val="24"/>
                <w:lang w:eastAsia="zh-CN"/>
              </w:rPr>
              <w:t>；</w:t>
            </w:r>
          </w:p>
          <w:p w14:paraId="513FED45">
            <w:pPr>
              <w:widowControl w:val="0"/>
              <w:kinsoku/>
              <w:adjustRightInd/>
              <w:snapToGrid/>
              <w:spacing w:line="400" w:lineRule="exact"/>
              <w:jc w:val="both"/>
              <w:textAlignment w:val="auto"/>
              <w:rPr>
                <w:rFonts w:hint="eastAsia" w:cs="Times New Roman" w:asciiTheme="minorEastAsia" w:hAnsiTheme="minorEastAsia"/>
                <w:color w:val="auto"/>
                <w:sz w:val="24"/>
                <w:highlight w:val="none"/>
                <w:lang w:eastAsia="zh-CN"/>
              </w:rPr>
            </w:pPr>
            <w:r>
              <w:rPr>
                <w:rFonts w:hint="eastAsia" w:cs="Times New Roman" w:asciiTheme="minorEastAsia" w:hAnsiTheme="minorEastAsia"/>
                <w:sz w:val="24"/>
                <w:lang w:eastAsia="zh-CN"/>
              </w:rPr>
              <w:t>（12）</w:t>
            </w:r>
            <w:r>
              <w:rPr>
                <w:rFonts w:cs="Times New Roman" w:asciiTheme="minorEastAsia" w:hAnsiTheme="minorEastAsia"/>
                <w:sz w:val="24"/>
                <w:lang w:eastAsia="zh-CN"/>
              </w:rPr>
              <w:t>检测重复性要求：以甲苯为标准检测对象，设备多次检</w:t>
            </w:r>
            <w:r>
              <w:rPr>
                <w:rFonts w:cs="Times New Roman" w:asciiTheme="minorEastAsia" w:hAnsiTheme="minorEastAsia"/>
                <w:color w:val="auto"/>
                <w:sz w:val="24"/>
                <w:highlight w:val="none"/>
                <w:lang w:eastAsia="zh-CN"/>
              </w:rPr>
              <w:t>测的重复性误差需≤10%</w:t>
            </w:r>
            <w:r>
              <w:rPr>
                <w:rFonts w:hint="eastAsia" w:cs="Times New Roman" w:asciiTheme="minorEastAsia" w:hAnsiTheme="minorEastAsia"/>
                <w:color w:val="auto"/>
                <w:sz w:val="24"/>
                <w:highlight w:val="none"/>
                <w:lang w:eastAsia="zh-CN"/>
              </w:rPr>
              <w:t>；</w:t>
            </w:r>
          </w:p>
          <w:p w14:paraId="4E3D9118">
            <w:pPr>
              <w:pStyle w:val="2"/>
              <w:widowControl w:val="0"/>
              <w:jc w:val="both"/>
              <w:rPr>
                <w:lang w:eastAsia="zh-CN"/>
              </w:rPr>
            </w:pPr>
            <w:r>
              <w:rPr>
                <w:rFonts w:hint="eastAsia" w:cs="Times New Roman" w:asciiTheme="minorEastAsia" w:hAnsiTheme="minorEastAsia"/>
                <w:color w:val="auto"/>
                <w:sz w:val="24"/>
                <w:highlight w:val="none"/>
                <w:lang w:val="en-US" w:eastAsia="zh-CN"/>
              </w:rPr>
              <w:t>(13</w:t>
            </w:r>
            <w:r>
              <w:rPr>
                <w:rFonts w:hint="eastAsia" w:ascii="宋体" w:hAnsi="宋体" w:eastAsia="宋体" w:cs="宋体"/>
                <w:color w:val="auto"/>
                <w:sz w:val="24"/>
                <w:szCs w:val="24"/>
                <w:highlight w:val="none"/>
                <w:lang w:val="en-US" w:eastAsia="zh-CN"/>
              </w:rPr>
              <w:t>)质量分辨率要求：质量分辨率≥300 FWHM。</w:t>
            </w:r>
          </w:p>
        </w:tc>
        <w:tc>
          <w:tcPr>
            <w:tcW w:w="426" w:type="dxa"/>
            <w:vAlign w:val="center"/>
          </w:tcPr>
          <w:p w14:paraId="1C7E5512">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套</w:t>
            </w:r>
          </w:p>
        </w:tc>
        <w:tc>
          <w:tcPr>
            <w:tcW w:w="682" w:type="dxa"/>
            <w:vAlign w:val="center"/>
          </w:tcPr>
          <w:p w14:paraId="359267AF">
            <w:pPr>
              <w:widowControl w:val="0"/>
              <w:kinsoku/>
              <w:adjustRightInd/>
              <w:snapToGrid/>
              <w:spacing w:line="400" w:lineRule="exact"/>
              <w:jc w:val="center"/>
              <w:textAlignment w:val="auto"/>
              <w:rPr>
                <w:rFonts w:asciiTheme="minorEastAsia" w:hAnsiTheme="minorEastAsia" w:cstheme="majorEastAsia"/>
                <w:sz w:val="24"/>
              </w:rPr>
            </w:pPr>
            <w:r>
              <w:rPr>
                <w:rFonts w:hint="eastAsia" w:asciiTheme="minorEastAsia" w:hAnsiTheme="minorEastAsia" w:cstheme="majorEastAsia"/>
                <w:sz w:val="24"/>
              </w:rPr>
              <w:t>1</w:t>
            </w:r>
          </w:p>
        </w:tc>
      </w:tr>
      <w:tr w14:paraId="678FE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vAlign w:val="center"/>
          </w:tcPr>
          <w:p w14:paraId="44049B58">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2</w:t>
            </w:r>
          </w:p>
        </w:tc>
        <w:tc>
          <w:tcPr>
            <w:tcW w:w="849" w:type="dxa"/>
            <w:vAlign w:val="center"/>
          </w:tcPr>
          <w:p w14:paraId="7FC85715">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动态稀释仪</w:t>
            </w:r>
          </w:p>
        </w:tc>
        <w:tc>
          <w:tcPr>
            <w:tcW w:w="6804" w:type="dxa"/>
            <w:vAlign w:val="center"/>
          </w:tcPr>
          <w:p w14:paraId="43C1B1D8">
            <w:pPr>
              <w:widowControl w:val="0"/>
              <w:kinsoku/>
              <w:adjustRightInd/>
              <w:snapToGrid/>
              <w:spacing w:line="400" w:lineRule="exact"/>
              <w:ind w:firstLine="480" w:firstLineChars="200"/>
              <w:jc w:val="left"/>
              <w:textAlignment w:val="auto"/>
              <w:rPr>
                <w:rFonts w:hint="eastAsia" w:cs="Times New Roman" w:asciiTheme="minorEastAsia" w:hAnsiTheme="minorEastAsia" w:eastAsiaTheme="minorEastAsia"/>
                <w:sz w:val="24"/>
                <w:lang w:eastAsia="zh-CN"/>
              </w:rPr>
            </w:pPr>
            <w:r>
              <w:rPr>
                <w:rFonts w:cs="Times New Roman" w:asciiTheme="minorEastAsia" w:hAnsiTheme="minorEastAsia"/>
                <w:sz w:val="24"/>
                <w:lang w:eastAsia="zh-CN"/>
              </w:rPr>
              <w:t>VOCs分析专用动态校准仪采用高精度质量流量控制器控制零气和标气两个气路，输出不同比例流量，从而实现各种气体浓度的动态配制</w:t>
            </w:r>
            <w:r>
              <w:rPr>
                <w:rFonts w:hint="eastAsia" w:cs="Times New Roman" w:asciiTheme="minorEastAsia" w:hAnsiTheme="minorEastAsia"/>
                <w:sz w:val="24"/>
                <w:lang w:eastAsia="zh-CN"/>
              </w:rPr>
              <w:t>；</w:t>
            </w:r>
          </w:p>
          <w:p w14:paraId="78D096FD">
            <w:pPr>
              <w:widowControl w:val="0"/>
              <w:kinsoku/>
              <w:adjustRightInd/>
              <w:snapToGrid/>
              <w:spacing w:line="400" w:lineRule="exact"/>
              <w:jc w:val="left"/>
              <w:textAlignment w:val="auto"/>
              <w:rPr>
                <w:rFonts w:cs="Times New Roman" w:asciiTheme="minorEastAsia" w:hAnsiTheme="minorEastAsia"/>
                <w:sz w:val="24"/>
                <w:lang w:eastAsia="zh-CN"/>
              </w:rPr>
            </w:pPr>
            <w:r>
              <w:rPr>
                <w:rFonts w:cs="Times New Roman" w:asciiTheme="minorEastAsia" w:hAnsiTheme="minorEastAsia"/>
                <w:sz w:val="24"/>
                <w:lang w:eastAsia="zh-CN"/>
              </w:rPr>
              <w:t>(1)</w:t>
            </w:r>
            <w:r>
              <w:rPr>
                <w:rFonts w:hint="eastAsia" w:cs="Times New Roman" w:asciiTheme="minorEastAsia" w:hAnsiTheme="minorEastAsia"/>
                <w:sz w:val="24"/>
                <w:lang w:eastAsia="zh-CN"/>
              </w:rPr>
              <w:t>气体混合区域恒压，采用电子压力控制，控制压力范围：</w:t>
            </w:r>
            <w:r>
              <w:rPr>
                <w:rFonts w:cs="Times New Roman" w:asciiTheme="minorEastAsia" w:hAnsiTheme="minorEastAsia"/>
                <w:sz w:val="24"/>
                <w:lang w:eastAsia="zh-CN"/>
              </w:rPr>
              <w:t>0~300kPa</w:t>
            </w:r>
            <w:r>
              <w:rPr>
                <w:rFonts w:hint="eastAsia" w:cs="Times New Roman" w:asciiTheme="minorEastAsia" w:hAnsiTheme="minorEastAsia"/>
                <w:sz w:val="24"/>
                <w:lang w:eastAsia="zh-CN"/>
              </w:rPr>
              <w:t>，精度小于</w:t>
            </w:r>
            <w:r>
              <w:rPr>
                <w:rFonts w:cs="Times New Roman" w:asciiTheme="minorEastAsia" w:hAnsiTheme="minorEastAsia"/>
                <w:sz w:val="24"/>
                <w:lang w:eastAsia="zh-CN"/>
              </w:rPr>
              <w:t>±0.2 kPa</w:t>
            </w:r>
            <w:r>
              <w:rPr>
                <w:rFonts w:hint="eastAsia" w:cs="Times New Roman" w:asciiTheme="minorEastAsia" w:hAnsiTheme="minorEastAsia"/>
                <w:sz w:val="24"/>
                <w:lang w:eastAsia="zh-CN"/>
              </w:rPr>
              <w:t>；</w:t>
            </w:r>
          </w:p>
          <w:p w14:paraId="753D5AD9">
            <w:pPr>
              <w:widowControl w:val="0"/>
              <w:kinsoku/>
              <w:adjustRightInd/>
              <w:snapToGrid/>
              <w:spacing w:line="400" w:lineRule="exact"/>
              <w:jc w:val="left"/>
              <w:textAlignment w:val="auto"/>
              <w:rPr>
                <w:rFonts w:cs="Times New Roman" w:asciiTheme="minorEastAsia" w:hAnsiTheme="minorEastAsia"/>
                <w:sz w:val="24"/>
                <w:lang w:eastAsia="zh-CN"/>
              </w:rPr>
            </w:pPr>
            <w:r>
              <w:rPr>
                <w:rFonts w:cs="Times New Roman" w:asciiTheme="minorEastAsia" w:hAnsiTheme="minorEastAsia"/>
                <w:sz w:val="24"/>
                <w:lang w:eastAsia="zh-CN"/>
              </w:rPr>
              <w:t>(2)</w:t>
            </w:r>
            <w:r>
              <w:rPr>
                <w:rFonts w:hint="eastAsia" w:cs="Times New Roman" w:asciiTheme="minorEastAsia" w:hAnsiTheme="minorEastAsia"/>
                <w:sz w:val="24"/>
                <w:lang w:eastAsia="zh-CN"/>
              </w:rPr>
              <w:t>具有温控功能，混合区域温度可</w:t>
            </w:r>
            <w:r>
              <w:rPr>
                <w:rFonts w:cs="Times New Roman" w:asciiTheme="minorEastAsia" w:hAnsiTheme="minorEastAsia"/>
                <w:sz w:val="24"/>
                <w:lang w:eastAsia="zh-CN"/>
              </w:rPr>
              <w:t>0~50℃</w:t>
            </w:r>
            <w:r>
              <w:rPr>
                <w:rFonts w:hint="eastAsia" w:cs="Times New Roman" w:asciiTheme="minorEastAsia" w:hAnsiTheme="minorEastAsia"/>
                <w:sz w:val="24"/>
                <w:lang w:eastAsia="zh-CN"/>
              </w:rPr>
              <w:t>设置，控制精度</w:t>
            </w:r>
            <w:r>
              <w:rPr>
                <w:rFonts w:cs="Times New Roman" w:asciiTheme="minorEastAsia" w:hAnsiTheme="minorEastAsia"/>
                <w:sz w:val="24"/>
                <w:lang w:eastAsia="zh-CN"/>
              </w:rPr>
              <w:t>±1℃</w:t>
            </w:r>
            <w:r>
              <w:rPr>
                <w:rFonts w:hint="eastAsia" w:cs="Times New Roman" w:asciiTheme="minorEastAsia" w:hAnsiTheme="minorEastAsia"/>
                <w:sz w:val="24"/>
                <w:lang w:eastAsia="zh-CN"/>
              </w:rPr>
              <w:t>；质量流量传感器阀座温度可</w:t>
            </w:r>
            <w:r>
              <w:rPr>
                <w:rFonts w:cs="Times New Roman" w:asciiTheme="minorEastAsia" w:hAnsiTheme="minorEastAsia"/>
                <w:sz w:val="24"/>
                <w:lang w:eastAsia="zh-CN"/>
              </w:rPr>
              <w:t>0~45℃</w:t>
            </w:r>
            <w:r>
              <w:rPr>
                <w:rFonts w:hint="eastAsia" w:cs="Times New Roman" w:asciiTheme="minorEastAsia" w:hAnsiTheme="minorEastAsia"/>
                <w:sz w:val="24"/>
                <w:lang w:eastAsia="zh-CN"/>
              </w:rPr>
              <w:t>温度设置，控制精度</w:t>
            </w:r>
            <w:r>
              <w:rPr>
                <w:rFonts w:cs="Times New Roman" w:asciiTheme="minorEastAsia" w:hAnsiTheme="minorEastAsia"/>
                <w:sz w:val="24"/>
                <w:lang w:eastAsia="zh-CN"/>
              </w:rPr>
              <w:t>±1℃</w:t>
            </w:r>
            <w:r>
              <w:rPr>
                <w:rFonts w:hint="eastAsia" w:cs="Times New Roman" w:asciiTheme="minorEastAsia" w:hAnsiTheme="minorEastAsia"/>
                <w:sz w:val="24"/>
                <w:lang w:eastAsia="zh-CN"/>
              </w:rPr>
              <w:t>；</w:t>
            </w:r>
          </w:p>
          <w:p w14:paraId="4DD3293F">
            <w:pPr>
              <w:widowControl w:val="0"/>
              <w:kinsoku/>
              <w:adjustRightInd/>
              <w:snapToGrid/>
              <w:spacing w:line="400" w:lineRule="exact"/>
              <w:jc w:val="left"/>
              <w:textAlignment w:val="auto"/>
              <w:rPr>
                <w:rFonts w:cs="Times New Roman" w:asciiTheme="minorEastAsia" w:hAnsiTheme="minorEastAsia"/>
                <w:sz w:val="24"/>
                <w:lang w:eastAsia="zh-CN"/>
              </w:rPr>
            </w:pPr>
            <w:r>
              <w:rPr>
                <w:rFonts w:cs="Times New Roman" w:asciiTheme="minorEastAsia" w:hAnsiTheme="minorEastAsia"/>
                <w:sz w:val="24"/>
                <w:lang w:eastAsia="zh-CN"/>
              </w:rPr>
              <w:t>(3)</w:t>
            </w:r>
            <w:r>
              <w:rPr>
                <w:rFonts w:hint="eastAsia" w:cs="Times New Roman" w:asciiTheme="minorEastAsia" w:hAnsiTheme="minorEastAsia"/>
                <w:sz w:val="24"/>
                <w:lang w:eastAsia="zh-CN"/>
              </w:rPr>
              <w:t>稀释比率：</w:t>
            </w:r>
            <w:r>
              <w:rPr>
                <w:rFonts w:cs="Times New Roman" w:asciiTheme="minorEastAsia" w:hAnsiTheme="minorEastAsia"/>
                <w:sz w:val="24"/>
                <w:lang w:eastAsia="zh-CN"/>
              </w:rPr>
              <w:t>1/10</w:t>
            </w:r>
            <w:r>
              <w:rPr>
                <w:rFonts w:hint="eastAsia" w:cs="Times New Roman" w:asciiTheme="minorEastAsia" w:hAnsiTheme="minorEastAsia"/>
                <w:sz w:val="24"/>
                <w:lang w:eastAsia="zh-CN"/>
              </w:rPr>
              <w:t>～</w:t>
            </w:r>
            <w:r>
              <w:rPr>
                <w:rFonts w:cs="Times New Roman" w:asciiTheme="minorEastAsia" w:hAnsiTheme="minorEastAsia"/>
                <w:sz w:val="24"/>
                <w:lang w:eastAsia="zh-CN"/>
              </w:rPr>
              <w:t>1/5000</w:t>
            </w:r>
            <w:r>
              <w:rPr>
                <w:rFonts w:hint="eastAsia" w:cs="Times New Roman" w:asciiTheme="minorEastAsia" w:hAnsiTheme="minorEastAsia"/>
                <w:sz w:val="24"/>
                <w:lang w:eastAsia="zh-CN"/>
              </w:rPr>
              <w:t>；</w:t>
            </w:r>
          </w:p>
          <w:p w14:paraId="38E23DD0">
            <w:pPr>
              <w:widowControl w:val="0"/>
              <w:kinsoku/>
              <w:adjustRightInd/>
              <w:snapToGrid/>
              <w:spacing w:line="400" w:lineRule="exact"/>
              <w:jc w:val="left"/>
              <w:textAlignment w:val="auto"/>
              <w:rPr>
                <w:rFonts w:cs="Times New Roman" w:asciiTheme="minorEastAsia" w:hAnsiTheme="minorEastAsia"/>
                <w:sz w:val="24"/>
                <w:lang w:eastAsia="zh-CN"/>
              </w:rPr>
            </w:pPr>
            <w:r>
              <w:rPr>
                <w:rFonts w:cs="Times New Roman" w:asciiTheme="minorEastAsia" w:hAnsiTheme="minorEastAsia"/>
                <w:sz w:val="24"/>
                <w:lang w:eastAsia="zh-CN"/>
              </w:rPr>
              <w:t>(4)</w:t>
            </w:r>
            <w:r>
              <w:rPr>
                <w:rFonts w:hint="eastAsia" w:cs="Times New Roman" w:asciiTheme="minorEastAsia" w:hAnsiTheme="minorEastAsia"/>
                <w:sz w:val="24"/>
                <w:lang w:eastAsia="zh-CN"/>
              </w:rPr>
              <w:t>流量测量精度：</w:t>
            </w:r>
            <w:r>
              <w:rPr>
                <w:rFonts w:cs="Times New Roman" w:asciiTheme="minorEastAsia" w:hAnsiTheme="minorEastAsia"/>
                <w:sz w:val="24"/>
                <w:lang w:eastAsia="zh-CN"/>
              </w:rPr>
              <w:t>±1%</w:t>
            </w:r>
            <w:r>
              <w:rPr>
                <w:rFonts w:hint="eastAsia" w:cs="Times New Roman" w:asciiTheme="minorEastAsia" w:hAnsiTheme="minorEastAsia"/>
                <w:sz w:val="24"/>
                <w:lang w:eastAsia="zh-CN"/>
              </w:rPr>
              <w:t>满刻度；</w:t>
            </w:r>
          </w:p>
          <w:p w14:paraId="5A6A2BED">
            <w:pPr>
              <w:widowControl w:val="0"/>
              <w:kinsoku/>
              <w:adjustRightInd/>
              <w:snapToGrid/>
              <w:spacing w:line="400" w:lineRule="exact"/>
              <w:jc w:val="left"/>
              <w:textAlignment w:val="auto"/>
              <w:rPr>
                <w:rFonts w:cs="Times New Roman" w:asciiTheme="minorEastAsia" w:hAnsiTheme="minorEastAsia"/>
                <w:sz w:val="24"/>
                <w:lang w:eastAsia="zh-CN"/>
              </w:rPr>
            </w:pPr>
            <w:r>
              <w:rPr>
                <w:rFonts w:cs="Times New Roman" w:asciiTheme="minorEastAsia" w:hAnsiTheme="minorEastAsia"/>
                <w:sz w:val="24"/>
                <w:lang w:eastAsia="zh-CN"/>
              </w:rPr>
              <w:t>(5)</w:t>
            </w:r>
            <w:r>
              <w:rPr>
                <w:rFonts w:hint="eastAsia" w:cs="Times New Roman" w:asciiTheme="minorEastAsia" w:hAnsiTheme="minorEastAsia"/>
                <w:sz w:val="24"/>
                <w:lang w:eastAsia="zh-CN"/>
              </w:rPr>
              <w:t>流量控制重复性：</w:t>
            </w:r>
            <w:r>
              <w:rPr>
                <w:rFonts w:cs="Times New Roman" w:asciiTheme="minorEastAsia" w:hAnsiTheme="minorEastAsia"/>
                <w:sz w:val="24"/>
                <w:lang w:eastAsia="zh-CN"/>
              </w:rPr>
              <w:t>±0.2%</w:t>
            </w:r>
            <w:r>
              <w:rPr>
                <w:rFonts w:hint="eastAsia" w:cs="Times New Roman" w:asciiTheme="minorEastAsia" w:hAnsiTheme="minorEastAsia"/>
                <w:sz w:val="24"/>
                <w:lang w:eastAsia="zh-CN"/>
              </w:rPr>
              <w:t>满刻度；</w:t>
            </w:r>
          </w:p>
          <w:p w14:paraId="36241B5C">
            <w:pPr>
              <w:widowControl w:val="0"/>
              <w:kinsoku/>
              <w:adjustRightInd/>
              <w:snapToGrid/>
              <w:spacing w:line="400" w:lineRule="exact"/>
              <w:jc w:val="left"/>
              <w:textAlignment w:val="auto"/>
              <w:rPr>
                <w:rFonts w:cs="Times New Roman" w:asciiTheme="minorEastAsia" w:hAnsiTheme="minorEastAsia"/>
                <w:sz w:val="24"/>
                <w:lang w:eastAsia="zh-CN"/>
              </w:rPr>
            </w:pPr>
            <w:r>
              <w:rPr>
                <w:rFonts w:cs="Times New Roman" w:asciiTheme="minorEastAsia" w:hAnsiTheme="minorEastAsia"/>
                <w:sz w:val="24"/>
                <w:lang w:eastAsia="zh-CN"/>
              </w:rPr>
              <w:t>(6)</w:t>
            </w:r>
            <w:r>
              <w:rPr>
                <w:rFonts w:hint="eastAsia" w:cs="Times New Roman" w:asciiTheme="minorEastAsia" w:hAnsiTheme="minorEastAsia"/>
                <w:sz w:val="24"/>
                <w:lang w:eastAsia="zh-CN"/>
              </w:rPr>
              <w:t>流量控制线性度：</w:t>
            </w:r>
            <w:r>
              <w:rPr>
                <w:rFonts w:cs="Times New Roman" w:asciiTheme="minorEastAsia" w:hAnsiTheme="minorEastAsia"/>
                <w:sz w:val="24"/>
                <w:lang w:eastAsia="zh-CN"/>
              </w:rPr>
              <w:t>±0.5%</w:t>
            </w:r>
            <w:r>
              <w:rPr>
                <w:rFonts w:hint="eastAsia" w:cs="Times New Roman" w:asciiTheme="minorEastAsia" w:hAnsiTheme="minorEastAsia"/>
                <w:sz w:val="24"/>
                <w:lang w:eastAsia="zh-CN"/>
              </w:rPr>
              <w:t>满刻度；</w:t>
            </w:r>
          </w:p>
          <w:p w14:paraId="223A605B">
            <w:pPr>
              <w:widowControl w:val="0"/>
              <w:kinsoku/>
              <w:adjustRightInd/>
              <w:snapToGrid/>
              <w:spacing w:line="400" w:lineRule="exact"/>
              <w:jc w:val="left"/>
              <w:textAlignment w:val="auto"/>
              <w:rPr>
                <w:rFonts w:hint="eastAsia" w:cs="宋体" w:asciiTheme="minorEastAsia" w:hAnsiTheme="minorEastAsia" w:eastAsiaTheme="minorEastAsia"/>
                <w:sz w:val="24"/>
                <w:lang w:eastAsia="zh-CN"/>
              </w:rPr>
            </w:pPr>
            <w:r>
              <w:rPr>
                <w:rFonts w:cs="Times New Roman" w:asciiTheme="minorEastAsia" w:hAnsiTheme="minorEastAsia"/>
                <w:sz w:val="24"/>
                <w:lang w:eastAsia="zh-CN"/>
              </w:rPr>
              <w:t>(7)</w:t>
            </w:r>
            <w:r>
              <w:rPr>
                <w:rFonts w:hint="eastAsia" w:cs="Times New Roman" w:asciiTheme="minorEastAsia" w:hAnsiTheme="minorEastAsia"/>
                <w:sz w:val="24"/>
                <w:lang w:eastAsia="zh-CN"/>
              </w:rPr>
              <w:t>具有高清屏显示，实时显示用户软件界面、系统设置</w:t>
            </w:r>
            <w:r>
              <w:rPr>
                <w:rFonts w:cs="Times New Roman" w:asciiTheme="minorEastAsia" w:hAnsiTheme="minorEastAsia"/>
                <w:sz w:val="24"/>
                <w:lang w:eastAsia="zh-CN"/>
              </w:rPr>
              <w:t>/</w:t>
            </w:r>
            <w:r>
              <w:rPr>
                <w:rFonts w:hint="eastAsia" w:cs="Times New Roman" w:asciiTheme="minorEastAsia" w:hAnsiTheme="minorEastAsia"/>
                <w:sz w:val="24"/>
                <w:lang w:eastAsia="zh-CN"/>
              </w:rPr>
              <w:t>故障</w:t>
            </w:r>
            <w:r>
              <w:rPr>
                <w:rFonts w:cs="Times New Roman" w:asciiTheme="minorEastAsia" w:hAnsiTheme="minorEastAsia"/>
                <w:sz w:val="24"/>
                <w:lang w:eastAsia="zh-CN"/>
              </w:rPr>
              <w:t>/</w:t>
            </w:r>
            <w:r>
              <w:rPr>
                <w:rFonts w:hint="eastAsia" w:cs="Times New Roman" w:asciiTheme="minorEastAsia" w:hAnsiTheme="minorEastAsia"/>
                <w:sz w:val="24"/>
                <w:lang w:eastAsia="zh-CN"/>
              </w:rPr>
              <w:t>报警信息等；</w:t>
            </w:r>
          </w:p>
        </w:tc>
        <w:tc>
          <w:tcPr>
            <w:tcW w:w="426" w:type="dxa"/>
            <w:vAlign w:val="center"/>
          </w:tcPr>
          <w:p w14:paraId="348F44EC">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台</w:t>
            </w:r>
          </w:p>
        </w:tc>
        <w:tc>
          <w:tcPr>
            <w:tcW w:w="682" w:type="dxa"/>
            <w:vAlign w:val="center"/>
          </w:tcPr>
          <w:p w14:paraId="7753DE9C">
            <w:pPr>
              <w:widowControl w:val="0"/>
              <w:kinsoku/>
              <w:adjustRightInd/>
              <w:snapToGrid/>
              <w:spacing w:line="400" w:lineRule="exact"/>
              <w:jc w:val="center"/>
              <w:textAlignment w:val="auto"/>
              <w:rPr>
                <w:rFonts w:asciiTheme="minorEastAsia" w:hAnsiTheme="minorEastAsia" w:cstheme="majorEastAsia"/>
                <w:sz w:val="24"/>
              </w:rPr>
            </w:pPr>
            <w:r>
              <w:rPr>
                <w:rFonts w:hint="eastAsia" w:asciiTheme="minorEastAsia" w:hAnsiTheme="minorEastAsia" w:cstheme="majorEastAsia"/>
                <w:sz w:val="24"/>
              </w:rPr>
              <w:t>1</w:t>
            </w:r>
          </w:p>
        </w:tc>
      </w:tr>
      <w:tr w14:paraId="6CD34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vAlign w:val="center"/>
          </w:tcPr>
          <w:p w14:paraId="17BB7B49">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3</w:t>
            </w:r>
          </w:p>
        </w:tc>
        <w:tc>
          <w:tcPr>
            <w:tcW w:w="849" w:type="dxa"/>
            <w:vAlign w:val="center"/>
          </w:tcPr>
          <w:p w14:paraId="0E755A44">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标气</w:t>
            </w:r>
          </w:p>
        </w:tc>
        <w:tc>
          <w:tcPr>
            <w:tcW w:w="6804" w:type="dxa"/>
            <w:vAlign w:val="center"/>
          </w:tcPr>
          <w:p w14:paraId="4714A5C4">
            <w:pPr>
              <w:widowControl w:val="0"/>
              <w:kinsoku/>
              <w:adjustRightInd/>
              <w:snapToGrid/>
              <w:spacing w:line="400" w:lineRule="exact"/>
              <w:jc w:val="left"/>
              <w:textAlignment w:val="auto"/>
              <w:rPr>
                <w:rFonts w:cs="宋体" w:asciiTheme="minorEastAsia" w:hAnsiTheme="minorEastAsia"/>
                <w:sz w:val="24"/>
                <w:lang w:eastAsia="zh-CN"/>
              </w:rPr>
            </w:pPr>
            <w:r>
              <w:rPr>
                <w:rFonts w:hint="eastAsia" w:cs="宋体" w:asciiTheme="minorEastAsia" w:hAnsiTheme="minorEastAsia"/>
                <w:sz w:val="24"/>
                <w:lang w:eastAsia="zh-CN"/>
              </w:rPr>
              <w:t>提供2年内使用的标气（规格：8L/瓶），与动态稀释仪搭配使用，应满足设备自身校准需求。</w:t>
            </w:r>
          </w:p>
        </w:tc>
        <w:tc>
          <w:tcPr>
            <w:tcW w:w="426" w:type="dxa"/>
            <w:vAlign w:val="center"/>
          </w:tcPr>
          <w:p w14:paraId="7E28197B">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项</w:t>
            </w:r>
          </w:p>
        </w:tc>
        <w:tc>
          <w:tcPr>
            <w:tcW w:w="682" w:type="dxa"/>
            <w:vAlign w:val="center"/>
          </w:tcPr>
          <w:p w14:paraId="6366763F">
            <w:pPr>
              <w:widowControl w:val="0"/>
              <w:kinsoku/>
              <w:adjustRightInd/>
              <w:snapToGrid/>
              <w:spacing w:line="400" w:lineRule="exact"/>
              <w:jc w:val="center"/>
              <w:textAlignment w:val="auto"/>
              <w:rPr>
                <w:rFonts w:hint="eastAsia" w:asciiTheme="minorEastAsia" w:hAnsiTheme="minorEastAsia" w:eastAsiaTheme="minorEastAsia" w:cstheme="majorEastAsia"/>
                <w:sz w:val="24"/>
                <w:lang w:eastAsia="zh-CN"/>
              </w:rPr>
            </w:pPr>
            <w:r>
              <w:rPr>
                <w:rFonts w:hint="eastAsia" w:asciiTheme="minorEastAsia" w:hAnsiTheme="minorEastAsia" w:cstheme="majorEastAsia"/>
                <w:sz w:val="24"/>
                <w:lang w:eastAsia="zh-CN"/>
              </w:rPr>
              <w:t>1</w:t>
            </w:r>
          </w:p>
        </w:tc>
      </w:tr>
      <w:tr w14:paraId="42F661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vAlign w:val="center"/>
          </w:tcPr>
          <w:p w14:paraId="000148E1">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4</w:t>
            </w:r>
          </w:p>
        </w:tc>
        <w:tc>
          <w:tcPr>
            <w:tcW w:w="849" w:type="dxa"/>
            <w:vAlign w:val="center"/>
          </w:tcPr>
          <w:p w14:paraId="4C558C05">
            <w:pPr>
              <w:widowControl w:val="0"/>
              <w:kinsoku/>
              <w:adjustRightInd/>
              <w:snapToGrid/>
              <w:spacing w:line="400" w:lineRule="exact"/>
              <w:jc w:val="center"/>
              <w:textAlignment w:val="auto"/>
              <w:rPr>
                <w:rFonts w:cs="宋体" w:asciiTheme="minorEastAsia" w:hAnsiTheme="minorEastAsia"/>
                <w:sz w:val="24"/>
              </w:rPr>
            </w:pPr>
            <w:r>
              <w:rPr>
                <w:rFonts w:hint="eastAsia" w:cs="宋体" w:asciiTheme="minorEastAsia" w:hAnsiTheme="minorEastAsia"/>
                <w:sz w:val="24"/>
              </w:rPr>
              <w:t>走航软件</w:t>
            </w:r>
          </w:p>
        </w:tc>
        <w:tc>
          <w:tcPr>
            <w:tcW w:w="6804" w:type="dxa"/>
            <w:vAlign w:val="center"/>
          </w:tcPr>
          <w:p w14:paraId="08E98313">
            <w:pPr>
              <w:widowControl w:val="0"/>
              <w:numPr>
                <w:ilvl w:val="2"/>
                <w:numId w:val="2"/>
              </w:numPr>
              <w:kinsoku/>
              <w:adjustRightInd/>
              <w:snapToGrid/>
              <w:spacing w:line="400" w:lineRule="exact"/>
              <w:ind w:left="0" w:firstLine="0"/>
              <w:jc w:val="left"/>
              <w:textAlignment w:val="auto"/>
              <w:rPr>
                <w:rFonts w:cs="宋体" w:asciiTheme="minorEastAsia" w:hAnsiTheme="minorEastAsia"/>
                <w:sz w:val="24"/>
                <w:lang w:eastAsia="zh-CN"/>
              </w:rPr>
            </w:pPr>
            <w:bookmarkStart w:id="0" w:name="OLE_LINK7"/>
            <w:r>
              <w:rPr>
                <w:rFonts w:cs="宋体" w:asciiTheme="minorEastAsia" w:hAnsiTheme="minorEastAsia"/>
                <w:sz w:val="24"/>
                <w:lang w:eastAsia="zh-CN"/>
              </w:rPr>
              <w:t>软件界面及实时监测功能：设备配套应用软件需采用全中文操作界面，适配国内操作人员使用习惯，降低操作难度、提升操作效率。软件</w:t>
            </w:r>
            <w:r>
              <w:rPr>
                <w:rFonts w:hint="eastAsia" w:cs="宋体" w:asciiTheme="minorEastAsia" w:hAnsiTheme="minorEastAsia"/>
                <w:sz w:val="24"/>
                <w:lang w:eastAsia="zh-CN"/>
              </w:rPr>
              <w:t>须具备</w:t>
            </w:r>
            <w:r>
              <w:rPr>
                <w:rFonts w:cs="宋体" w:asciiTheme="minorEastAsia" w:hAnsiTheme="minorEastAsia"/>
                <w:sz w:val="24"/>
                <w:lang w:eastAsia="zh-CN"/>
              </w:rPr>
              <w:t>实时在线积分功能，可精准完成VOCs各因子响应值的实时积分运算，并同步展示VOCs因子响应值随时间变化的实时趋势图，趋势图需清晰呈现浓度波动规律；同时支持界面自由切换，操作人员可根据监测工作需求，随时切换不同功能界面，灵活适配实时监测、数据查看、参数设置等不同操作场景。</w:t>
            </w:r>
          </w:p>
          <w:p w14:paraId="0156166B">
            <w:pPr>
              <w:widowControl w:val="0"/>
              <w:numPr>
                <w:ilvl w:val="2"/>
                <w:numId w:val="2"/>
              </w:numPr>
              <w:kinsoku/>
              <w:adjustRightInd/>
              <w:snapToGrid/>
              <w:spacing w:line="400" w:lineRule="exact"/>
              <w:ind w:left="0" w:firstLine="0"/>
              <w:jc w:val="left"/>
              <w:textAlignment w:val="auto"/>
              <w:rPr>
                <w:rFonts w:cs="宋体" w:asciiTheme="minorEastAsia" w:hAnsiTheme="minorEastAsia"/>
                <w:sz w:val="24"/>
                <w:lang w:eastAsia="zh-CN"/>
              </w:rPr>
            </w:pPr>
            <w:r>
              <w:rPr>
                <w:rFonts w:cs="宋体" w:asciiTheme="minorEastAsia" w:hAnsiTheme="minorEastAsia"/>
                <w:sz w:val="24"/>
                <w:lang w:eastAsia="zh-CN"/>
              </w:rPr>
              <w:t>仪器状态及系统参数显示功能：应用软件</w:t>
            </w:r>
            <w:r>
              <w:rPr>
                <w:rFonts w:hint="eastAsia" w:cs="宋体" w:asciiTheme="minorEastAsia" w:hAnsiTheme="minorEastAsia"/>
                <w:sz w:val="24"/>
                <w:lang w:eastAsia="zh-CN"/>
              </w:rPr>
              <w:t>须具备</w:t>
            </w:r>
            <w:r>
              <w:rPr>
                <w:rFonts w:cs="宋体" w:asciiTheme="minorEastAsia" w:hAnsiTheme="minorEastAsia"/>
                <w:sz w:val="24"/>
                <w:lang w:eastAsia="zh-CN"/>
              </w:rPr>
              <w:t>全面的仪器运行状态及系统参数实时显示能力，可清晰、准确呈现设备核心运行指标，包括但不限于离子源温度、传输区真空度、进样分流压强、TOF区电压等关键参数。通过该功能，操作人员可实时掌控仪器运行状态，及时发现运行异常并采取处置措施，保障设备连续、稳定运行，避免因参数异常导致监测数据失真。</w:t>
            </w:r>
          </w:p>
          <w:p w14:paraId="5EA6C848">
            <w:pPr>
              <w:widowControl w:val="0"/>
              <w:numPr>
                <w:ilvl w:val="2"/>
                <w:numId w:val="2"/>
              </w:numPr>
              <w:kinsoku/>
              <w:adjustRightInd/>
              <w:snapToGrid/>
              <w:spacing w:line="400" w:lineRule="exact"/>
              <w:ind w:left="0" w:firstLine="0"/>
              <w:jc w:val="left"/>
              <w:textAlignment w:val="auto"/>
              <w:rPr>
                <w:rFonts w:cs="宋体" w:asciiTheme="minorEastAsia" w:hAnsiTheme="minorEastAsia"/>
                <w:sz w:val="24"/>
                <w:lang w:eastAsia="zh-CN"/>
              </w:rPr>
            </w:pPr>
            <w:r>
              <w:rPr>
                <w:rFonts w:cs="宋体" w:asciiTheme="minorEastAsia" w:hAnsiTheme="minorEastAsia"/>
                <w:sz w:val="24"/>
                <w:lang w:eastAsia="zh-CN"/>
              </w:rPr>
              <w:t>数据处理及分析功能：软件需集成完整的全流程数据处理与分析功能，涵盖数据采集、数据整理分析、样品定性测定、样品定量测定、实时数据显示、谱库建立及谱库检索等核心功能。可实现监测数据的自动采集与快速处理，精准完成样品组分的定性识别与定量计算，实时同步显示监测结果，并支持谱库的自主建立与高效检索，满足VOCs监测数据的深度分析及应用需求。</w:t>
            </w:r>
          </w:p>
          <w:p w14:paraId="3F5E61F3">
            <w:pPr>
              <w:widowControl w:val="0"/>
              <w:numPr>
                <w:ilvl w:val="2"/>
                <w:numId w:val="2"/>
              </w:numPr>
              <w:kinsoku/>
              <w:adjustRightInd/>
              <w:snapToGrid/>
              <w:spacing w:line="400" w:lineRule="exact"/>
              <w:ind w:left="0" w:firstLine="0"/>
              <w:jc w:val="left"/>
              <w:textAlignment w:val="auto"/>
              <w:rPr>
                <w:rFonts w:cs="宋体" w:asciiTheme="minorEastAsia" w:hAnsiTheme="minorEastAsia"/>
                <w:sz w:val="24"/>
                <w:lang w:eastAsia="zh-CN"/>
              </w:rPr>
            </w:pPr>
            <w:r>
              <w:rPr>
                <w:rFonts w:cs="宋体" w:asciiTheme="minorEastAsia" w:hAnsiTheme="minorEastAsia"/>
                <w:sz w:val="24"/>
                <w:lang w:eastAsia="zh-CN"/>
              </w:rPr>
              <w:t>谱库检索及分析方法优化功能：应用软件需支持双重谱库检索模式，既可以检索标准质谱图库，满足常规VOCs组分的快速识别需求，也可检索操作人员自行建立的专属质谱图库，适配特殊监测场景下的组分识别。同时，操作人员可根据实际监测工作需求，自主设计、优化改进分析方法，并对优化后的分析方法进行保存归档，便于后续重复使用，提升监测工作的灵活性和针对性。</w:t>
            </w:r>
          </w:p>
          <w:p w14:paraId="22E08CE2">
            <w:pPr>
              <w:widowControl w:val="0"/>
              <w:numPr>
                <w:ilvl w:val="2"/>
                <w:numId w:val="2"/>
              </w:numPr>
              <w:kinsoku/>
              <w:adjustRightInd/>
              <w:snapToGrid/>
              <w:spacing w:line="400" w:lineRule="exact"/>
              <w:ind w:left="0" w:firstLine="0"/>
              <w:jc w:val="left"/>
              <w:textAlignment w:val="auto"/>
              <w:rPr>
                <w:rFonts w:cs="宋体" w:asciiTheme="minorEastAsia" w:hAnsiTheme="minorEastAsia"/>
                <w:sz w:val="24"/>
                <w:lang w:eastAsia="zh-CN"/>
              </w:rPr>
            </w:pPr>
            <w:r>
              <w:rPr>
                <w:rFonts w:cs="宋体" w:asciiTheme="minorEastAsia" w:hAnsiTheme="minorEastAsia"/>
                <w:sz w:val="24"/>
                <w:lang w:eastAsia="zh-CN"/>
              </w:rPr>
              <w:t>分屏展示及3D-GIS功能：软件</w:t>
            </w:r>
            <w:r>
              <w:rPr>
                <w:rFonts w:hint="eastAsia" w:cs="宋体" w:asciiTheme="minorEastAsia" w:hAnsiTheme="minorEastAsia"/>
                <w:sz w:val="24"/>
                <w:lang w:eastAsia="zh-CN"/>
              </w:rPr>
              <w:t>须具备</w:t>
            </w:r>
            <w:r>
              <w:rPr>
                <w:rFonts w:cs="宋体" w:asciiTheme="minorEastAsia" w:hAnsiTheme="minorEastAsia"/>
                <w:sz w:val="24"/>
                <w:lang w:eastAsia="zh-CN"/>
              </w:rPr>
              <w:t>专业的分屏展示功能，支持多窗格同步显示模式，可同时展示不少于4种不同走航因子的3D-GIS监测结果，清晰呈现各走航因子的空间分布特征、浓度梯度变化及空间分布规律。同时支持展示内容自由切换，操作人员可根据监测重点，随时切换不同走航因子的3D-GIS展示界面，便于全面、直观掌握区域内VOCs走航监测整体情况，为污染溯源、区域管控提供可视化支撑。</w:t>
            </w:r>
            <w:bookmarkEnd w:id="0"/>
          </w:p>
        </w:tc>
        <w:tc>
          <w:tcPr>
            <w:tcW w:w="426" w:type="dxa"/>
            <w:vAlign w:val="center"/>
          </w:tcPr>
          <w:p w14:paraId="1B897945">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套</w:t>
            </w:r>
          </w:p>
        </w:tc>
        <w:tc>
          <w:tcPr>
            <w:tcW w:w="682" w:type="dxa"/>
            <w:vAlign w:val="center"/>
          </w:tcPr>
          <w:p w14:paraId="03FE0444">
            <w:pPr>
              <w:widowControl w:val="0"/>
              <w:kinsoku/>
              <w:adjustRightInd/>
              <w:snapToGrid/>
              <w:spacing w:line="400" w:lineRule="exact"/>
              <w:jc w:val="center"/>
              <w:textAlignment w:val="auto"/>
              <w:rPr>
                <w:rFonts w:asciiTheme="minorEastAsia" w:hAnsiTheme="minorEastAsia" w:cstheme="majorEastAsia"/>
                <w:sz w:val="24"/>
              </w:rPr>
            </w:pPr>
            <w:r>
              <w:rPr>
                <w:rFonts w:hint="eastAsia" w:asciiTheme="minorEastAsia" w:hAnsiTheme="minorEastAsia" w:cstheme="majorEastAsia"/>
                <w:sz w:val="24"/>
              </w:rPr>
              <w:t>1</w:t>
            </w:r>
          </w:p>
        </w:tc>
      </w:tr>
      <w:tr w14:paraId="06D5E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vAlign w:val="center"/>
          </w:tcPr>
          <w:p w14:paraId="00F4DF20">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5</w:t>
            </w:r>
          </w:p>
        </w:tc>
        <w:tc>
          <w:tcPr>
            <w:tcW w:w="849" w:type="dxa"/>
            <w:vAlign w:val="center"/>
          </w:tcPr>
          <w:p w14:paraId="4D208E17">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采样系统</w:t>
            </w:r>
          </w:p>
        </w:tc>
        <w:tc>
          <w:tcPr>
            <w:tcW w:w="6804" w:type="dxa"/>
            <w:vAlign w:val="center"/>
          </w:tcPr>
          <w:p w14:paraId="74F7DC6C">
            <w:pPr>
              <w:widowControl w:val="0"/>
              <w:kinsoku/>
              <w:adjustRightInd/>
              <w:snapToGrid/>
              <w:spacing w:line="400" w:lineRule="exact"/>
              <w:jc w:val="left"/>
              <w:textAlignment w:val="auto"/>
              <w:rPr>
                <w:rFonts w:asciiTheme="minorEastAsia" w:hAnsiTheme="minorEastAsia"/>
                <w:sz w:val="24"/>
                <w:lang w:eastAsia="zh-CN"/>
              </w:rPr>
            </w:pPr>
            <w:r>
              <w:rPr>
                <w:rFonts w:asciiTheme="minorEastAsia" w:hAnsiTheme="minorEastAsia"/>
                <w:sz w:val="24"/>
                <w:lang w:eastAsia="zh-CN"/>
              </w:rPr>
              <w:t>(1)采样头：防止雨水和粗大的颗粒物落入总管，同时避免小动物和大型昆虫进入总管。采样头的设计应保证采样气流不受风向影响，稳定进入总管；</w:t>
            </w:r>
          </w:p>
          <w:p w14:paraId="63D01F42">
            <w:pPr>
              <w:widowControl w:val="0"/>
              <w:kinsoku/>
              <w:adjustRightInd/>
              <w:snapToGrid/>
              <w:spacing w:line="400" w:lineRule="exact"/>
              <w:jc w:val="left"/>
              <w:textAlignment w:val="auto"/>
              <w:rPr>
                <w:rFonts w:asciiTheme="minorEastAsia" w:hAnsiTheme="minorEastAsia"/>
                <w:sz w:val="24"/>
                <w:lang w:eastAsia="zh-CN"/>
              </w:rPr>
            </w:pPr>
            <w:r>
              <w:rPr>
                <w:rFonts w:asciiTheme="minorEastAsia" w:hAnsiTheme="minorEastAsia"/>
                <w:sz w:val="24"/>
                <w:lang w:eastAsia="zh-CN"/>
              </w:rPr>
              <w:t>(2)采样总管：采样总管内的气流应保持层流状态，采样气体在总管内的滞留时间应小于10s；</w:t>
            </w:r>
          </w:p>
          <w:p w14:paraId="424C02EA">
            <w:pPr>
              <w:widowControl w:val="0"/>
              <w:kinsoku/>
              <w:adjustRightInd/>
              <w:snapToGrid/>
              <w:spacing w:line="400" w:lineRule="exact"/>
              <w:jc w:val="left"/>
              <w:textAlignment w:val="auto"/>
              <w:rPr>
                <w:rFonts w:asciiTheme="minorEastAsia" w:hAnsiTheme="minorEastAsia"/>
                <w:sz w:val="24"/>
                <w:lang w:eastAsia="zh-CN"/>
              </w:rPr>
            </w:pPr>
            <w:r>
              <w:rPr>
                <w:rFonts w:asciiTheme="minorEastAsia" w:hAnsiTheme="minorEastAsia"/>
                <w:sz w:val="24"/>
                <w:lang w:eastAsia="zh-CN"/>
              </w:rPr>
              <w:t>(3)制作材料：不锈钢或聚四氟乙烯；</w:t>
            </w:r>
          </w:p>
          <w:p w14:paraId="79189FF9">
            <w:pPr>
              <w:widowControl w:val="0"/>
              <w:kinsoku/>
              <w:adjustRightInd/>
              <w:snapToGrid/>
              <w:spacing w:line="400" w:lineRule="exact"/>
              <w:jc w:val="left"/>
              <w:textAlignment w:val="auto"/>
              <w:rPr>
                <w:rFonts w:asciiTheme="minorEastAsia" w:hAnsiTheme="minorEastAsia"/>
                <w:sz w:val="24"/>
                <w:lang w:eastAsia="zh-CN"/>
              </w:rPr>
            </w:pPr>
            <w:r>
              <w:rPr>
                <w:rFonts w:asciiTheme="minorEastAsia" w:hAnsiTheme="minorEastAsia"/>
                <w:sz w:val="24"/>
                <w:lang w:eastAsia="zh-CN"/>
              </w:rPr>
              <w:t>(4)工作环境温度：-20-45℃；</w:t>
            </w:r>
          </w:p>
          <w:p w14:paraId="40BE12E9">
            <w:pPr>
              <w:widowControl w:val="0"/>
              <w:kinsoku/>
              <w:adjustRightInd/>
              <w:snapToGrid/>
              <w:spacing w:line="400" w:lineRule="exact"/>
              <w:jc w:val="left"/>
              <w:textAlignment w:val="auto"/>
              <w:rPr>
                <w:rFonts w:cs="宋体" w:asciiTheme="minorEastAsia" w:hAnsiTheme="minorEastAsia"/>
                <w:sz w:val="24"/>
                <w:lang w:eastAsia="zh-CN"/>
              </w:rPr>
            </w:pPr>
            <w:r>
              <w:rPr>
                <w:rFonts w:asciiTheme="minorEastAsia" w:hAnsiTheme="minorEastAsia"/>
                <w:sz w:val="24"/>
                <w:lang w:eastAsia="zh-CN"/>
              </w:rPr>
              <w:t>(5)样品相对湿度：≤80%；</w:t>
            </w:r>
          </w:p>
        </w:tc>
        <w:tc>
          <w:tcPr>
            <w:tcW w:w="426" w:type="dxa"/>
            <w:vAlign w:val="center"/>
          </w:tcPr>
          <w:p w14:paraId="56E84D6F">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套</w:t>
            </w:r>
          </w:p>
        </w:tc>
        <w:tc>
          <w:tcPr>
            <w:tcW w:w="682" w:type="dxa"/>
            <w:vAlign w:val="center"/>
          </w:tcPr>
          <w:p w14:paraId="28EF7E88">
            <w:pPr>
              <w:widowControl w:val="0"/>
              <w:kinsoku/>
              <w:adjustRightInd/>
              <w:snapToGrid/>
              <w:spacing w:line="400" w:lineRule="exact"/>
              <w:jc w:val="center"/>
              <w:textAlignment w:val="auto"/>
              <w:rPr>
                <w:rFonts w:asciiTheme="minorEastAsia" w:hAnsiTheme="minorEastAsia" w:cstheme="majorEastAsia"/>
                <w:sz w:val="24"/>
              </w:rPr>
            </w:pPr>
            <w:r>
              <w:rPr>
                <w:rFonts w:hint="eastAsia" w:asciiTheme="minorEastAsia" w:hAnsiTheme="minorEastAsia" w:cstheme="majorEastAsia"/>
                <w:sz w:val="24"/>
              </w:rPr>
              <w:t>1</w:t>
            </w:r>
          </w:p>
        </w:tc>
      </w:tr>
      <w:tr w14:paraId="10642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vAlign w:val="center"/>
          </w:tcPr>
          <w:p w14:paraId="580F412F">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6</w:t>
            </w:r>
          </w:p>
        </w:tc>
        <w:tc>
          <w:tcPr>
            <w:tcW w:w="849" w:type="dxa"/>
            <w:vAlign w:val="center"/>
          </w:tcPr>
          <w:p w14:paraId="5C447EC4">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定位系统</w:t>
            </w:r>
          </w:p>
        </w:tc>
        <w:tc>
          <w:tcPr>
            <w:tcW w:w="6804" w:type="dxa"/>
            <w:vAlign w:val="center"/>
          </w:tcPr>
          <w:p w14:paraId="4AC0051C">
            <w:pPr>
              <w:widowControl w:val="0"/>
              <w:kinsoku/>
              <w:adjustRightInd/>
              <w:snapToGrid/>
              <w:spacing w:line="400" w:lineRule="exact"/>
              <w:jc w:val="left"/>
              <w:textAlignment w:val="auto"/>
              <w:rPr>
                <w:rFonts w:cs="宋体" w:asciiTheme="minorEastAsia" w:hAnsiTheme="minorEastAsia"/>
                <w:sz w:val="24"/>
                <w:lang w:eastAsia="zh-CN"/>
              </w:rPr>
            </w:pPr>
            <w:r>
              <w:rPr>
                <w:rFonts w:hint="eastAsia" w:cs="宋体" w:asciiTheme="minorEastAsia" w:hAnsiTheme="minorEastAsia"/>
                <w:sz w:val="24"/>
                <w:lang w:eastAsia="zh-CN"/>
              </w:rPr>
              <w:t>采用北斗定位系统，定位快速精准；</w:t>
            </w:r>
          </w:p>
        </w:tc>
        <w:tc>
          <w:tcPr>
            <w:tcW w:w="426" w:type="dxa"/>
            <w:vAlign w:val="center"/>
          </w:tcPr>
          <w:p w14:paraId="4390F031">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套</w:t>
            </w:r>
          </w:p>
        </w:tc>
        <w:tc>
          <w:tcPr>
            <w:tcW w:w="682" w:type="dxa"/>
            <w:vAlign w:val="center"/>
          </w:tcPr>
          <w:p w14:paraId="2A5B6CA8">
            <w:pPr>
              <w:widowControl w:val="0"/>
              <w:kinsoku/>
              <w:adjustRightInd/>
              <w:snapToGrid/>
              <w:spacing w:line="400" w:lineRule="exact"/>
              <w:jc w:val="center"/>
              <w:textAlignment w:val="auto"/>
              <w:rPr>
                <w:rFonts w:asciiTheme="minorEastAsia" w:hAnsiTheme="minorEastAsia" w:cstheme="majorEastAsia"/>
                <w:sz w:val="24"/>
              </w:rPr>
            </w:pPr>
            <w:r>
              <w:rPr>
                <w:rFonts w:hint="eastAsia" w:asciiTheme="minorEastAsia" w:hAnsiTheme="minorEastAsia" w:cstheme="majorEastAsia"/>
                <w:sz w:val="24"/>
              </w:rPr>
              <w:t>1</w:t>
            </w:r>
          </w:p>
        </w:tc>
      </w:tr>
      <w:tr w14:paraId="19259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vAlign w:val="center"/>
          </w:tcPr>
          <w:p w14:paraId="6E751890">
            <w:pPr>
              <w:widowControl w:val="0"/>
              <w:kinsoku/>
              <w:adjustRightInd/>
              <w:snapToGrid/>
              <w:spacing w:line="400" w:lineRule="exact"/>
              <w:jc w:val="center"/>
              <w:textAlignment w:val="auto"/>
              <w:rPr>
                <w:rFonts w:asciiTheme="minorEastAsia" w:hAnsiTheme="minorEastAsia"/>
                <w:sz w:val="24"/>
              </w:rPr>
            </w:pPr>
            <w:r>
              <w:rPr>
                <w:rFonts w:hint="eastAsia" w:asciiTheme="minorEastAsia" w:hAnsiTheme="minorEastAsia"/>
                <w:sz w:val="24"/>
              </w:rPr>
              <w:t>7</w:t>
            </w:r>
          </w:p>
        </w:tc>
        <w:tc>
          <w:tcPr>
            <w:tcW w:w="849" w:type="dxa"/>
            <w:vAlign w:val="center"/>
          </w:tcPr>
          <w:p w14:paraId="1D3C519D">
            <w:pPr>
              <w:widowControl w:val="0"/>
              <w:kinsoku/>
              <w:adjustRightInd/>
              <w:snapToGrid/>
              <w:spacing w:line="400" w:lineRule="exact"/>
              <w:jc w:val="center"/>
              <w:textAlignment w:val="auto"/>
              <w:rPr>
                <w:rFonts w:asciiTheme="minorEastAsia" w:hAnsiTheme="minorEastAsia"/>
                <w:sz w:val="24"/>
              </w:rPr>
            </w:pPr>
            <w:r>
              <w:rPr>
                <w:rFonts w:hint="eastAsia" w:asciiTheme="minorEastAsia" w:hAnsiTheme="minorEastAsia"/>
                <w:sz w:val="24"/>
              </w:rPr>
              <w:t>空气六参数走航设备</w:t>
            </w:r>
          </w:p>
        </w:tc>
        <w:tc>
          <w:tcPr>
            <w:tcW w:w="6804" w:type="dxa"/>
            <w:vAlign w:val="center"/>
          </w:tcPr>
          <w:p w14:paraId="2E13ACE8">
            <w:pPr>
              <w:widowControl w:val="0"/>
              <w:kinsoku/>
              <w:adjustRightInd/>
              <w:snapToGrid/>
              <w:spacing w:line="400" w:lineRule="exact"/>
              <w:jc w:val="left"/>
              <w:textAlignment w:val="auto"/>
              <w:rPr>
                <w:rFonts w:asciiTheme="minorEastAsia" w:hAnsiTheme="minorEastAsia"/>
                <w:sz w:val="24"/>
                <w:lang w:eastAsia="zh-CN"/>
              </w:rPr>
            </w:pPr>
            <w:r>
              <w:rPr>
                <w:rFonts w:asciiTheme="minorEastAsia" w:hAnsiTheme="minorEastAsia"/>
                <w:sz w:val="24"/>
                <w:lang w:eastAsia="zh-CN"/>
              </w:rPr>
              <w:t>监测指标要求</w:t>
            </w:r>
          </w:p>
          <w:p w14:paraId="43DD14F3">
            <w:pPr>
              <w:widowControl w:val="0"/>
              <w:kinsoku/>
              <w:adjustRightInd/>
              <w:snapToGrid/>
              <w:spacing w:line="400" w:lineRule="exact"/>
              <w:jc w:val="left"/>
              <w:textAlignment w:val="auto"/>
              <w:rPr>
                <w:rFonts w:asciiTheme="minorEastAsia" w:hAnsiTheme="minorEastAsia"/>
                <w:sz w:val="24"/>
                <w:lang w:eastAsia="zh-CN"/>
              </w:rPr>
            </w:pPr>
            <w:bookmarkStart w:id="1" w:name="OLE_LINK6"/>
            <w:r>
              <w:rPr>
                <w:rFonts w:asciiTheme="minorEastAsia" w:hAnsiTheme="minorEastAsia"/>
                <w:sz w:val="24"/>
                <w:lang w:eastAsia="zh-CN"/>
              </w:rPr>
              <w:t>（1）</w:t>
            </w:r>
            <w:r>
              <w:rPr>
                <w:rFonts w:hint="eastAsia" w:asciiTheme="minorEastAsia" w:hAnsiTheme="minorEastAsia"/>
                <w:sz w:val="24"/>
                <w:lang w:eastAsia="zh-CN"/>
              </w:rPr>
              <w:t>颗粒物</w:t>
            </w:r>
            <w:r>
              <w:rPr>
                <w:rFonts w:asciiTheme="minorEastAsia" w:hAnsiTheme="minorEastAsia"/>
                <w:sz w:val="24"/>
                <w:lang w:eastAsia="zh-CN"/>
              </w:rPr>
              <w:t>监测因子</w:t>
            </w:r>
          </w:p>
          <w:p w14:paraId="137991DC">
            <w:pPr>
              <w:widowControl w:val="0"/>
              <w:kinsoku/>
              <w:adjustRightInd/>
              <w:snapToGrid/>
              <w:spacing w:line="400" w:lineRule="exact"/>
              <w:jc w:val="left"/>
              <w:textAlignment w:val="auto"/>
              <w:rPr>
                <w:rFonts w:asciiTheme="minorEastAsia" w:hAnsiTheme="minorEastAsia"/>
                <w:sz w:val="24"/>
                <w:lang w:eastAsia="zh-CN"/>
              </w:rPr>
            </w:pPr>
            <w:r>
              <w:rPr>
                <w:rFonts w:hint="eastAsia" w:asciiTheme="minorEastAsia" w:hAnsiTheme="minorEastAsia"/>
                <w:sz w:val="24"/>
                <w:lang w:eastAsia="zh-CN"/>
              </w:rPr>
              <w:t>①</w:t>
            </w:r>
            <w:r>
              <w:rPr>
                <w:rFonts w:asciiTheme="minorEastAsia" w:hAnsiTheme="minorEastAsia"/>
                <w:sz w:val="24"/>
                <w:lang w:eastAsia="zh-CN"/>
              </w:rPr>
              <w:t>设备功能：磁吸式光散射颗粒物监测仪是采用激光散射原理</w:t>
            </w:r>
            <w:r>
              <w:rPr>
                <w:rFonts w:hint="eastAsia" w:asciiTheme="minorEastAsia" w:hAnsiTheme="minorEastAsia"/>
                <w:sz w:val="24"/>
                <w:lang w:eastAsia="zh-CN"/>
              </w:rPr>
              <w:t>②</w:t>
            </w:r>
            <w:r>
              <w:rPr>
                <w:rFonts w:asciiTheme="minorEastAsia" w:hAnsiTheme="minorEastAsia"/>
                <w:sz w:val="24"/>
                <w:lang w:eastAsia="zh-CN"/>
              </w:rPr>
              <w:t>检测大气环境中粒子数以及 PM1.0、PM2.5、PM10 的颗粒物</w:t>
            </w:r>
            <w:r>
              <w:rPr>
                <w:rFonts w:hint="eastAsia" w:asciiTheme="minorEastAsia" w:hAnsiTheme="minorEastAsia"/>
                <w:sz w:val="24"/>
                <w:lang w:eastAsia="zh-CN"/>
              </w:rPr>
              <w:t>③</w:t>
            </w:r>
            <w:r>
              <w:rPr>
                <w:rFonts w:asciiTheme="minorEastAsia" w:hAnsiTheme="minorEastAsia"/>
                <w:sz w:val="24"/>
                <w:lang w:eastAsia="zh-CN"/>
              </w:rPr>
              <w:t>监测仪以磁吸式无损安装放置在车顶，方便取用安装。</w:t>
            </w:r>
          </w:p>
          <w:p w14:paraId="39DD67C2">
            <w:pPr>
              <w:widowControl w:val="0"/>
              <w:kinsoku/>
              <w:adjustRightInd/>
              <w:snapToGrid/>
              <w:spacing w:line="400" w:lineRule="exact"/>
              <w:jc w:val="left"/>
              <w:textAlignment w:val="auto"/>
              <w:rPr>
                <w:rFonts w:asciiTheme="minorEastAsia" w:hAnsiTheme="minorEastAsia"/>
                <w:sz w:val="24"/>
                <w:lang w:eastAsia="zh-CN"/>
              </w:rPr>
            </w:pPr>
            <w:r>
              <w:rPr>
                <w:rFonts w:hint="eastAsia" w:asciiTheme="minorEastAsia" w:hAnsiTheme="minorEastAsia"/>
                <w:sz w:val="24"/>
                <w:lang w:eastAsia="zh-CN"/>
              </w:rPr>
              <w:t>④</w:t>
            </w:r>
            <w:r>
              <w:rPr>
                <w:rFonts w:asciiTheme="minorEastAsia" w:hAnsiTheme="minorEastAsia"/>
                <w:sz w:val="24"/>
                <w:lang w:eastAsia="zh-CN"/>
              </w:rPr>
              <w:t>测量原理：激光散射法；</w:t>
            </w:r>
          </w:p>
          <w:p w14:paraId="7DE25836">
            <w:pPr>
              <w:widowControl w:val="0"/>
              <w:kinsoku/>
              <w:adjustRightInd/>
              <w:snapToGrid/>
              <w:spacing w:line="400" w:lineRule="exact"/>
              <w:jc w:val="left"/>
              <w:textAlignment w:val="auto"/>
              <w:rPr>
                <w:rFonts w:asciiTheme="minorEastAsia" w:hAnsiTheme="minorEastAsia"/>
                <w:sz w:val="24"/>
                <w:lang w:eastAsia="zh-CN"/>
              </w:rPr>
            </w:pPr>
            <w:r>
              <w:rPr>
                <w:rFonts w:hint="eastAsia" w:asciiTheme="minorEastAsia" w:hAnsiTheme="minorEastAsia"/>
                <w:sz w:val="24"/>
                <w:lang w:eastAsia="zh-CN"/>
              </w:rPr>
              <w:t>⑤</w:t>
            </w:r>
            <w:r>
              <w:rPr>
                <w:rFonts w:asciiTheme="minorEastAsia" w:hAnsiTheme="minorEastAsia"/>
                <w:sz w:val="24"/>
                <w:lang w:eastAsia="zh-CN"/>
              </w:rPr>
              <w:t>监测因子：PM1.0、PM2.5、PM10；TSP</w:t>
            </w:r>
          </w:p>
          <w:p w14:paraId="6F5F0E8B">
            <w:pPr>
              <w:widowControl w:val="0"/>
              <w:kinsoku/>
              <w:adjustRightInd/>
              <w:snapToGrid/>
              <w:spacing w:line="400" w:lineRule="exact"/>
              <w:jc w:val="left"/>
              <w:textAlignment w:val="auto"/>
              <w:rPr>
                <w:rFonts w:asciiTheme="minorEastAsia" w:hAnsiTheme="minorEastAsia"/>
                <w:sz w:val="24"/>
                <w:lang w:eastAsia="zh-CN"/>
              </w:rPr>
            </w:pPr>
            <w:r>
              <w:rPr>
                <w:rFonts w:hint="eastAsia" w:asciiTheme="minorEastAsia" w:hAnsiTheme="minorEastAsia"/>
                <w:sz w:val="24"/>
                <w:lang w:eastAsia="zh-CN"/>
              </w:rPr>
              <w:t>⑥</w:t>
            </w:r>
            <w:r>
              <w:rPr>
                <w:rFonts w:asciiTheme="minorEastAsia" w:hAnsiTheme="minorEastAsia"/>
                <w:sz w:val="24"/>
                <w:lang w:eastAsia="zh-CN"/>
              </w:rPr>
              <w:t>测量范围：0~10000</w:t>
            </w:r>
            <w:r>
              <w:rPr>
                <w:rFonts w:asciiTheme="minorEastAsia" w:hAnsiTheme="minorEastAsia"/>
                <w:sz w:val="24"/>
              </w:rPr>
              <w:t>μ</w:t>
            </w:r>
            <w:r>
              <w:rPr>
                <w:rFonts w:asciiTheme="minorEastAsia" w:hAnsiTheme="minorEastAsia"/>
                <w:sz w:val="24"/>
                <w:lang w:eastAsia="zh-CN"/>
              </w:rPr>
              <w:t>g/m³；</w:t>
            </w:r>
          </w:p>
          <w:p w14:paraId="2CBDDF50">
            <w:pPr>
              <w:widowControl w:val="0"/>
              <w:kinsoku/>
              <w:adjustRightInd/>
              <w:snapToGrid/>
              <w:spacing w:line="400" w:lineRule="exact"/>
              <w:jc w:val="left"/>
              <w:textAlignment w:val="auto"/>
              <w:rPr>
                <w:rFonts w:asciiTheme="minorEastAsia" w:hAnsiTheme="minorEastAsia"/>
                <w:sz w:val="24"/>
                <w:lang w:eastAsia="zh-CN"/>
              </w:rPr>
            </w:pPr>
            <w:r>
              <w:rPr>
                <w:rFonts w:hint="eastAsia" w:asciiTheme="minorEastAsia" w:hAnsiTheme="minorEastAsia"/>
                <w:sz w:val="24"/>
                <w:lang w:eastAsia="zh-CN"/>
              </w:rPr>
              <w:t>⑦</w:t>
            </w:r>
            <w:r>
              <w:rPr>
                <w:rFonts w:asciiTheme="minorEastAsia" w:hAnsiTheme="minorEastAsia"/>
                <w:sz w:val="24"/>
                <w:lang w:eastAsia="zh-CN"/>
              </w:rPr>
              <w:t>颗粒物浓度示值误差：0-100：±10</w:t>
            </w:r>
            <w:r>
              <w:rPr>
                <w:rFonts w:asciiTheme="minorEastAsia" w:hAnsiTheme="minorEastAsia"/>
                <w:sz w:val="24"/>
              </w:rPr>
              <w:t>μ</w:t>
            </w:r>
            <w:r>
              <w:rPr>
                <w:rFonts w:asciiTheme="minorEastAsia" w:hAnsiTheme="minorEastAsia"/>
                <w:sz w:val="24"/>
                <w:lang w:eastAsia="zh-CN"/>
              </w:rPr>
              <w:t>g/m³；大于100：±15% F.S；</w:t>
            </w:r>
          </w:p>
          <w:p w14:paraId="0B2CBA6F">
            <w:pPr>
              <w:widowControl w:val="0"/>
              <w:kinsoku/>
              <w:adjustRightInd/>
              <w:snapToGrid/>
              <w:spacing w:line="400" w:lineRule="exact"/>
              <w:jc w:val="left"/>
              <w:textAlignment w:val="auto"/>
              <w:rPr>
                <w:rFonts w:asciiTheme="minorEastAsia" w:hAnsiTheme="minorEastAsia"/>
                <w:sz w:val="24"/>
                <w:lang w:eastAsia="zh-CN"/>
              </w:rPr>
            </w:pPr>
            <w:r>
              <w:rPr>
                <w:rFonts w:hint="eastAsia" w:asciiTheme="minorEastAsia" w:hAnsiTheme="minorEastAsia"/>
                <w:sz w:val="24"/>
                <w:lang w:eastAsia="zh-CN"/>
              </w:rPr>
              <w:t>⑧</w:t>
            </w:r>
            <w:r>
              <w:rPr>
                <w:rFonts w:asciiTheme="minorEastAsia" w:hAnsiTheme="minorEastAsia"/>
                <w:sz w:val="24"/>
                <w:lang w:eastAsia="zh-CN"/>
              </w:rPr>
              <w:t>响应速度：≤2S；</w:t>
            </w:r>
          </w:p>
          <w:p w14:paraId="4DF8FAE8">
            <w:pPr>
              <w:widowControl w:val="0"/>
              <w:kinsoku/>
              <w:adjustRightInd/>
              <w:snapToGrid/>
              <w:spacing w:line="400" w:lineRule="exact"/>
              <w:jc w:val="left"/>
              <w:textAlignment w:val="auto"/>
              <w:rPr>
                <w:rFonts w:asciiTheme="minorEastAsia" w:hAnsiTheme="minorEastAsia"/>
                <w:sz w:val="24"/>
                <w:lang w:eastAsia="zh-CN"/>
              </w:rPr>
            </w:pPr>
            <w:r>
              <w:rPr>
                <w:rFonts w:hint="eastAsia" w:asciiTheme="minorEastAsia" w:hAnsiTheme="minorEastAsia"/>
                <w:sz w:val="24"/>
                <w:lang w:eastAsia="zh-CN"/>
              </w:rPr>
              <w:t>⑨</w:t>
            </w:r>
            <w:r>
              <w:rPr>
                <w:rFonts w:asciiTheme="minorEastAsia" w:hAnsiTheme="minorEastAsia"/>
                <w:sz w:val="24"/>
                <w:lang w:eastAsia="zh-CN"/>
              </w:rPr>
              <w:t>分辨率：1</w:t>
            </w:r>
            <w:r>
              <w:rPr>
                <w:rFonts w:asciiTheme="minorEastAsia" w:hAnsiTheme="minorEastAsia"/>
                <w:sz w:val="24"/>
              </w:rPr>
              <w:t>μ</w:t>
            </w:r>
            <w:r>
              <w:rPr>
                <w:rFonts w:asciiTheme="minorEastAsia" w:hAnsiTheme="minorEastAsia"/>
                <w:sz w:val="24"/>
                <w:lang w:eastAsia="zh-CN"/>
              </w:rPr>
              <w:t>g/m³；</w:t>
            </w:r>
          </w:p>
          <w:p w14:paraId="63BE742A">
            <w:pPr>
              <w:widowControl w:val="0"/>
              <w:kinsoku/>
              <w:adjustRightInd/>
              <w:snapToGrid/>
              <w:spacing w:line="400" w:lineRule="exact"/>
              <w:jc w:val="left"/>
              <w:textAlignment w:val="auto"/>
              <w:rPr>
                <w:rFonts w:asciiTheme="minorEastAsia" w:hAnsiTheme="minorEastAsia"/>
                <w:sz w:val="24"/>
                <w:lang w:eastAsia="zh-CN"/>
              </w:rPr>
            </w:pPr>
            <w:r>
              <w:rPr>
                <w:rFonts w:hint="eastAsia" w:asciiTheme="minorEastAsia" w:hAnsiTheme="minorEastAsia"/>
                <w:sz w:val="24"/>
                <w:lang w:eastAsia="zh-CN"/>
              </w:rPr>
              <w:t>⑩</w:t>
            </w:r>
            <w:r>
              <w:rPr>
                <w:rFonts w:asciiTheme="minorEastAsia" w:hAnsiTheme="minorEastAsia"/>
                <w:sz w:val="24"/>
                <w:lang w:eastAsia="zh-CN"/>
              </w:rPr>
              <w:t>采样流量：2.83L/min（±5%）；</w:t>
            </w:r>
          </w:p>
          <w:p w14:paraId="1C7B5FF4">
            <w:pPr>
              <w:widowControl w:val="0"/>
              <w:kinsoku/>
              <w:adjustRightInd/>
              <w:snapToGrid/>
              <w:spacing w:line="400" w:lineRule="exact"/>
              <w:jc w:val="left"/>
              <w:textAlignment w:val="auto"/>
              <w:rPr>
                <w:rFonts w:asciiTheme="minorEastAsia" w:hAnsiTheme="minorEastAsia"/>
                <w:sz w:val="24"/>
                <w:lang w:eastAsia="zh-CN"/>
              </w:rPr>
            </w:pPr>
            <w:r>
              <w:rPr>
                <w:rFonts w:asciiTheme="minorEastAsia" w:hAnsiTheme="minorEastAsia"/>
                <w:sz w:val="24"/>
                <w:lang w:eastAsia="zh-CN"/>
              </w:rPr>
              <w:t>（</w:t>
            </w:r>
            <w:r>
              <w:rPr>
                <w:rFonts w:hint="eastAsia" w:asciiTheme="minorEastAsia" w:hAnsiTheme="minorEastAsia"/>
                <w:sz w:val="24"/>
                <w:lang w:eastAsia="zh-CN"/>
              </w:rPr>
              <w:t>2</w:t>
            </w:r>
            <w:r>
              <w:rPr>
                <w:rFonts w:asciiTheme="minorEastAsia" w:hAnsiTheme="minorEastAsia"/>
                <w:sz w:val="24"/>
                <w:lang w:eastAsia="zh-CN"/>
              </w:rPr>
              <w:t>）O3监测因子</w:t>
            </w:r>
          </w:p>
          <w:p w14:paraId="441CCE4F">
            <w:pPr>
              <w:widowControl w:val="0"/>
              <w:kinsoku/>
              <w:adjustRightInd/>
              <w:snapToGrid/>
              <w:spacing w:line="400" w:lineRule="exact"/>
              <w:jc w:val="left"/>
              <w:textAlignment w:val="auto"/>
              <w:rPr>
                <w:rFonts w:asciiTheme="minorEastAsia" w:hAnsiTheme="minorEastAsia"/>
                <w:sz w:val="24"/>
                <w:lang w:eastAsia="zh-CN"/>
              </w:rPr>
            </w:pPr>
            <w:r>
              <w:rPr>
                <w:rFonts w:asciiTheme="minorEastAsia" w:hAnsiTheme="minorEastAsia"/>
                <w:sz w:val="24"/>
                <w:lang w:eastAsia="zh-CN"/>
              </w:rPr>
              <w:t>①测量范围：0-500ppb</w:t>
            </w:r>
            <w:r>
              <w:rPr>
                <w:rFonts w:hint="eastAsia" w:asciiTheme="minorEastAsia" w:hAnsiTheme="minorEastAsia"/>
                <w:sz w:val="24"/>
                <w:lang w:eastAsia="zh-CN"/>
              </w:rPr>
              <w:t>；</w:t>
            </w:r>
          </w:p>
          <w:p w14:paraId="20238F28">
            <w:pPr>
              <w:widowControl w:val="0"/>
              <w:kinsoku/>
              <w:adjustRightInd/>
              <w:snapToGrid/>
              <w:spacing w:line="400" w:lineRule="exact"/>
              <w:jc w:val="left"/>
              <w:textAlignment w:val="auto"/>
              <w:rPr>
                <w:rFonts w:asciiTheme="minorEastAsia" w:hAnsiTheme="minorEastAsia"/>
                <w:sz w:val="24"/>
                <w:lang w:eastAsia="zh-CN"/>
              </w:rPr>
            </w:pPr>
            <w:r>
              <w:rPr>
                <w:rFonts w:asciiTheme="minorEastAsia" w:hAnsiTheme="minorEastAsia"/>
                <w:sz w:val="24"/>
                <w:lang w:eastAsia="zh-CN"/>
              </w:rPr>
              <w:t>②分析方法：电化学法</w:t>
            </w:r>
            <w:r>
              <w:rPr>
                <w:rFonts w:hint="eastAsia" w:asciiTheme="minorEastAsia" w:hAnsiTheme="minorEastAsia"/>
                <w:sz w:val="24"/>
                <w:lang w:eastAsia="zh-CN"/>
              </w:rPr>
              <w:t>；</w:t>
            </w:r>
          </w:p>
          <w:p w14:paraId="0F37BEEF">
            <w:pPr>
              <w:widowControl w:val="0"/>
              <w:kinsoku/>
              <w:adjustRightInd/>
              <w:snapToGrid/>
              <w:spacing w:line="400" w:lineRule="exact"/>
              <w:jc w:val="left"/>
              <w:textAlignment w:val="auto"/>
              <w:rPr>
                <w:rFonts w:asciiTheme="minorEastAsia" w:hAnsiTheme="minorEastAsia"/>
                <w:sz w:val="24"/>
                <w:lang w:eastAsia="zh-CN"/>
              </w:rPr>
            </w:pPr>
            <w:r>
              <w:rPr>
                <w:rFonts w:asciiTheme="minorEastAsia" w:hAnsiTheme="minorEastAsia"/>
                <w:sz w:val="24"/>
                <w:lang w:eastAsia="zh-CN"/>
              </w:rPr>
              <w:t>③示值误差</w:t>
            </w:r>
            <w:r>
              <w:rPr>
                <w:rFonts w:hint="eastAsia" w:asciiTheme="minorEastAsia" w:hAnsiTheme="minorEastAsia"/>
                <w:sz w:val="24"/>
                <w:lang w:eastAsia="zh-CN"/>
              </w:rPr>
              <w:t>：</w:t>
            </w:r>
            <w:r>
              <w:rPr>
                <w:rFonts w:asciiTheme="minorEastAsia" w:hAnsiTheme="minorEastAsia"/>
                <w:sz w:val="24"/>
                <w:lang w:eastAsia="zh-CN"/>
              </w:rPr>
              <w:t>≤±10%FS</w:t>
            </w:r>
            <w:r>
              <w:rPr>
                <w:rFonts w:hint="eastAsia" w:asciiTheme="minorEastAsia" w:hAnsiTheme="minorEastAsia"/>
                <w:sz w:val="24"/>
                <w:lang w:eastAsia="zh-CN"/>
              </w:rPr>
              <w:t>；</w:t>
            </w:r>
          </w:p>
          <w:p w14:paraId="68A4A2A6">
            <w:pPr>
              <w:widowControl w:val="0"/>
              <w:kinsoku/>
              <w:adjustRightInd/>
              <w:snapToGrid/>
              <w:spacing w:line="400" w:lineRule="exact"/>
              <w:jc w:val="left"/>
              <w:textAlignment w:val="auto"/>
              <w:rPr>
                <w:rFonts w:asciiTheme="minorEastAsia" w:hAnsiTheme="minorEastAsia"/>
                <w:sz w:val="24"/>
                <w:lang w:eastAsia="zh-CN"/>
              </w:rPr>
            </w:pPr>
            <w:r>
              <w:rPr>
                <w:rFonts w:asciiTheme="minorEastAsia" w:hAnsiTheme="minorEastAsia"/>
                <w:sz w:val="24"/>
                <w:lang w:eastAsia="zh-CN"/>
              </w:rPr>
              <w:t>（</w:t>
            </w:r>
            <w:r>
              <w:rPr>
                <w:rFonts w:hint="eastAsia" w:asciiTheme="minorEastAsia" w:hAnsiTheme="minorEastAsia"/>
                <w:sz w:val="24"/>
                <w:lang w:eastAsia="zh-CN"/>
              </w:rPr>
              <w:t>3</w:t>
            </w:r>
            <w:r>
              <w:rPr>
                <w:rFonts w:asciiTheme="minorEastAsia" w:hAnsiTheme="minorEastAsia"/>
                <w:sz w:val="24"/>
                <w:lang w:eastAsia="zh-CN"/>
              </w:rPr>
              <w:t>）NO2监测因子</w:t>
            </w:r>
          </w:p>
          <w:p w14:paraId="0F00B39E">
            <w:pPr>
              <w:widowControl w:val="0"/>
              <w:kinsoku/>
              <w:adjustRightInd/>
              <w:snapToGrid/>
              <w:spacing w:line="400" w:lineRule="exact"/>
              <w:jc w:val="left"/>
              <w:textAlignment w:val="auto"/>
              <w:rPr>
                <w:rFonts w:asciiTheme="minorEastAsia" w:hAnsiTheme="minorEastAsia"/>
                <w:sz w:val="24"/>
                <w:lang w:eastAsia="zh-CN"/>
              </w:rPr>
            </w:pPr>
            <w:r>
              <w:rPr>
                <w:rFonts w:asciiTheme="minorEastAsia" w:hAnsiTheme="minorEastAsia"/>
                <w:sz w:val="24"/>
                <w:lang w:eastAsia="zh-CN"/>
              </w:rPr>
              <w:t>①测量范围：0-500ppb</w:t>
            </w:r>
            <w:r>
              <w:rPr>
                <w:rFonts w:hint="eastAsia" w:asciiTheme="minorEastAsia" w:hAnsiTheme="minorEastAsia"/>
                <w:sz w:val="24"/>
                <w:lang w:eastAsia="zh-CN"/>
              </w:rPr>
              <w:t>；</w:t>
            </w:r>
          </w:p>
          <w:p w14:paraId="28F76ACC">
            <w:pPr>
              <w:widowControl w:val="0"/>
              <w:kinsoku/>
              <w:adjustRightInd/>
              <w:snapToGrid/>
              <w:spacing w:line="400" w:lineRule="exact"/>
              <w:jc w:val="left"/>
              <w:textAlignment w:val="auto"/>
              <w:rPr>
                <w:rFonts w:asciiTheme="minorEastAsia" w:hAnsiTheme="minorEastAsia"/>
                <w:sz w:val="24"/>
                <w:lang w:eastAsia="zh-CN"/>
              </w:rPr>
            </w:pPr>
            <w:r>
              <w:rPr>
                <w:rFonts w:asciiTheme="minorEastAsia" w:hAnsiTheme="minorEastAsia"/>
                <w:sz w:val="24"/>
                <w:lang w:eastAsia="zh-CN"/>
              </w:rPr>
              <w:t>②分析方法：电化学法</w:t>
            </w:r>
            <w:r>
              <w:rPr>
                <w:rFonts w:hint="eastAsia" w:asciiTheme="minorEastAsia" w:hAnsiTheme="minorEastAsia"/>
                <w:sz w:val="24"/>
                <w:lang w:eastAsia="zh-CN"/>
              </w:rPr>
              <w:t>；</w:t>
            </w:r>
          </w:p>
          <w:p w14:paraId="36C8E901">
            <w:pPr>
              <w:widowControl w:val="0"/>
              <w:kinsoku/>
              <w:adjustRightInd/>
              <w:snapToGrid/>
              <w:spacing w:line="400" w:lineRule="exact"/>
              <w:jc w:val="left"/>
              <w:textAlignment w:val="auto"/>
              <w:rPr>
                <w:rFonts w:asciiTheme="minorEastAsia" w:hAnsiTheme="minorEastAsia"/>
                <w:sz w:val="24"/>
                <w:lang w:eastAsia="zh-CN"/>
              </w:rPr>
            </w:pPr>
            <w:r>
              <w:rPr>
                <w:rFonts w:asciiTheme="minorEastAsia" w:hAnsiTheme="minorEastAsia"/>
                <w:sz w:val="24"/>
                <w:lang w:eastAsia="zh-CN"/>
              </w:rPr>
              <w:t>③示值误差</w:t>
            </w:r>
            <w:r>
              <w:rPr>
                <w:rFonts w:hint="eastAsia" w:asciiTheme="minorEastAsia" w:hAnsiTheme="minorEastAsia"/>
                <w:sz w:val="24"/>
                <w:lang w:eastAsia="zh-CN"/>
              </w:rPr>
              <w:t>：</w:t>
            </w:r>
            <w:r>
              <w:rPr>
                <w:rFonts w:asciiTheme="minorEastAsia" w:hAnsiTheme="minorEastAsia"/>
                <w:sz w:val="24"/>
                <w:lang w:eastAsia="zh-CN"/>
              </w:rPr>
              <w:t>≤±10%FS</w:t>
            </w:r>
            <w:r>
              <w:rPr>
                <w:rFonts w:hint="eastAsia" w:asciiTheme="minorEastAsia" w:hAnsiTheme="minorEastAsia"/>
                <w:sz w:val="24"/>
                <w:lang w:eastAsia="zh-CN"/>
              </w:rPr>
              <w:t>；</w:t>
            </w:r>
          </w:p>
          <w:p w14:paraId="549F9D7C">
            <w:pPr>
              <w:widowControl w:val="0"/>
              <w:kinsoku/>
              <w:adjustRightInd/>
              <w:snapToGrid/>
              <w:spacing w:line="400" w:lineRule="exact"/>
              <w:jc w:val="left"/>
              <w:textAlignment w:val="auto"/>
              <w:rPr>
                <w:rFonts w:asciiTheme="minorEastAsia" w:hAnsiTheme="minorEastAsia"/>
                <w:sz w:val="24"/>
                <w:lang w:eastAsia="zh-CN"/>
              </w:rPr>
            </w:pPr>
            <w:r>
              <w:rPr>
                <w:rFonts w:asciiTheme="minorEastAsia" w:hAnsiTheme="minorEastAsia"/>
                <w:sz w:val="24"/>
                <w:lang w:eastAsia="zh-CN"/>
              </w:rPr>
              <w:t>（</w:t>
            </w:r>
            <w:r>
              <w:rPr>
                <w:rFonts w:hint="eastAsia" w:asciiTheme="minorEastAsia" w:hAnsiTheme="minorEastAsia"/>
                <w:sz w:val="24"/>
                <w:lang w:eastAsia="zh-CN"/>
              </w:rPr>
              <w:t>4</w:t>
            </w:r>
            <w:r>
              <w:rPr>
                <w:rFonts w:asciiTheme="minorEastAsia" w:hAnsiTheme="minorEastAsia"/>
                <w:sz w:val="24"/>
                <w:lang w:eastAsia="zh-CN"/>
              </w:rPr>
              <w:t>）SO2监测因子</w:t>
            </w:r>
          </w:p>
          <w:p w14:paraId="0A697AE3">
            <w:pPr>
              <w:widowControl w:val="0"/>
              <w:kinsoku/>
              <w:adjustRightInd/>
              <w:snapToGrid/>
              <w:spacing w:line="400" w:lineRule="exact"/>
              <w:jc w:val="left"/>
              <w:textAlignment w:val="auto"/>
              <w:rPr>
                <w:rFonts w:asciiTheme="minorEastAsia" w:hAnsiTheme="minorEastAsia"/>
                <w:sz w:val="24"/>
                <w:lang w:eastAsia="zh-CN"/>
              </w:rPr>
            </w:pPr>
            <w:r>
              <w:rPr>
                <w:rFonts w:asciiTheme="minorEastAsia" w:hAnsiTheme="minorEastAsia"/>
                <w:sz w:val="24"/>
                <w:lang w:eastAsia="zh-CN"/>
              </w:rPr>
              <w:t>①测量范围：0-500ppb</w:t>
            </w:r>
            <w:r>
              <w:rPr>
                <w:rFonts w:hint="eastAsia" w:asciiTheme="minorEastAsia" w:hAnsiTheme="minorEastAsia"/>
                <w:sz w:val="24"/>
                <w:lang w:eastAsia="zh-CN"/>
              </w:rPr>
              <w:t>；</w:t>
            </w:r>
          </w:p>
          <w:p w14:paraId="0B9C0BF8">
            <w:pPr>
              <w:widowControl w:val="0"/>
              <w:kinsoku/>
              <w:adjustRightInd/>
              <w:snapToGrid/>
              <w:spacing w:line="400" w:lineRule="exact"/>
              <w:jc w:val="left"/>
              <w:textAlignment w:val="auto"/>
              <w:rPr>
                <w:rFonts w:asciiTheme="minorEastAsia" w:hAnsiTheme="minorEastAsia"/>
                <w:sz w:val="24"/>
                <w:lang w:eastAsia="zh-CN"/>
              </w:rPr>
            </w:pPr>
            <w:r>
              <w:rPr>
                <w:rFonts w:asciiTheme="minorEastAsia" w:hAnsiTheme="minorEastAsia"/>
                <w:sz w:val="24"/>
                <w:lang w:eastAsia="zh-CN"/>
              </w:rPr>
              <w:t>②分析方法：电化学法</w:t>
            </w:r>
            <w:r>
              <w:rPr>
                <w:rFonts w:hint="eastAsia" w:asciiTheme="minorEastAsia" w:hAnsiTheme="minorEastAsia"/>
                <w:sz w:val="24"/>
                <w:lang w:eastAsia="zh-CN"/>
              </w:rPr>
              <w:t>；</w:t>
            </w:r>
          </w:p>
          <w:p w14:paraId="7C83D0BA">
            <w:pPr>
              <w:widowControl w:val="0"/>
              <w:kinsoku/>
              <w:adjustRightInd/>
              <w:snapToGrid/>
              <w:spacing w:line="400" w:lineRule="exact"/>
              <w:jc w:val="left"/>
              <w:textAlignment w:val="auto"/>
              <w:rPr>
                <w:rFonts w:asciiTheme="minorEastAsia" w:hAnsiTheme="minorEastAsia"/>
                <w:sz w:val="24"/>
                <w:lang w:eastAsia="zh-CN"/>
              </w:rPr>
            </w:pPr>
            <w:r>
              <w:rPr>
                <w:rFonts w:asciiTheme="minorEastAsia" w:hAnsiTheme="minorEastAsia"/>
                <w:sz w:val="24"/>
                <w:lang w:eastAsia="zh-CN"/>
              </w:rPr>
              <w:t>③示值误差</w:t>
            </w:r>
            <w:r>
              <w:rPr>
                <w:rFonts w:hint="eastAsia" w:asciiTheme="minorEastAsia" w:hAnsiTheme="minorEastAsia"/>
                <w:sz w:val="24"/>
                <w:lang w:eastAsia="zh-CN"/>
              </w:rPr>
              <w:t>：</w:t>
            </w:r>
            <w:r>
              <w:rPr>
                <w:rFonts w:asciiTheme="minorEastAsia" w:hAnsiTheme="minorEastAsia"/>
                <w:sz w:val="24"/>
                <w:lang w:eastAsia="zh-CN"/>
              </w:rPr>
              <w:t>≤±10%FS</w:t>
            </w:r>
            <w:r>
              <w:rPr>
                <w:rFonts w:hint="eastAsia" w:asciiTheme="minorEastAsia" w:hAnsiTheme="minorEastAsia"/>
                <w:sz w:val="24"/>
                <w:lang w:eastAsia="zh-CN"/>
              </w:rPr>
              <w:t>；</w:t>
            </w:r>
          </w:p>
          <w:p w14:paraId="67EB7324">
            <w:pPr>
              <w:widowControl w:val="0"/>
              <w:kinsoku/>
              <w:adjustRightInd/>
              <w:snapToGrid/>
              <w:spacing w:line="400" w:lineRule="exact"/>
              <w:jc w:val="left"/>
              <w:textAlignment w:val="auto"/>
              <w:rPr>
                <w:rFonts w:asciiTheme="minorEastAsia" w:hAnsiTheme="minorEastAsia"/>
                <w:sz w:val="24"/>
                <w:lang w:eastAsia="zh-CN"/>
              </w:rPr>
            </w:pPr>
            <w:r>
              <w:rPr>
                <w:rFonts w:asciiTheme="minorEastAsia" w:hAnsiTheme="minorEastAsia"/>
                <w:sz w:val="24"/>
                <w:lang w:eastAsia="zh-CN"/>
              </w:rPr>
              <w:t>（</w:t>
            </w:r>
            <w:r>
              <w:rPr>
                <w:rFonts w:hint="eastAsia" w:asciiTheme="minorEastAsia" w:hAnsiTheme="minorEastAsia"/>
                <w:sz w:val="24"/>
                <w:lang w:eastAsia="zh-CN"/>
              </w:rPr>
              <w:t>5</w:t>
            </w:r>
            <w:r>
              <w:rPr>
                <w:rFonts w:asciiTheme="minorEastAsia" w:hAnsiTheme="minorEastAsia"/>
                <w:sz w:val="24"/>
                <w:lang w:eastAsia="zh-CN"/>
              </w:rPr>
              <w:t>）CO监测因子</w:t>
            </w:r>
          </w:p>
          <w:p w14:paraId="4EAD2AC8">
            <w:pPr>
              <w:widowControl w:val="0"/>
              <w:kinsoku/>
              <w:adjustRightInd/>
              <w:snapToGrid/>
              <w:spacing w:line="400" w:lineRule="exact"/>
              <w:jc w:val="left"/>
              <w:textAlignment w:val="auto"/>
              <w:rPr>
                <w:rFonts w:asciiTheme="minorEastAsia" w:hAnsiTheme="minorEastAsia"/>
                <w:sz w:val="24"/>
                <w:lang w:eastAsia="zh-CN"/>
              </w:rPr>
            </w:pPr>
            <w:r>
              <w:rPr>
                <w:rFonts w:asciiTheme="minorEastAsia" w:hAnsiTheme="minorEastAsia"/>
                <w:sz w:val="24"/>
                <w:lang w:eastAsia="zh-CN"/>
              </w:rPr>
              <w:t>①测量范围：0-50ppm</w:t>
            </w:r>
            <w:r>
              <w:rPr>
                <w:rFonts w:hint="eastAsia" w:asciiTheme="minorEastAsia" w:hAnsiTheme="minorEastAsia"/>
                <w:sz w:val="24"/>
                <w:lang w:eastAsia="zh-CN"/>
              </w:rPr>
              <w:t>；</w:t>
            </w:r>
          </w:p>
          <w:p w14:paraId="644F1A6A">
            <w:pPr>
              <w:widowControl w:val="0"/>
              <w:kinsoku/>
              <w:adjustRightInd/>
              <w:snapToGrid/>
              <w:spacing w:line="400" w:lineRule="exact"/>
              <w:jc w:val="left"/>
              <w:textAlignment w:val="auto"/>
              <w:rPr>
                <w:rFonts w:asciiTheme="minorEastAsia" w:hAnsiTheme="minorEastAsia"/>
                <w:sz w:val="24"/>
                <w:lang w:eastAsia="zh-CN"/>
              </w:rPr>
            </w:pPr>
            <w:r>
              <w:rPr>
                <w:rFonts w:asciiTheme="minorEastAsia" w:hAnsiTheme="minorEastAsia"/>
                <w:sz w:val="24"/>
                <w:lang w:eastAsia="zh-CN"/>
              </w:rPr>
              <w:t>②分析方法：电化学法</w:t>
            </w:r>
            <w:r>
              <w:rPr>
                <w:rFonts w:hint="eastAsia" w:asciiTheme="minorEastAsia" w:hAnsiTheme="minorEastAsia"/>
                <w:sz w:val="24"/>
                <w:lang w:eastAsia="zh-CN"/>
              </w:rPr>
              <w:t>；</w:t>
            </w:r>
            <w:bookmarkStart w:id="2" w:name="OLE_LINK5"/>
          </w:p>
          <w:p w14:paraId="49B53397">
            <w:pPr>
              <w:widowControl w:val="0"/>
              <w:kinsoku/>
              <w:adjustRightInd/>
              <w:snapToGrid/>
              <w:spacing w:line="400" w:lineRule="exact"/>
              <w:jc w:val="left"/>
              <w:textAlignment w:val="auto"/>
              <w:rPr>
                <w:lang w:eastAsia="zh-CN"/>
              </w:rPr>
            </w:pPr>
            <w:r>
              <w:rPr>
                <w:rFonts w:asciiTheme="minorEastAsia" w:hAnsiTheme="minorEastAsia"/>
                <w:sz w:val="24"/>
                <w:lang w:eastAsia="zh-CN"/>
              </w:rPr>
              <w:t>③示值误差</w:t>
            </w:r>
            <w:r>
              <w:rPr>
                <w:rFonts w:hint="eastAsia" w:asciiTheme="minorEastAsia" w:hAnsiTheme="minorEastAsia"/>
                <w:sz w:val="24"/>
                <w:lang w:eastAsia="zh-CN"/>
              </w:rPr>
              <w:t>：</w:t>
            </w:r>
            <w:r>
              <w:rPr>
                <w:rFonts w:asciiTheme="minorEastAsia" w:hAnsiTheme="minorEastAsia"/>
                <w:sz w:val="24"/>
                <w:lang w:eastAsia="zh-CN"/>
              </w:rPr>
              <w:t>≤±10%FS</w:t>
            </w:r>
            <w:r>
              <w:rPr>
                <w:rFonts w:hint="eastAsia" w:asciiTheme="minorEastAsia" w:hAnsiTheme="minorEastAsia"/>
                <w:sz w:val="24"/>
                <w:lang w:eastAsia="zh-CN"/>
              </w:rPr>
              <w:t>；</w:t>
            </w:r>
            <w:bookmarkEnd w:id="1"/>
            <w:bookmarkEnd w:id="2"/>
          </w:p>
        </w:tc>
        <w:tc>
          <w:tcPr>
            <w:tcW w:w="426" w:type="dxa"/>
            <w:vAlign w:val="center"/>
          </w:tcPr>
          <w:p w14:paraId="478914F3">
            <w:pPr>
              <w:widowControl w:val="0"/>
              <w:kinsoku/>
              <w:adjustRightInd/>
              <w:snapToGrid/>
              <w:spacing w:line="400" w:lineRule="exact"/>
              <w:jc w:val="center"/>
              <w:textAlignment w:val="auto"/>
              <w:rPr>
                <w:rFonts w:asciiTheme="minorEastAsia" w:hAnsiTheme="minorEastAsia"/>
                <w:sz w:val="24"/>
              </w:rPr>
            </w:pPr>
            <w:r>
              <w:rPr>
                <w:rFonts w:hint="eastAsia" w:asciiTheme="minorEastAsia" w:hAnsiTheme="minorEastAsia"/>
                <w:sz w:val="24"/>
              </w:rPr>
              <w:t>套</w:t>
            </w:r>
          </w:p>
        </w:tc>
        <w:tc>
          <w:tcPr>
            <w:tcW w:w="682" w:type="dxa"/>
            <w:vAlign w:val="center"/>
          </w:tcPr>
          <w:p w14:paraId="70F59A19">
            <w:pPr>
              <w:widowControl w:val="0"/>
              <w:kinsoku/>
              <w:adjustRightInd/>
              <w:snapToGrid/>
              <w:spacing w:line="400" w:lineRule="exact"/>
              <w:jc w:val="center"/>
              <w:textAlignment w:val="auto"/>
              <w:rPr>
                <w:rFonts w:asciiTheme="minorEastAsia" w:hAnsiTheme="minorEastAsia" w:cstheme="majorEastAsia"/>
                <w:sz w:val="24"/>
              </w:rPr>
            </w:pPr>
            <w:r>
              <w:rPr>
                <w:rFonts w:hint="eastAsia" w:asciiTheme="minorEastAsia" w:hAnsiTheme="minorEastAsia" w:cstheme="majorEastAsia"/>
                <w:sz w:val="24"/>
              </w:rPr>
              <w:t>1</w:t>
            </w:r>
          </w:p>
        </w:tc>
      </w:tr>
      <w:tr w14:paraId="22E74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vAlign w:val="center"/>
          </w:tcPr>
          <w:p w14:paraId="527FD856">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8</w:t>
            </w:r>
          </w:p>
        </w:tc>
        <w:tc>
          <w:tcPr>
            <w:tcW w:w="849" w:type="dxa"/>
            <w:vAlign w:val="center"/>
          </w:tcPr>
          <w:p w14:paraId="0D9B4498">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气象五参数</w:t>
            </w:r>
          </w:p>
        </w:tc>
        <w:tc>
          <w:tcPr>
            <w:tcW w:w="6804" w:type="dxa"/>
            <w:vAlign w:val="center"/>
          </w:tcPr>
          <w:tbl>
            <w:tblPr>
              <w:tblStyle w:val="8"/>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72"/>
              <w:gridCol w:w="1996"/>
              <w:gridCol w:w="3210"/>
            </w:tblGrid>
            <w:tr w14:paraId="2F943D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7" w:hRule="atLeast"/>
              </w:trPr>
              <w:tc>
                <w:tcPr>
                  <w:tcW w:w="1043" w:type="pct"/>
                  <w:vMerge w:val="restart"/>
                  <w:tcBorders>
                    <w:top w:val="single" w:color="000000" w:sz="4" w:space="0"/>
                    <w:left w:val="single" w:color="000000" w:sz="4" w:space="0"/>
                    <w:bottom w:val="single" w:color="000000" w:sz="4" w:space="0"/>
                    <w:right w:val="single" w:color="000000" w:sz="4" w:space="0"/>
                  </w:tcBorders>
                  <w:vAlign w:val="center"/>
                </w:tcPr>
                <w:p w14:paraId="18A33D88">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风速</w:t>
                  </w:r>
                </w:p>
              </w:tc>
              <w:tc>
                <w:tcPr>
                  <w:tcW w:w="1517" w:type="pct"/>
                  <w:tcBorders>
                    <w:top w:val="single" w:color="000000" w:sz="4" w:space="0"/>
                    <w:left w:val="single" w:color="000000" w:sz="4" w:space="0"/>
                    <w:bottom w:val="single" w:color="000000" w:sz="4" w:space="0"/>
                    <w:right w:val="single" w:color="000000" w:sz="4" w:space="0"/>
                  </w:tcBorders>
                  <w:vAlign w:val="center"/>
                </w:tcPr>
                <w:p w14:paraId="497C5ABB">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测量原理</w:t>
                  </w:r>
                </w:p>
              </w:tc>
              <w:tc>
                <w:tcPr>
                  <w:tcW w:w="2440" w:type="pct"/>
                  <w:tcBorders>
                    <w:top w:val="single" w:color="000000" w:sz="4" w:space="0"/>
                    <w:left w:val="single" w:color="000000" w:sz="4" w:space="0"/>
                    <w:bottom w:val="single" w:color="000000" w:sz="4" w:space="0"/>
                    <w:right w:val="single" w:color="000000" w:sz="4" w:space="0"/>
                  </w:tcBorders>
                  <w:vAlign w:val="center"/>
                </w:tcPr>
                <w:p w14:paraId="42B186FC">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超声波</w:t>
                  </w:r>
                </w:p>
              </w:tc>
            </w:tr>
            <w:tr w14:paraId="23DBAE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5"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64FD9F14">
                  <w:pPr>
                    <w:widowControl w:val="0"/>
                    <w:kinsoku/>
                    <w:adjustRightInd/>
                    <w:snapToGrid/>
                    <w:spacing w:line="400" w:lineRule="exact"/>
                    <w:textAlignment w:val="auto"/>
                    <w:rPr>
                      <w:rFonts w:cs="宋体" w:asciiTheme="minorEastAsia" w:hAnsiTheme="minorEastAsia"/>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70CCA744">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测量范围</w:t>
                  </w:r>
                </w:p>
              </w:tc>
              <w:tc>
                <w:tcPr>
                  <w:tcW w:w="2440" w:type="pct"/>
                  <w:tcBorders>
                    <w:top w:val="single" w:color="000000" w:sz="4" w:space="0"/>
                    <w:left w:val="single" w:color="000000" w:sz="4" w:space="0"/>
                    <w:bottom w:val="single" w:color="000000" w:sz="4" w:space="0"/>
                    <w:right w:val="single" w:color="000000" w:sz="4" w:space="0"/>
                  </w:tcBorders>
                  <w:vAlign w:val="center"/>
                </w:tcPr>
                <w:p w14:paraId="7639D635">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0…80m/s</w:t>
                  </w:r>
                </w:p>
              </w:tc>
            </w:tr>
            <w:tr w14:paraId="39AC35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9"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3DCFEE49">
                  <w:pPr>
                    <w:widowControl w:val="0"/>
                    <w:kinsoku/>
                    <w:adjustRightInd/>
                    <w:snapToGrid/>
                    <w:spacing w:line="400" w:lineRule="exact"/>
                    <w:textAlignment w:val="auto"/>
                    <w:rPr>
                      <w:rFonts w:cs="宋体" w:asciiTheme="minorEastAsia" w:hAnsiTheme="minorEastAsia"/>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6CF5417B">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测量精度</w:t>
                  </w:r>
                </w:p>
              </w:tc>
              <w:tc>
                <w:tcPr>
                  <w:tcW w:w="2440" w:type="pct"/>
                  <w:tcBorders>
                    <w:top w:val="single" w:color="000000" w:sz="4" w:space="0"/>
                    <w:left w:val="single" w:color="000000" w:sz="4" w:space="0"/>
                    <w:bottom w:val="single" w:color="000000" w:sz="4" w:space="0"/>
                    <w:right w:val="single" w:color="000000" w:sz="4" w:space="0"/>
                  </w:tcBorders>
                  <w:vAlign w:val="center"/>
                </w:tcPr>
                <w:p w14:paraId="17DDF928">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±0.1m/s</w:t>
                  </w:r>
                </w:p>
              </w:tc>
            </w:tr>
            <w:tr w14:paraId="10B52B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1"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1E8EF050">
                  <w:pPr>
                    <w:widowControl w:val="0"/>
                    <w:kinsoku/>
                    <w:adjustRightInd/>
                    <w:snapToGrid/>
                    <w:spacing w:line="400" w:lineRule="exact"/>
                    <w:textAlignment w:val="auto"/>
                    <w:rPr>
                      <w:rFonts w:cs="宋体" w:asciiTheme="minorEastAsia" w:hAnsiTheme="minorEastAsia"/>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6CA5E63B">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分辨率</w:t>
                  </w:r>
                </w:p>
              </w:tc>
              <w:tc>
                <w:tcPr>
                  <w:tcW w:w="2440" w:type="pct"/>
                  <w:tcBorders>
                    <w:top w:val="single" w:color="000000" w:sz="4" w:space="0"/>
                    <w:left w:val="single" w:color="000000" w:sz="4" w:space="0"/>
                    <w:bottom w:val="single" w:color="000000" w:sz="4" w:space="0"/>
                    <w:right w:val="single" w:color="000000" w:sz="4" w:space="0"/>
                  </w:tcBorders>
                  <w:vAlign w:val="center"/>
                </w:tcPr>
                <w:p w14:paraId="337E55FA">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0.05m/s</w:t>
                  </w:r>
                </w:p>
              </w:tc>
            </w:tr>
            <w:tr w14:paraId="4592D0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0" w:hRule="atLeast"/>
              </w:trPr>
              <w:tc>
                <w:tcPr>
                  <w:tcW w:w="1043" w:type="pct"/>
                  <w:vMerge w:val="restart"/>
                  <w:tcBorders>
                    <w:top w:val="single" w:color="000000" w:sz="4" w:space="0"/>
                    <w:left w:val="single" w:color="000000" w:sz="4" w:space="0"/>
                    <w:bottom w:val="single" w:color="000000" w:sz="4" w:space="0"/>
                    <w:right w:val="single" w:color="000000" w:sz="4" w:space="0"/>
                  </w:tcBorders>
                  <w:vAlign w:val="center"/>
                </w:tcPr>
                <w:p w14:paraId="1141FD73">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风向</w:t>
                  </w:r>
                </w:p>
              </w:tc>
              <w:tc>
                <w:tcPr>
                  <w:tcW w:w="1517" w:type="pct"/>
                  <w:tcBorders>
                    <w:top w:val="single" w:color="000000" w:sz="4" w:space="0"/>
                    <w:left w:val="single" w:color="000000" w:sz="4" w:space="0"/>
                    <w:bottom w:val="single" w:color="000000" w:sz="4" w:space="0"/>
                    <w:right w:val="single" w:color="000000" w:sz="4" w:space="0"/>
                  </w:tcBorders>
                  <w:vAlign w:val="center"/>
                </w:tcPr>
                <w:p w14:paraId="2BA4E930">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测量原理</w:t>
                  </w:r>
                </w:p>
              </w:tc>
              <w:tc>
                <w:tcPr>
                  <w:tcW w:w="2440" w:type="pct"/>
                  <w:tcBorders>
                    <w:top w:val="single" w:color="000000" w:sz="4" w:space="0"/>
                    <w:left w:val="single" w:color="000000" w:sz="4" w:space="0"/>
                    <w:bottom w:val="single" w:color="000000" w:sz="4" w:space="0"/>
                    <w:right w:val="single" w:color="000000" w:sz="4" w:space="0"/>
                  </w:tcBorders>
                  <w:vAlign w:val="center"/>
                </w:tcPr>
                <w:p w14:paraId="7092AA0E">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超声波</w:t>
                  </w:r>
                </w:p>
              </w:tc>
            </w:tr>
            <w:tr w14:paraId="3003E9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7"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2C4A0AC5">
                  <w:pPr>
                    <w:widowControl w:val="0"/>
                    <w:kinsoku/>
                    <w:adjustRightInd/>
                    <w:snapToGrid/>
                    <w:spacing w:line="400" w:lineRule="exact"/>
                    <w:textAlignment w:val="auto"/>
                    <w:rPr>
                      <w:rFonts w:cs="宋体" w:asciiTheme="minorEastAsia" w:hAnsiTheme="minorEastAsia"/>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2F8C0407">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测量范围</w:t>
                  </w:r>
                </w:p>
              </w:tc>
              <w:tc>
                <w:tcPr>
                  <w:tcW w:w="2440" w:type="pct"/>
                  <w:tcBorders>
                    <w:top w:val="single" w:color="000000" w:sz="4" w:space="0"/>
                    <w:left w:val="single" w:color="000000" w:sz="4" w:space="0"/>
                    <w:bottom w:val="single" w:color="000000" w:sz="4" w:space="0"/>
                    <w:right w:val="single" w:color="000000" w:sz="4" w:space="0"/>
                  </w:tcBorders>
                  <w:vAlign w:val="center"/>
                </w:tcPr>
                <w:p w14:paraId="29835FEE">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0…360°</w:t>
                  </w:r>
                </w:p>
              </w:tc>
            </w:tr>
            <w:tr w14:paraId="0081F0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212979BB">
                  <w:pPr>
                    <w:widowControl w:val="0"/>
                    <w:kinsoku/>
                    <w:adjustRightInd/>
                    <w:snapToGrid/>
                    <w:spacing w:line="400" w:lineRule="exact"/>
                    <w:textAlignment w:val="auto"/>
                    <w:rPr>
                      <w:rFonts w:cs="宋体" w:asciiTheme="minorEastAsia" w:hAnsiTheme="minorEastAsia"/>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4F2FBE85">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测量精度</w:t>
                  </w:r>
                </w:p>
              </w:tc>
              <w:tc>
                <w:tcPr>
                  <w:tcW w:w="2440" w:type="pct"/>
                  <w:tcBorders>
                    <w:top w:val="single" w:color="000000" w:sz="4" w:space="0"/>
                    <w:left w:val="single" w:color="000000" w:sz="4" w:space="0"/>
                    <w:bottom w:val="single" w:color="000000" w:sz="4" w:space="0"/>
                    <w:right w:val="single" w:color="000000" w:sz="4" w:space="0"/>
                  </w:tcBorders>
                  <w:vAlign w:val="center"/>
                </w:tcPr>
                <w:p w14:paraId="75ACC802">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±3°</w:t>
                  </w:r>
                </w:p>
              </w:tc>
            </w:tr>
            <w:tr w14:paraId="4DE3FD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7"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14000740">
                  <w:pPr>
                    <w:widowControl w:val="0"/>
                    <w:kinsoku/>
                    <w:adjustRightInd/>
                    <w:snapToGrid/>
                    <w:spacing w:line="400" w:lineRule="exact"/>
                    <w:textAlignment w:val="auto"/>
                    <w:rPr>
                      <w:rFonts w:cs="宋体" w:asciiTheme="minorEastAsia" w:hAnsiTheme="minorEastAsia"/>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6022D1C1">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分辨率</w:t>
                  </w:r>
                </w:p>
              </w:tc>
              <w:tc>
                <w:tcPr>
                  <w:tcW w:w="2440" w:type="pct"/>
                  <w:tcBorders>
                    <w:top w:val="single" w:color="000000" w:sz="4" w:space="0"/>
                    <w:left w:val="single" w:color="000000" w:sz="4" w:space="0"/>
                    <w:bottom w:val="single" w:color="000000" w:sz="4" w:space="0"/>
                    <w:right w:val="single" w:color="000000" w:sz="4" w:space="0"/>
                  </w:tcBorders>
                  <w:vAlign w:val="center"/>
                </w:tcPr>
                <w:p w14:paraId="32D5C499">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0.1°</w:t>
                  </w:r>
                </w:p>
              </w:tc>
            </w:tr>
            <w:tr w14:paraId="0FD8C9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0" w:hRule="atLeast"/>
              </w:trPr>
              <w:tc>
                <w:tcPr>
                  <w:tcW w:w="1043" w:type="pct"/>
                  <w:vMerge w:val="restart"/>
                  <w:tcBorders>
                    <w:top w:val="single" w:color="000000" w:sz="4" w:space="0"/>
                    <w:left w:val="single" w:color="000000" w:sz="4" w:space="0"/>
                    <w:bottom w:val="single" w:color="000000" w:sz="4" w:space="0"/>
                    <w:right w:val="single" w:color="000000" w:sz="4" w:space="0"/>
                  </w:tcBorders>
                  <w:vAlign w:val="center"/>
                </w:tcPr>
                <w:p w14:paraId="3E900BA4">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温度</w:t>
                  </w:r>
                </w:p>
              </w:tc>
              <w:tc>
                <w:tcPr>
                  <w:tcW w:w="1517" w:type="pct"/>
                  <w:tcBorders>
                    <w:top w:val="single" w:color="000000" w:sz="4" w:space="0"/>
                    <w:left w:val="single" w:color="000000" w:sz="4" w:space="0"/>
                    <w:bottom w:val="single" w:color="000000" w:sz="4" w:space="0"/>
                    <w:right w:val="single" w:color="000000" w:sz="4" w:space="0"/>
                  </w:tcBorders>
                  <w:vAlign w:val="center"/>
                </w:tcPr>
                <w:p w14:paraId="371B5710">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测量原理</w:t>
                  </w:r>
                </w:p>
              </w:tc>
              <w:tc>
                <w:tcPr>
                  <w:tcW w:w="2440" w:type="pct"/>
                  <w:tcBorders>
                    <w:top w:val="single" w:color="000000" w:sz="4" w:space="0"/>
                    <w:left w:val="single" w:color="000000" w:sz="4" w:space="0"/>
                    <w:bottom w:val="single" w:color="000000" w:sz="4" w:space="0"/>
                    <w:right w:val="single" w:color="000000" w:sz="4" w:space="0"/>
                  </w:tcBorders>
                  <w:vAlign w:val="center"/>
                </w:tcPr>
                <w:p w14:paraId="2EE7DB67">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二极管结电压</w:t>
                  </w:r>
                </w:p>
              </w:tc>
            </w:tr>
            <w:tr w14:paraId="6714A2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7"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0AA5A7E8">
                  <w:pPr>
                    <w:widowControl w:val="0"/>
                    <w:kinsoku/>
                    <w:adjustRightInd/>
                    <w:snapToGrid/>
                    <w:spacing w:line="400" w:lineRule="exact"/>
                    <w:textAlignment w:val="auto"/>
                    <w:rPr>
                      <w:rFonts w:cs="宋体" w:asciiTheme="minorEastAsia" w:hAnsiTheme="minorEastAsia"/>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10271AE5">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测量范围</w:t>
                  </w:r>
                </w:p>
              </w:tc>
              <w:tc>
                <w:tcPr>
                  <w:tcW w:w="2440" w:type="pct"/>
                  <w:tcBorders>
                    <w:top w:val="single" w:color="000000" w:sz="4" w:space="0"/>
                    <w:left w:val="single" w:color="000000" w:sz="4" w:space="0"/>
                    <w:bottom w:val="single" w:color="000000" w:sz="4" w:space="0"/>
                    <w:right w:val="single" w:color="000000" w:sz="4" w:space="0"/>
                  </w:tcBorders>
                  <w:vAlign w:val="center"/>
                </w:tcPr>
                <w:p w14:paraId="473F6BBA">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-40…+65℃</w:t>
                  </w:r>
                </w:p>
              </w:tc>
            </w:tr>
            <w:tr w14:paraId="372A3C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1"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1DB1941A">
                  <w:pPr>
                    <w:widowControl w:val="0"/>
                    <w:kinsoku/>
                    <w:adjustRightInd/>
                    <w:snapToGrid/>
                    <w:spacing w:line="400" w:lineRule="exact"/>
                    <w:textAlignment w:val="auto"/>
                    <w:rPr>
                      <w:rFonts w:cs="宋体" w:asciiTheme="minorEastAsia" w:hAnsiTheme="minorEastAsia"/>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408B6756">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测量精度</w:t>
                  </w:r>
                </w:p>
              </w:tc>
              <w:tc>
                <w:tcPr>
                  <w:tcW w:w="2440" w:type="pct"/>
                  <w:tcBorders>
                    <w:top w:val="single" w:color="000000" w:sz="4" w:space="0"/>
                    <w:left w:val="single" w:color="000000" w:sz="4" w:space="0"/>
                    <w:bottom w:val="single" w:color="000000" w:sz="4" w:space="0"/>
                    <w:right w:val="single" w:color="000000" w:sz="4" w:space="0"/>
                  </w:tcBorders>
                  <w:vAlign w:val="center"/>
                </w:tcPr>
                <w:p w14:paraId="3F08296E">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±0.3℃</w:t>
                  </w:r>
                </w:p>
              </w:tc>
            </w:tr>
            <w:tr w14:paraId="5FCF30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8"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6A71F864">
                  <w:pPr>
                    <w:widowControl w:val="0"/>
                    <w:kinsoku/>
                    <w:adjustRightInd/>
                    <w:snapToGrid/>
                    <w:spacing w:line="400" w:lineRule="exact"/>
                    <w:textAlignment w:val="auto"/>
                    <w:rPr>
                      <w:rFonts w:cs="宋体" w:asciiTheme="minorEastAsia" w:hAnsiTheme="minorEastAsia"/>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31530FA9">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分辨率</w:t>
                  </w:r>
                </w:p>
              </w:tc>
              <w:tc>
                <w:tcPr>
                  <w:tcW w:w="2440" w:type="pct"/>
                  <w:tcBorders>
                    <w:top w:val="single" w:color="000000" w:sz="4" w:space="0"/>
                    <w:left w:val="single" w:color="000000" w:sz="4" w:space="0"/>
                    <w:bottom w:val="single" w:color="000000" w:sz="4" w:space="0"/>
                    <w:right w:val="single" w:color="000000" w:sz="4" w:space="0"/>
                  </w:tcBorders>
                  <w:vAlign w:val="center"/>
                </w:tcPr>
                <w:p w14:paraId="5A8C9F7C">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0.1℃</w:t>
                  </w:r>
                </w:p>
              </w:tc>
            </w:tr>
            <w:tr w14:paraId="4801BF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6" w:hRule="atLeast"/>
              </w:trPr>
              <w:tc>
                <w:tcPr>
                  <w:tcW w:w="1043" w:type="pct"/>
                  <w:vMerge w:val="restart"/>
                  <w:tcBorders>
                    <w:top w:val="single" w:color="000000" w:sz="4" w:space="0"/>
                    <w:left w:val="single" w:color="000000" w:sz="4" w:space="0"/>
                    <w:bottom w:val="single" w:color="000000" w:sz="4" w:space="0"/>
                    <w:right w:val="single" w:color="000000" w:sz="4" w:space="0"/>
                  </w:tcBorders>
                  <w:vAlign w:val="center"/>
                </w:tcPr>
                <w:p w14:paraId="2A8E8514">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湿度</w:t>
                  </w:r>
                </w:p>
              </w:tc>
              <w:tc>
                <w:tcPr>
                  <w:tcW w:w="1517" w:type="pct"/>
                  <w:tcBorders>
                    <w:top w:val="single" w:color="000000" w:sz="4" w:space="0"/>
                    <w:left w:val="single" w:color="000000" w:sz="4" w:space="0"/>
                    <w:bottom w:val="single" w:color="000000" w:sz="4" w:space="0"/>
                    <w:right w:val="single" w:color="000000" w:sz="4" w:space="0"/>
                  </w:tcBorders>
                  <w:vAlign w:val="center"/>
                </w:tcPr>
                <w:p w14:paraId="38941ABF">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测量原理</w:t>
                  </w:r>
                </w:p>
              </w:tc>
              <w:tc>
                <w:tcPr>
                  <w:tcW w:w="2440" w:type="pct"/>
                  <w:tcBorders>
                    <w:top w:val="single" w:color="000000" w:sz="4" w:space="0"/>
                    <w:left w:val="single" w:color="000000" w:sz="4" w:space="0"/>
                    <w:bottom w:val="single" w:color="000000" w:sz="4" w:space="0"/>
                    <w:right w:val="single" w:color="000000" w:sz="4" w:space="0"/>
                  </w:tcBorders>
                  <w:vAlign w:val="center"/>
                </w:tcPr>
                <w:p w14:paraId="24D2D9FF">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电容式</w:t>
                  </w:r>
                </w:p>
              </w:tc>
            </w:tr>
            <w:tr w14:paraId="68EA35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061BEC90">
                  <w:pPr>
                    <w:widowControl w:val="0"/>
                    <w:kinsoku/>
                    <w:adjustRightInd/>
                    <w:snapToGrid/>
                    <w:spacing w:line="400" w:lineRule="exact"/>
                    <w:textAlignment w:val="auto"/>
                    <w:rPr>
                      <w:rFonts w:cs="宋体" w:asciiTheme="minorEastAsia" w:hAnsiTheme="minorEastAsia"/>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784F1518">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测量范围</w:t>
                  </w:r>
                </w:p>
              </w:tc>
              <w:tc>
                <w:tcPr>
                  <w:tcW w:w="2440" w:type="pct"/>
                  <w:tcBorders>
                    <w:top w:val="single" w:color="000000" w:sz="4" w:space="0"/>
                    <w:left w:val="single" w:color="000000" w:sz="4" w:space="0"/>
                    <w:bottom w:val="single" w:color="000000" w:sz="4" w:space="0"/>
                    <w:right w:val="single" w:color="000000" w:sz="4" w:space="0"/>
                  </w:tcBorders>
                  <w:vAlign w:val="center"/>
                </w:tcPr>
                <w:p w14:paraId="0CE9302F">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0…100% RH</w:t>
                  </w:r>
                </w:p>
              </w:tc>
            </w:tr>
            <w:tr w14:paraId="24EDA1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6"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7C0B5D40">
                  <w:pPr>
                    <w:widowControl w:val="0"/>
                    <w:kinsoku/>
                    <w:adjustRightInd/>
                    <w:snapToGrid/>
                    <w:spacing w:line="400" w:lineRule="exact"/>
                    <w:textAlignment w:val="auto"/>
                    <w:rPr>
                      <w:rFonts w:cs="宋体" w:asciiTheme="minorEastAsia" w:hAnsiTheme="minorEastAsia"/>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5B056CBD">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测量精度</w:t>
                  </w:r>
                </w:p>
              </w:tc>
              <w:tc>
                <w:tcPr>
                  <w:tcW w:w="2440" w:type="pct"/>
                  <w:tcBorders>
                    <w:top w:val="single" w:color="000000" w:sz="4" w:space="0"/>
                    <w:left w:val="single" w:color="000000" w:sz="4" w:space="0"/>
                    <w:bottom w:val="single" w:color="000000" w:sz="4" w:space="0"/>
                    <w:right w:val="single" w:color="000000" w:sz="4" w:space="0"/>
                  </w:tcBorders>
                  <w:vAlign w:val="center"/>
                </w:tcPr>
                <w:p w14:paraId="7A297EAD">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±0.1%</w:t>
                  </w:r>
                </w:p>
              </w:tc>
            </w:tr>
            <w:tr w14:paraId="2245B0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8"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4B688929">
                  <w:pPr>
                    <w:widowControl w:val="0"/>
                    <w:kinsoku/>
                    <w:adjustRightInd/>
                    <w:snapToGrid/>
                    <w:spacing w:line="400" w:lineRule="exact"/>
                    <w:textAlignment w:val="auto"/>
                    <w:rPr>
                      <w:rFonts w:cs="宋体" w:asciiTheme="minorEastAsia" w:hAnsiTheme="minorEastAsia"/>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0462C1DD">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分辨率</w:t>
                  </w:r>
                </w:p>
              </w:tc>
              <w:tc>
                <w:tcPr>
                  <w:tcW w:w="2440" w:type="pct"/>
                  <w:tcBorders>
                    <w:top w:val="single" w:color="000000" w:sz="4" w:space="0"/>
                    <w:left w:val="single" w:color="000000" w:sz="4" w:space="0"/>
                    <w:bottom w:val="single" w:color="000000" w:sz="4" w:space="0"/>
                    <w:right w:val="single" w:color="000000" w:sz="4" w:space="0"/>
                  </w:tcBorders>
                  <w:vAlign w:val="center"/>
                </w:tcPr>
                <w:p w14:paraId="5BB3F833">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0.05%</w:t>
                  </w:r>
                </w:p>
              </w:tc>
            </w:tr>
            <w:tr w14:paraId="542621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3" w:hRule="atLeast"/>
              </w:trPr>
              <w:tc>
                <w:tcPr>
                  <w:tcW w:w="1043" w:type="pct"/>
                  <w:vMerge w:val="restart"/>
                  <w:tcBorders>
                    <w:top w:val="single" w:color="000000" w:sz="4" w:space="0"/>
                    <w:left w:val="single" w:color="000000" w:sz="4" w:space="0"/>
                    <w:bottom w:val="single" w:color="000000" w:sz="4" w:space="0"/>
                    <w:right w:val="single" w:color="000000" w:sz="4" w:space="0"/>
                  </w:tcBorders>
                  <w:vAlign w:val="center"/>
                </w:tcPr>
                <w:p w14:paraId="66861933">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大气压</w:t>
                  </w:r>
                </w:p>
              </w:tc>
              <w:tc>
                <w:tcPr>
                  <w:tcW w:w="1517" w:type="pct"/>
                  <w:tcBorders>
                    <w:top w:val="single" w:color="000000" w:sz="4" w:space="0"/>
                    <w:left w:val="single" w:color="000000" w:sz="4" w:space="0"/>
                    <w:bottom w:val="single" w:color="000000" w:sz="4" w:space="0"/>
                    <w:right w:val="single" w:color="000000" w:sz="4" w:space="0"/>
                  </w:tcBorders>
                  <w:vAlign w:val="center"/>
                </w:tcPr>
                <w:p w14:paraId="4181B6F5">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测量原理</w:t>
                  </w:r>
                </w:p>
              </w:tc>
              <w:tc>
                <w:tcPr>
                  <w:tcW w:w="2440" w:type="pct"/>
                  <w:tcBorders>
                    <w:top w:val="single" w:color="000000" w:sz="4" w:space="0"/>
                    <w:left w:val="single" w:color="000000" w:sz="4" w:space="0"/>
                    <w:bottom w:val="single" w:color="000000" w:sz="4" w:space="0"/>
                    <w:right w:val="single" w:color="000000" w:sz="4" w:space="0"/>
                  </w:tcBorders>
                  <w:vAlign w:val="center"/>
                </w:tcPr>
                <w:p w14:paraId="2854B164">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压阻式</w:t>
                  </w:r>
                </w:p>
              </w:tc>
            </w:tr>
            <w:tr w14:paraId="308D55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7"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55E95CC0">
                  <w:pPr>
                    <w:widowControl w:val="0"/>
                    <w:kinsoku/>
                    <w:adjustRightInd/>
                    <w:snapToGrid/>
                    <w:spacing w:line="400" w:lineRule="exact"/>
                    <w:textAlignment w:val="auto"/>
                    <w:rPr>
                      <w:rFonts w:cs="宋体" w:asciiTheme="minorEastAsia" w:hAnsiTheme="minorEastAsia"/>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74980CB6">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测量范围</w:t>
                  </w:r>
                </w:p>
              </w:tc>
              <w:tc>
                <w:tcPr>
                  <w:tcW w:w="2440" w:type="pct"/>
                  <w:tcBorders>
                    <w:top w:val="single" w:color="000000" w:sz="4" w:space="0"/>
                    <w:left w:val="single" w:color="000000" w:sz="4" w:space="0"/>
                    <w:bottom w:val="single" w:color="000000" w:sz="4" w:space="0"/>
                    <w:right w:val="single" w:color="000000" w:sz="4" w:space="0"/>
                  </w:tcBorders>
                  <w:vAlign w:val="center"/>
                </w:tcPr>
                <w:p w14:paraId="082C8F97">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540…1100hpa</w:t>
                  </w:r>
                </w:p>
              </w:tc>
            </w:tr>
            <w:tr w14:paraId="2E61F3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5"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39240076">
                  <w:pPr>
                    <w:widowControl w:val="0"/>
                    <w:kinsoku/>
                    <w:adjustRightInd/>
                    <w:snapToGrid/>
                    <w:spacing w:line="400" w:lineRule="exact"/>
                    <w:textAlignment w:val="auto"/>
                    <w:rPr>
                      <w:rFonts w:cs="宋体" w:asciiTheme="minorEastAsia" w:hAnsiTheme="minorEastAsia"/>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35328E67">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测量精度</w:t>
                  </w:r>
                </w:p>
              </w:tc>
              <w:tc>
                <w:tcPr>
                  <w:tcW w:w="2440" w:type="pct"/>
                  <w:tcBorders>
                    <w:top w:val="single" w:color="000000" w:sz="4" w:space="0"/>
                    <w:left w:val="single" w:color="000000" w:sz="4" w:space="0"/>
                    <w:bottom w:val="single" w:color="000000" w:sz="4" w:space="0"/>
                    <w:right w:val="single" w:color="000000" w:sz="4" w:space="0"/>
                  </w:tcBorders>
                  <w:vAlign w:val="center"/>
                </w:tcPr>
                <w:p w14:paraId="6F8DCF98">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±0.1hpa</w:t>
                  </w:r>
                </w:p>
              </w:tc>
            </w:tr>
            <w:tr w14:paraId="3C53CD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7"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7ECE1E9E">
                  <w:pPr>
                    <w:widowControl w:val="0"/>
                    <w:kinsoku/>
                    <w:adjustRightInd/>
                    <w:snapToGrid/>
                    <w:spacing w:line="400" w:lineRule="exact"/>
                    <w:textAlignment w:val="auto"/>
                    <w:rPr>
                      <w:rFonts w:cs="宋体" w:asciiTheme="minorEastAsia" w:hAnsiTheme="minorEastAsia"/>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44798D62">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分辨率</w:t>
                  </w:r>
                </w:p>
              </w:tc>
              <w:tc>
                <w:tcPr>
                  <w:tcW w:w="2440" w:type="pct"/>
                  <w:tcBorders>
                    <w:top w:val="single" w:color="000000" w:sz="4" w:space="0"/>
                    <w:left w:val="single" w:color="000000" w:sz="4" w:space="0"/>
                    <w:bottom w:val="single" w:color="000000" w:sz="4" w:space="0"/>
                    <w:right w:val="single" w:color="000000" w:sz="4" w:space="0"/>
                  </w:tcBorders>
                  <w:vAlign w:val="center"/>
                </w:tcPr>
                <w:p w14:paraId="0631B75B">
                  <w:pPr>
                    <w:pStyle w:val="9"/>
                    <w:widowControl w:val="0"/>
                    <w:kinsoku/>
                    <w:adjustRightInd/>
                    <w:snapToGrid/>
                    <w:spacing w:before="0" w:line="400" w:lineRule="exact"/>
                    <w:textAlignment w:val="auto"/>
                    <w:rPr>
                      <w:rFonts w:hint="eastAsia" w:asciiTheme="minorEastAsia" w:hAnsiTheme="minorEastAsia" w:eastAsiaTheme="minorEastAsia"/>
                      <w:szCs w:val="21"/>
                    </w:rPr>
                  </w:pPr>
                  <w:r>
                    <w:rPr>
                      <w:rFonts w:hint="eastAsia" w:asciiTheme="minorEastAsia" w:hAnsiTheme="minorEastAsia" w:eastAsiaTheme="minorEastAsia"/>
                      <w:szCs w:val="21"/>
                    </w:rPr>
                    <w:t>0.1hpa</w:t>
                  </w:r>
                </w:p>
              </w:tc>
            </w:tr>
          </w:tbl>
          <w:p w14:paraId="760D6CC6">
            <w:pPr>
              <w:widowControl w:val="0"/>
              <w:kinsoku/>
              <w:adjustRightInd/>
              <w:snapToGrid/>
              <w:spacing w:line="400" w:lineRule="exact"/>
              <w:jc w:val="left"/>
              <w:textAlignment w:val="auto"/>
              <w:rPr>
                <w:rFonts w:cs="宋体" w:asciiTheme="minorEastAsia" w:hAnsiTheme="minorEastAsia"/>
                <w:sz w:val="24"/>
              </w:rPr>
            </w:pPr>
          </w:p>
        </w:tc>
        <w:tc>
          <w:tcPr>
            <w:tcW w:w="426" w:type="dxa"/>
            <w:vAlign w:val="center"/>
          </w:tcPr>
          <w:p w14:paraId="7C12F1CB">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台</w:t>
            </w:r>
          </w:p>
        </w:tc>
        <w:tc>
          <w:tcPr>
            <w:tcW w:w="682" w:type="dxa"/>
            <w:vAlign w:val="center"/>
          </w:tcPr>
          <w:p w14:paraId="7DD30156">
            <w:pPr>
              <w:widowControl w:val="0"/>
              <w:kinsoku/>
              <w:adjustRightInd/>
              <w:snapToGrid/>
              <w:spacing w:line="400" w:lineRule="exact"/>
              <w:jc w:val="center"/>
              <w:textAlignment w:val="auto"/>
              <w:rPr>
                <w:rFonts w:asciiTheme="minorEastAsia" w:hAnsiTheme="minorEastAsia" w:cstheme="majorEastAsia"/>
                <w:sz w:val="24"/>
              </w:rPr>
            </w:pPr>
            <w:r>
              <w:rPr>
                <w:rFonts w:hint="eastAsia" w:asciiTheme="minorEastAsia" w:hAnsiTheme="minorEastAsia" w:cstheme="majorEastAsia"/>
                <w:sz w:val="24"/>
              </w:rPr>
              <w:t>1</w:t>
            </w:r>
          </w:p>
        </w:tc>
      </w:tr>
      <w:tr w14:paraId="4D91C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vAlign w:val="center"/>
          </w:tcPr>
          <w:p w14:paraId="1D639E5E">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9</w:t>
            </w:r>
          </w:p>
        </w:tc>
        <w:tc>
          <w:tcPr>
            <w:tcW w:w="849" w:type="dxa"/>
            <w:vAlign w:val="center"/>
          </w:tcPr>
          <w:p w14:paraId="11BF50D2">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车辆底盘及改造</w:t>
            </w:r>
          </w:p>
        </w:tc>
        <w:tc>
          <w:tcPr>
            <w:tcW w:w="6804" w:type="dxa"/>
            <w:vAlign w:val="center"/>
          </w:tcPr>
          <w:p w14:paraId="738C4581">
            <w:pPr>
              <w:pStyle w:val="10"/>
              <w:numPr>
                <w:ilvl w:val="0"/>
                <w:numId w:val="3"/>
              </w:numPr>
              <w:adjustRightInd/>
              <w:spacing w:line="400" w:lineRule="exact"/>
              <w:jc w:val="both"/>
            </w:pPr>
            <w:r>
              <w:rPr>
                <w:rFonts w:hint="eastAsia"/>
              </w:rPr>
              <w:t>基本要求</w:t>
            </w:r>
          </w:p>
          <w:p w14:paraId="67534F0F">
            <w:pPr>
              <w:widowControl w:val="0"/>
              <w:kinsoku/>
              <w:adjustRightInd/>
              <w:snapToGrid/>
              <w:spacing w:line="400" w:lineRule="exact"/>
              <w:jc w:val="left"/>
              <w:textAlignment w:val="auto"/>
              <w:rPr>
                <w:rFonts w:ascii="宋体" w:hAnsi="Times New Roman" w:eastAsia="宋体" w:cs="宋体"/>
                <w:sz w:val="22"/>
                <w:szCs w:val="22"/>
                <w:lang w:eastAsia="zh-CN"/>
              </w:rPr>
            </w:pPr>
            <w:r>
              <w:rPr>
                <w:rFonts w:hint="eastAsia" w:ascii="宋体" w:hAnsi="Times New Roman" w:eastAsia="宋体" w:cs="宋体"/>
                <w:sz w:val="24"/>
                <w:lang w:eastAsia="zh-CN"/>
              </w:rPr>
              <w:t>车型选择以安全性为前提，主要从发动机、变速箱、车体尺寸、载重量、轴距、排放标准等方面综合考虑</w:t>
            </w:r>
            <w:r>
              <w:rPr>
                <w:rFonts w:hint="eastAsia" w:ascii="宋体" w:hAnsi="Times New Roman" w:eastAsia="宋体" w:cs="宋体"/>
                <w:sz w:val="22"/>
                <w:szCs w:val="22"/>
                <w:lang w:eastAsia="zh-CN"/>
              </w:rPr>
              <w:t>。</w:t>
            </w:r>
          </w:p>
          <w:tbl>
            <w:tblPr>
              <w:tblStyle w:val="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1"/>
              <w:gridCol w:w="1560"/>
              <w:gridCol w:w="2269"/>
              <w:gridCol w:w="1488"/>
            </w:tblGrid>
            <w:tr w14:paraId="25E42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958"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020CF38E">
                  <w:pPr>
                    <w:widowControl w:val="0"/>
                    <w:kinsoku/>
                    <w:adjustRightInd/>
                    <w:snapToGrid/>
                    <w:spacing w:line="400" w:lineRule="exact"/>
                    <w:textAlignment w:val="auto"/>
                    <w:rPr>
                      <w:sz w:val="22"/>
                      <w:szCs w:val="22"/>
                    </w:rPr>
                  </w:pPr>
                  <w:r>
                    <w:rPr>
                      <w:rFonts w:hint="eastAsia"/>
                      <w:sz w:val="22"/>
                      <w:szCs w:val="22"/>
                    </w:rPr>
                    <w:t>整备质量</w:t>
                  </w:r>
                </w:p>
              </w:tc>
              <w:tc>
                <w:tcPr>
                  <w:tcW w:w="1186"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45E840CA">
                  <w:pPr>
                    <w:widowControl w:val="0"/>
                    <w:kinsoku/>
                    <w:adjustRightInd/>
                    <w:snapToGrid/>
                    <w:spacing w:line="400" w:lineRule="exact"/>
                    <w:textAlignment w:val="auto"/>
                    <w:rPr>
                      <w:sz w:val="22"/>
                      <w:szCs w:val="22"/>
                    </w:rPr>
                  </w:pPr>
                  <w:r>
                    <w:rPr>
                      <w:rFonts w:hint="eastAsia"/>
                      <w:sz w:val="22"/>
                      <w:szCs w:val="22"/>
                    </w:rPr>
                    <w:t>≥</w:t>
                  </w:r>
                  <w:r>
                    <w:rPr>
                      <w:sz w:val="22"/>
                      <w:szCs w:val="22"/>
                    </w:rPr>
                    <w:t>3</w:t>
                  </w:r>
                  <w:r>
                    <w:rPr>
                      <w:rFonts w:hint="eastAsia"/>
                      <w:sz w:val="22"/>
                      <w:szCs w:val="22"/>
                    </w:rPr>
                    <w:t>7</w:t>
                  </w:r>
                  <w:r>
                    <w:rPr>
                      <w:sz w:val="22"/>
                      <w:szCs w:val="22"/>
                    </w:rPr>
                    <w:t>00kg</w:t>
                  </w:r>
                </w:p>
              </w:tc>
              <w:tc>
                <w:tcPr>
                  <w:tcW w:w="1725"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7A0A53AF">
                  <w:pPr>
                    <w:widowControl w:val="0"/>
                    <w:kinsoku/>
                    <w:adjustRightInd/>
                    <w:snapToGrid/>
                    <w:spacing w:line="400" w:lineRule="exact"/>
                    <w:textAlignment w:val="auto"/>
                    <w:rPr>
                      <w:sz w:val="22"/>
                      <w:szCs w:val="22"/>
                    </w:rPr>
                  </w:pPr>
                  <w:r>
                    <w:rPr>
                      <w:rFonts w:hint="eastAsia"/>
                      <w:sz w:val="22"/>
                      <w:szCs w:val="22"/>
                    </w:rPr>
                    <w:t>总质量</w:t>
                  </w:r>
                </w:p>
              </w:tc>
              <w:tc>
                <w:tcPr>
                  <w:tcW w:w="1131"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79394A4B">
                  <w:pPr>
                    <w:widowControl w:val="0"/>
                    <w:kinsoku/>
                    <w:adjustRightInd/>
                    <w:snapToGrid/>
                    <w:spacing w:line="400" w:lineRule="exact"/>
                    <w:textAlignment w:val="auto"/>
                    <w:rPr>
                      <w:sz w:val="22"/>
                      <w:szCs w:val="22"/>
                    </w:rPr>
                  </w:pPr>
                  <w:r>
                    <w:rPr>
                      <w:rFonts w:hint="eastAsia"/>
                      <w:sz w:val="22"/>
                      <w:szCs w:val="22"/>
                    </w:rPr>
                    <w:t>≤</w:t>
                  </w:r>
                  <w:r>
                    <w:rPr>
                      <w:sz w:val="22"/>
                      <w:szCs w:val="22"/>
                    </w:rPr>
                    <w:t>4250kg</w:t>
                  </w:r>
                </w:p>
              </w:tc>
            </w:tr>
            <w:tr w14:paraId="0F281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58"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3D4C3CDE">
                  <w:pPr>
                    <w:widowControl w:val="0"/>
                    <w:kinsoku/>
                    <w:adjustRightInd/>
                    <w:snapToGrid/>
                    <w:spacing w:line="400" w:lineRule="exact"/>
                    <w:textAlignment w:val="auto"/>
                    <w:rPr>
                      <w:sz w:val="22"/>
                      <w:szCs w:val="22"/>
                    </w:rPr>
                  </w:pPr>
                  <w:r>
                    <w:rPr>
                      <w:rFonts w:hint="eastAsia"/>
                      <w:sz w:val="22"/>
                      <w:szCs w:val="22"/>
                    </w:rPr>
                    <w:t>排放依据标准</w:t>
                  </w:r>
                </w:p>
              </w:tc>
              <w:tc>
                <w:tcPr>
                  <w:tcW w:w="1186"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30C7E46B">
                  <w:pPr>
                    <w:widowControl w:val="0"/>
                    <w:kinsoku/>
                    <w:adjustRightInd/>
                    <w:snapToGrid/>
                    <w:spacing w:line="400" w:lineRule="exact"/>
                    <w:textAlignment w:val="auto"/>
                    <w:rPr>
                      <w:sz w:val="22"/>
                      <w:szCs w:val="22"/>
                    </w:rPr>
                  </w:pPr>
                  <w:r>
                    <w:rPr>
                      <w:rFonts w:hint="eastAsia"/>
                      <w:sz w:val="22"/>
                      <w:szCs w:val="22"/>
                    </w:rPr>
                    <w:t>国Ⅵ</w:t>
                  </w:r>
                </w:p>
              </w:tc>
              <w:tc>
                <w:tcPr>
                  <w:tcW w:w="1725"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7F92B98E">
                  <w:pPr>
                    <w:widowControl w:val="0"/>
                    <w:kinsoku/>
                    <w:adjustRightInd/>
                    <w:snapToGrid/>
                    <w:spacing w:line="400" w:lineRule="exact"/>
                    <w:textAlignment w:val="auto"/>
                    <w:rPr>
                      <w:sz w:val="22"/>
                      <w:szCs w:val="22"/>
                    </w:rPr>
                  </w:pPr>
                  <w:r>
                    <w:rPr>
                      <w:rFonts w:hint="eastAsia"/>
                      <w:sz w:val="22"/>
                      <w:szCs w:val="22"/>
                    </w:rPr>
                    <w:t>燃料种类</w:t>
                  </w:r>
                </w:p>
              </w:tc>
              <w:tc>
                <w:tcPr>
                  <w:tcW w:w="1131"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3AE570E0">
                  <w:pPr>
                    <w:widowControl w:val="0"/>
                    <w:kinsoku/>
                    <w:adjustRightInd/>
                    <w:snapToGrid/>
                    <w:spacing w:line="400" w:lineRule="exact"/>
                    <w:textAlignment w:val="auto"/>
                    <w:rPr>
                      <w:sz w:val="22"/>
                      <w:szCs w:val="22"/>
                    </w:rPr>
                  </w:pPr>
                  <w:r>
                    <w:rPr>
                      <w:rFonts w:hint="eastAsia"/>
                      <w:sz w:val="22"/>
                      <w:szCs w:val="22"/>
                    </w:rPr>
                    <w:t>柴油</w:t>
                  </w:r>
                </w:p>
              </w:tc>
            </w:tr>
            <w:tr w14:paraId="3CAEF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58"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101EE4DD">
                  <w:pPr>
                    <w:widowControl w:val="0"/>
                    <w:kinsoku/>
                    <w:adjustRightInd/>
                    <w:snapToGrid/>
                    <w:spacing w:line="400" w:lineRule="exact"/>
                    <w:textAlignment w:val="auto"/>
                    <w:rPr>
                      <w:sz w:val="22"/>
                      <w:szCs w:val="22"/>
                    </w:rPr>
                  </w:pPr>
                  <w:r>
                    <w:rPr>
                      <w:rFonts w:hint="eastAsia"/>
                      <w:sz w:val="22"/>
                      <w:szCs w:val="22"/>
                    </w:rPr>
                    <w:t>排量</w:t>
                  </w:r>
                </w:p>
              </w:tc>
              <w:tc>
                <w:tcPr>
                  <w:tcW w:w="1186"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0C3EAB4F">
                  <w:pPr>
                    <w:widowControl w:val="0"/>
                    <w:kinsoku/>
                    <w:adjustRightInd/>
                    <w:snapToGrid/>
                    <w:spacing w:line="400" w:lineRule="exact"/>
                    <w:textAlignment w:val="auto"/>
                    <w:rPr>
                      <w:sz w:val="22"/>
                      <w:szCs w:val="22"/>
                    </w:rPr>
                  </w:pPr>
                  <w:r>
                    <w:rPr>
                      <w:rFonts w:hint="eastAsia"/>
                      <w:sz w:val="22"/>
                      <w:szCs w:val="22"/>
                    </w:rPr>
                    <w:t>≥</w:t>
                  </w:r>
                  <w:r>
                    <w:rPr>
                      <w:sz w:val="22"/>
                      <w:szCs w:val="22"/>
                    </w:rPr>
                    <w:t>2</w:t>
                  </w:r>
                  <w:r>
                    <w:rPr>
                      <w:rFonts w:hint="eastAsia"/>
                      <w:sz w:val="22"/>
                      <w:szCs w:val="22"/>
                    </w:rPr>
                    <w:t>.0</w:t>
                  </w:r>
                  <w:r>
                    <w:rPr>
                      <w:sz w:val="22"/>
                      <w:szCs w:val="22"/>
                    </w:rPr>
                    <w:t>T</w:t>
                  </w:r>
                </w:p>
              </w:tc>
              <w:tc>
                <w:tcPr>
                  <w:tcW w:w="1725"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5B3EB1F1">
                  <w:pPr>
                    <w:widowControl w:val="0"/>
                    <w:kinsoku/>
                    <w:adjustRightInd/>
                    <w:snapToGrid/>
                    <w:spacing w:line="400" w:lineRule="exact"/>
                    <w:textAlignment w:val="auto"/>
                    <w:rPr>
                      <w:sz w:val="22"/>
                      <w:szCs w:val="22"/>
                    </w:rPr>
                  </w:pPr>
                  <w:r>
                    <w:rPr>
                      <w:rFonts w:hint="eastAsia"/>
                      <w:sz w:val="22"/>
                      <w:szCs w:val="22"/>
                    </w:rPr>
                    <w:t>轴数</w:t>
                  </w:r>
                </w:p>
              </w:tc>
              <w:tc>
                <w:tcPr>
                  <w:tcW w:w="1131"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0F3D45E4">
                  <w:pPr>
                    <w:widowControl w:val="0"/>
                    <w:kinsoku/>
                    <w:adjustRightInd/>
                    <w:snapToGrid/>
                    <w:spacing w:line="400" w:lineRule="exact"/>
                    <w:textAlignment w:val="auto"/>
                    <w:rPr>
                      <w:sz w:val="22"/>
                      <w:szCs w:val="22"/>
                    </w:rPr>
                  </w:pPr>
                  <w:r>
                    <w:rPr>
                      <w:sz w:val="22"/>
                      <w:szCs w:val="22"/>
                    </w:rPr>
                    <w:t>2</w:t>
                  </w:r>
                  <w:r>
                    <w:rPr>
                      <w:rFonts w:hint="eastAsia"/>
                      <w:sz w:val="22"/>
                      <w:szCs w:val="22"/>
                    </w:rPr>
                    <w:t>个</w:t>
                  </w:r>
                </w:p>
              </w:tc>
            </w:tr>
            <w:tr w14:paraId="45F2F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trPr>
              <w:tc>
                <w:tcPr>
                  <w:tcW w:w="958"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20895934">
                  <w:pPr>
                    <w:widowControl w:val="0"/>
                    <w:kinsoku/>
                    <w:adjustRightInd/>
                    <w:snapToGrid/>
                    <w:spacing w:line="400" w:lineRule="exact"/>
                    <w:textAlignment w:val="auto"/>
                    <w:rPr>
                      <w:sz w:val="22"/>
                      <w:szCs w:val="22"/>
                    </w:rPr>
                  </w:pPr>
                  <w:r>
                    <w:rPr>
                      <w:rFonts w:hint="eastAsia"/>
                      <w:sz w:val="22"/>
                      <w:szCs w:val="22"/>
                    </w:rPr>
                    <w:t>整车长</w:t>
                  </w:r>
                </w:p>
              </w:tc>
              <w:tc>
                <w:tcPr>
                  <w:tcW w:w="1186"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502FF59C">
                  <w:pPr>
                    <w:widowControl w:val="0"/>
                    <w:kinsoku/>
                    <w:adjustRightInd/>
                    <w:snapToGrid/>
                    <w:spacing w:line="400" w:lineRule="exact"/>
                    <w:textAlignment w:val="auto"/>
                    <w:rPr>
                      <w:sz w:val="22"/>
                      <w:szCs w:val="22"/>
                    </w:rPr>
                  </w:pPr>
                  <w:r>
                    <w:rPr>
                      <w:rFonts w:hint="eastAsia"/>
                      <w:sz w:val="22"/>
                      <w:szCs w:val="22"/>
                    </w:rPr>
                    <w:t>≤</w:t>
                  </w:r>
                  <w:r>
                    <w:rPr>
                      <w:sz w:val="22"/>
                      <w:szCs w:val="22"/>
                    </w:rPr>
                    <w:t>6000mm</w:t>
                  </w:r>
                </w:p>
              </w:tc>
              <w:tc>
                <w:tcPr>
                  <w:tcW w:w="1725"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5AEE33B8">
                  <w:pPr>
                    <w:widowControl w:val="0"/>
                    <w:kinsoku/>
                    <w:adjustRightInd/>
                    <w:snapToGrid/>
                    <w:spacing w:line="400" w:lineRule="exact"/>
                    <w:textAlignment w:val="auto"/>
                    <w:rPr>
                      <w:sz w:val="22"/>
                      <w:szCs w:val="22"/>
                    </w:rPr>
                  </w:pPr>
                  <w:r>
                    <w:rPr>
                      <w:rFonts w:hint="eastAsia"/>
                      <w:sz w:val="22"/>
                      <w:szCs w:val="22"/>
                    </w:rPr>
                    <w:t>整车宽</w:t>
                  </w:r>
                </w:p>
              </w:tc>
              <w:tc>
                <w:tcPr>
                  <w:tcW w:w="1131"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7F42EFB5">
                  <w:pPr>
                    <w:widowControl w:val="0"/>
                    <w:kinsoku/>
                    <w:adjustRightInd/>
                    <w:snapToGrid/>
                    <w:spacing w:line="400" w:lineRule="exact"/>
                    <w:textAlignment w:val="auto"/>
                    <w:rPr>
                      <w:sz w:val="22"/>
                      <w:szCs w:val="22"/>
                    </w:rPr>
                  </w:pPr>
                  <w:r>
                    <w:rPr>
                      <w:rFonts w:hint="eastAsia"/>
                      <w:sz w:val="22"/>
                      <w:szCs w:val="22"/>
                    </w:rPr>
                    <w:t>≤</w:t>
                  </w:r>
                  <w:r>
                    <w:rPr>
                      <w:sz w:val="22"/>
                      <w:szCs w:val="22"/>
                    </w:rPr>
                    <w:t>2200mm</w:t>
                  </w:r>
                </w:p>
              </w:tc>
            </w:tr>
            <w:tr w14:paraId="189DF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958"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154B2826">
                  <w:pPr>
                    <w:widowControl w:val="0"/>
                    <w:kinsoku/>
                    <w:adjustRightInd/>
                    <w:snapToGrid/>
                    <w:spacing w:line="400" w:lineRule="exact"/>
                    <w:textAlignment w:val="auto"/>
                    <w:rPr>
                      <w:sz w:val="22"/>
                      <w:szCs w:val="22"/>
                    </w:rPr>
                  </w:pPr>
                  <w:r>
                    <w:rPr>
                      <w:rFonts w:hint="eastAsia"/>
                      <w:sz w:val="22"/>
                      <w:szCs w:val="22"/>
                    </w:rPr>
                    <w:t>整车高</w:t>
                  </w:r>
                </w:p>
              </w:tc>
              <w:tc>
                <w:tcPr>
                  <w:tcW w:w="1186"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7F4FFB23">
                  <w:pPr>
                    <w:widowControl w:val="0"/>
                    <w:kinsoku/>
                    <w:adjustRightInd/>
                    <w:snapToGrid/>
                    <w:spacing w:line="400" w:lineRule="exact"/>
                    <w:textAlignment w:val="auto"/>
                    <w:rPr>
                      <w:sz w:val="22"/>
                      <w:szCs w:val="22"/>
                    </w:rPr>
                  </w:pPr>
                  <w:r>
                    <w:rPr>
                      <w:rFonts w:hint="eastAsia"/>
                      <w:sz w:val="22"/>
                      <w:szCs w:val="22"/>
                    </w:rPr>
                    <w:t>≤</w:t>
                  </w:r>
                  <w:r>
                    <w:rPr>
                      <w:sz w:val="22"/>
                      <w:szCs w:val="22"/>
                    </w:rPr>
                    <w:t>3</w:t>
                  </w:r>
                  <w:r>
                    <w:rPr>
                      <w:rFonts w:hint="eastAsia"/>
                      <w:sz w:val="22"/>
                      <w:szCs w:val="22"/>
                    </w:rPr>
                    <w:t>1</w:t>
                  </w:r>
                  <w:r>
                    <w:rPr>
                      <w:sz w:val="22"/>
                      <w:szCs w:val="22"/>
                    </w:rPr>
                    <w:t>00mm</w:t>
                  </w:r>
                </w:p>
              </w:tc>
              <w:tc>
                <w:tcPr>
                  <w:tcW w:w="1725"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3A627CE7">
                  <w:pPr>
                    <w:widowControl w:val="0"/>
                    <w:kinsoku/>
                    <w:adjustRightInd/>
                    <w:snapToGrid/>
                    <w:spacing w:line="400" w:lineRule="exact"/>
                    <w:textAlignment w:val="auto"/>
                    <w:rPr>
                      <w:sz w:val="22"/>
                      <w:szCs w:val="22"/>
                    </w:rPr>
                  </w:pPr>
                  <w:r>
                    <w:rPr>
                      <w:rFonts w:hint="eastAsia"/>
                      <w:sz w:val="22"/>
                      <w:szCs w:val="22"/>
                    </w:rPr>
                    <w:t>最高车速</w:t>
                  </w:r>
                </w:p>
              </w:tc>
              <w:tc>
                <w:tcPr>
                  <w:tcW w:w="1131"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6F5E8840">
                  <w:pPr>
                    <w:widowControl w:val="0"/>
                    <w:kinsoku/>
                    <w:adjustRightInd/>
                    <w:snapToGrid/>
                    <w:spacing w:line="400" w:lineRule="exact"/>
                    <w:textAlignment w:val="auto"/>
                    <w:rPr>
                      <w:sz w:val="22"/>
                      <w:szCs w:val="22"/>
                    </w:rPr>
                  </w:pPr>
                  <w:r>
                    <w:rPr>
                      <w:rFonts w:hint="eastAsia"/>
                      <w:sz w:val="22"/>
                      <w:szCs w:val="22"/>
                    </w:rPr>
                    <w:t>≥</w:t>
                  </w:r>
                  <w:r>
                    <w:rPr>
                      <w:sz w:val="22"/>
                      <w:szCs w:val="22"/>
                    </w:rPr>
                    <w:t>1</w:t>
                  </w:r>
                  <w:r>
                    <w:rPr>
                      <w:rFonts w:hint="eastAsia"/>
                      <w:sz w:val="22"/>
                      <w:szCs w:val="22"/>
                    </w:rPr>
                    <w:t>6</w:t>
                  </w:r>
                  <w:r>
                    <w:rPr>
                      <w:sz w:val="22"/>
                      <w:szCs w:val="22"/>
                    </w:rPr>
                    <w:t>0km/h</w:t>
                  </w:r>
                </w:p>
              </w:tc>
            </w:tr>
            <w:tr w14:paraId="25911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58"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7E8F0BC8">
                  <w:pPr>
                    <w:widowControl w:val="0"/>
                    <w:kinsoku/>
                    <w:adjustRightInd/>
                    <w:snapToGrid/>
                    <w:spacing w:line="400" w:lineRule="exact"/>
                    <w:textAlignment w:val="auto"/>
                    <w:rPr>
                      <w:sz w:val="22"/>
                      <w:szCs w:val="22"/>
                    </w:rPr>
                  </w:pPr>
                  <w:r>
                    <w:rPr>
                      <w:rFonts w:hint="eastAsia"/>
                      <w:sz w:val="22"/>
                      <w:szCs w:val="22"/>
                    </w:rPr>
                    <w:t>转向形式</w:t>
                  </w:r>
                </w:p>
              </w:tc>
              <w:tc>
                <w:tcPr>
                  <w:tcW w:w="1186"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50C3EA4C">
                  <w:pPr>
                    <w:widowControl w:val="0"/>
                    <w:kinsoku/>
                    <w:adjustRightInd/>
                    <w:snapToGrid/>
                    <w:spacing w:line="400" w:lineRule="exact"/>
                    <w:textAlignment w:val="auto"/>
                    <w:rPr>
                      <w:sz w:val="22"/>
                      <w:szCs w:val="22"/>
                    </w:rPr>
                  </w:pPr>
                  <w:r>
                    <w:rPr>
                      <w:rFonts w:hint="eastAsia"/>
                      <w:sz w:val="22"/>
                      <w:szCs w:val="22"/>
                    </w:rPr>
                    <w:t>方向盘</w:t>
                  </w:r>
                </w:p>
              </w:tc>
              <w:tc>
                <w:tcPr>
                  <w:tcW w:w="1725"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07003C28">
                  <w:pPr>
                    <w:widowControl w:val="0"/>
                    <w:kinsoku/>
                    <w:adjustRightInd/>
                    <w:snapToGrid/>
                    <w:spacing w:line="400" w:lineRule="exact"/>
                    <w:textAlignment w:val="auto"/>
                    <w:rPr>
                      <w:sz w:val="22"/>
                      <w:szCs w:val="22"/>
                      <w:lang w:eastAsia="zh-CN"/>
                    </w:rPr>
                  </w:pPr>
                  <w:r>
                    <w:rPr>
                      <w:rFonts w:hint="eastAsia"/>
                      <w:sz w:val="22"/>
                      <w:szCs w:val="22"/>
                      <w:lang w:eastAsia="zh-CN"/>
                    </w:rPr>
                    <w:t>额定载客（含驾驶员）</w:t>
                  </w:r>
                </w:p>
              </w:tc>
              <w:tc>
                <w:tcPr>
                  <w:tcW w:w="1131"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2F107624">
                  <w:pPr>
                    <w:widowControl w:val="0"/>
                    <w:kinsoku/>
                    <w:adjustRightInd/>
                    <w:snapToGrid/>
                    <w:spacing w:line="400" w:lineRule="exact"/>
                    <w:textAlignment w:val="auto"/>
                    <w:rPr>
                      <w:sz w:val="22"/>
                      <w:szCs w:val="22"/>
                    </w:rPr>
                  </w:pPr>
                  <w:r>
                    <w:rPr>
                      <w:sz w:val="22"/>
                      <w:szCs w:val="22"/>
                    </w:rPr>
                    <w:t>3</w:t>
                  </w:r>
                  <w:r>
                    <w:rPr>
                      <w:rFonts w:hint="eastAsia" w:eastAsia="宋体"/>
                      <w:sz w:val="22"/>
                      <w:szCs w:val="22"/>
                      <w:lang w:eastAsia="zh-CN"/>
                    </w:rPr>
                    <w:t>—</w:t>
                  </w:r>
                  <w:r>
                    <w:rPr>
                      <w:sz w:val="22"/>
                      <w:szCs w:val="22"/>
                    </w:rPr>
                    <w:t>5</w:t>
                  </w:r>
                  <w:r>
                    <w:rPr>
                      <w:rFonts w:hint="eastAsia"/>
                      <w:sz w:val="22"/>
                      <w:szCs w:val="22"/>
                    </w:rPr>
                    <w:t>人</w:t>
                  </w:r>
                </w:p>
              </w:tc>
            </w:tr>
            <w:tr w14:paraId="3E582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58"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496B87ED">
                  <w:pPr>
                    <w:widowControl w:val="0"/>
                    <w:kinsoku/>
                    <w:adjustRightInd/>
                    <w:snapToGrid/>
                    <w:spacing w:line="400" w:lineRule="exact"/>
                    <w:textAlignment w:val="auto"/>
                    <w:rPr>
                      <w:sz w:val="22"/>
                      <w:szCs w:val="22"/>
                    </w:rPr>
                  </w:pPr>
                  <w:r>
                    <w:rPr>
                      <w:rFonts w:hint="eastAsia"/>
                      <w:sz w:val="22"/>
                      <w:szCs w:val="22"/>
                    </w:rPr>
                    <w:t>变速箱</w:t>
                  </w:r>
                </w:p>
              </w:tc>
              <w:tc>
                <w:tcPr>
                  <w:tcW w:w="1186"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3D4A5C59">
                  <w:pPr>
                    <w:widowControl w:val="0"/>
                    <w:kinsoku/>
                    <w:adjustRightInd/>
                    <w:snapToGrid/>
                    <w:spacing w:line="400" w:lineRule="exact"/>
                    <w:textAlignment w:val="auto"/>
                    <w:rPr>
                      <w:sz w:val="22"/>
                      <w:szCs w:val="22"/>
                    </w:rPr>
                  </w:pPr>
                  <w:r>
                    <w:rPr>
                      <w:rFonts w:hint="eastAsia"/>
                      <w:sz w:val="22"/>
                      <w:szCs w:val="22"/>
                    </w:rPr>
                    <w:t>自动挡</w:t>
                  </w:r>
                </w:p>
              </w:tc>
              <w:tc>
                <w:tcPr>
                  <w:tcW w:w="1725"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68C5A695">
                  <w:pPr>
                    <w:widowControl w:val="0"/>
                    <w:kinsoku/>
                    <w:adjustRightInd/>
                    <w:snapToGrid/>
                    <w:spacing w:line="400" w:lineRule="exact"/>
                    <w:textAlignment w:val="auto"/>
                    <w:rPr>
                      <w:sz w:val="22"/>
                      <w:szCs w:val="22"/>
                    </w:rPr>
                  </w:pPr>
                  <w:r>
                    <w:rPr>
                      <w:rFonts w:hint="eastAsia"/>
                      <w:sz w:val="22"/>
                      <w:szCs w:val="22"/>
                    </w:rPr>
                    <w:t>进气方式</w:t>
                  </w:r>
                </w:p>
              </w:tc>
              <w:tc>
                <w:tcPr>
                  <w:tcW w:w="1131"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0194A3AF">
                  <w:pPr>
                    <w:widowControl w:val="0"/>
                    <w:kinsoku/>
                    <w:adjustRightInd/>
                    <w:snapToGrid/>
                    <w:spacing w:line="400" w:lineRule="exact"/>
                    <w:textAlignment w:val="auto"/>
                    <w:rPr>
                      <w:sz w:val="22"/>
                      <w:szCs w:val="22"/>
                    </w:rPr>
                  </w:pPr>
                  <w:r>
                    <w:rPr>
                      <w:rFonts w:hint="eastAsia"/>
                      <w:sz w:val="22"/>
                      <w:szCs w:val="22"/>
                    </w:rPr>
                    <w:t>涡轮增压</w:t>
                  </w:r>
                </w:p>
              </w:tc>
            </w:tr>
            <w:tr w14:paraId="49767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 w:hRule="atLeast"/>
              </w:trPr>
              <w:tc>
                <w:tcPr>
                  <w:tcW w:w="958"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56BF34A5">
                  <w:pPr>
                    <w:widowControl w:val="0"/>
                    <w:kinsoku/>
                    <w:adjustRightInd/>
                    <w:snapToGrid/>
                    <w:spacing w:line="400" w:lineRule="exact"/>
                    <w:textAlignment w:val="auto"/>
                    <w:rPr>
                      <w:sz w:val="22"/>
                      <w:szCs w:val="22"/>
                    </w:rPr>
                  </w:pPr>
                  <w:r>
                    <w:rPr>
                      <w:rFonts w:hint="eastAsia"/>
                      <w:sz w:val="22"/>
                      <w:szCs w:val="22"/>
                    </w:rPr>
                    <w:t>轮胎数</w:t>
                  </w:r>
                </w:p>
              </w:tc>
              <w:tc>
                <w:tcPr>
                  <w:tcW w:w="1186"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00537E61">
                  <w:pPr>
                    <w:widowControl w:val="0"/>
                    <w:kinsoku/>
                    <w:adjustRightInd/>
                    <w:snapToGrid/>
                    <w:spacing w:line="400" w:lineRule="exact"/>
                    <w:textAlignment w:val="auto"/>
                    <w:rPr>
                      <w:sz w:val="22"/>
                      <w:szCs w:val="22"/>
                    </w:rPr>
                  </w:pPr>
                  <w:r>
                    <w:rPr>
                      <w:sz w:val="22"/>
                      <w:szCs w:val="22"/>
                    </w:rPr>
                    <w:t>6</w:t>
                  </w:r>
                </w:p>
              </w:tc>
              <w:tc>
                <w:tcPr>
                  <w:tcW w:w="1725"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1E23F9F3">
                  <w:pPr>
                    <w:widowControl w:val="0"/>
                    <w:kinsoku/>
                    <w:adjustRightInd/>
                    <w:snapToGrid/>
                    <w:spacing w:line="400" w:lineRule="exact"/>
                    <w:textAlignment w:val="auto"/>
                    <w:rPr>
                      <w:sz w:val="22"/>
                      <w:szCs w:val="22"/>
                    </w:rPr>
                  </w:pPr>
                  <w:r>
                    <w:rPr>
                      <w:rFonts w:hint="eastAsia"/>
                      <w:sz w:val="22"/>
                      <w:szCs w:val="22"/>
                    </w:rPr>
                    <w:t>侧门结构</w:t>
                  </w:r>
                </w:p>
              </w:tc>
              <w:tc>
                <w:tcPr>
                  <w:tcW w:w="1131" w:type="pct"/>
                  <w:tcBorders>
                    <w:top w:val="single" w:color="auto" w:sz="4" w:space="0"/>
                    <w:left w:val="single" w:color="auto" w:sz="4" w:space="0"/>
                    <w:bottom w:val="single" w:color="auto" w:sz="4" w:space="0"/>
                    <w:right w:val="single" w:color="auto" w:sz="4" w:space="0"/>
                  </w:tcBorders>
                  <w:tcMar>
                    <w:top w:w="120" w:type="dxa"/>
                    <w:left w:w="150" w:type="dxa"/>
                    <w:bottom w:w="120" w:type="dxa"/>
                    <w:right w:w="150" w:type="dxa"/>
                  </w:tcMar>
                  <w:vAlign w:val="center"/>
                </w:tcPr>
                <w:p w14:paraId="6538A748">
                  <w:pPr>
                    <w:widowControl w:val="0"/>
                    <w:kinsoku/>
                    <w:adjustRightInd/>
                    <w:snapToGrid/>
                    <w:spacing w:line="400" w:lineRule="exact"/>
                    <w:textAlignment w:val="auto"/>
                    <w:rPr>
                      <w:sz w:val="22"/>
                      <w:szCs w:val="22"/>
                    </w:rPr>
                  </w:pPr>
                  <w:r>
                    <w:rPr>
                      <w:rFonts w:hint="eastAsia"/>
                      <w:sz w:val="22"/>
                      <w:szCs w:val="22"/>
                    </w:rPr>
                    <w:t>侧拉门</w:t>
                  </w:r>
                </w:p>
              </w:tc>
            </w:tr>
          </w:tbl>
          <w:p w14:paraId="601C809E">
            <w:pPr>
              <w:widowControl w:val="0"/>
              <w:kinsoku/>
              <w:adjustRightInd/>
              <w:snapToGrid/>
              <w:spacing w:line="400" w:lineRule="exact"/>
              <w:jc w:val="left"/>
              <w:textAlignment w:val="auto"/>
              <w:rPr>
                <w:rFonts w:ascii="宋体" w:hAnsi="Times New Roman" w:eastAsia="宋体" w:cs="宋体"/>
                <w:sz w:val="22"/>
                <w:szCs w:val="22"/>
              </w:rPr>
            </w:pPr>
          </w:p>
          <w:p w14:paraId="407F23EF">
            <w:pPr>
              <w:pStyle w:val="10"/>
              <w:numPr>
                <w:ilvl w:val="0"/>
                <w:numId w:val="3"/>
              </w:numPr>
              <w:adjustRightInd/>
              <w:spacing w:line="400" w:lineRule="exact"/>
              <w:jc w:val="left"/>
            </w:pPr>
            <w:r>
              <w:rPr>
                <w:rFonts w:hint="eastAsia"/>
              </w:rPr>
              <w:t>车辆改造：</w:t>
            </w:r>
          </w:p>
          <w:p w14:paraId="68926F4C">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eastAsia="zh-CN"/>
              </w:rPr>
              <w:t>车辆排放标准符合当地上牌要求；</w:t>
            </w:r>
          </w:p>
          <w:p w14:paraId="54C4B0E4">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eastAsia="zh-CN"/>
              </w:rPr>
              <w:t>车辆应具备分析仪器专用监测车公告；</w:t>
            </w:r>
          </w:p>
          <w:p w14:paraId="18C30574">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eastAsia="zh-CN"/>
              </w:rPr>
              <w:t>应提供车辆改装后的平面设计图和电路原理图；</w:t>
            </w:r>
          </w:p>
          <w:p w14:paraId="0CB4F8D4">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eastAsia="zh-CN"/>
              </w:rPr>
              <w:t>应提供同类型车辆改装后的三维效果图或实物参考图；</w:t>
            </w:r>
          </w:p>
          <w:p w14:paraId="15BA8DA6">
            <w:pPr>
              <w:widowControl w:val="0"/>
              <w:kinsoku/>
              <w:adjustRightInd/>
              <w:snapToGrid/>
              <w:spacing w:line="400" w:lineRule="exact"/>
              <w:jc w:val="both"/>
              <w:textAlignment w:val="auto"/>
              <w:rPr>
                <w:rFonts w:eastAsiaTheme="majorEastAsia"/>
                <w:sz w:val="24"/>
                <w:lang w:eastAsia="zh-CN"/>
              </w:rPr>
            </w:pPr>
            <w:r>
              <w:rPr>
                <w:rFonts w:eastAsiaTheme="majorEastAsia"/>
                <w:sz w:val="24"/>
                <w:lang w:eastAsia="zh-CN"/>
              </w:rPr>
              <w:t>应将车内分为驾驶乘坐区、实验分析区、工具区</w:t>
            </w:r>
            <w:r>
              <w:rPr>
                <w:rFonts w:hint="eastAsia" w:eastAsiaTheme="majorEastAsia"/>
                <w:sz w:val="24"/>
                <w:lang w:eastAsia="zh-CN"/>
              </w:rPr>
              <w:t>；</w:t>
            </w:r>
          </w:p>
          <w:p w14:paraId="30D8C85C">
            <w:pPr>
              <w:widowControl w:val="0"/>
              <w:kinsoku/>
              <w:adjustRightInd/>
              <w:snapToGrid/>
              <w:spacing w:line="400" w:lineRule="exact"/>
              <w:jc w:val="both"/>
              <w:textAlignment w:val="auto"/>
              <w:rPr>
                <w:rFonts w:eastAsiaTheme="majorEastAsia"/>
                <w:sz w:val="24"/>
                <w:lang w:eastAsia="zh-CN"/>
              </w:rPr>
            </w:pPr>
            <w:r>
              <w:rPr>
                <w:rFonts w:eastAsiaTheme="majorEastAsia"/>
                <w:sz w:val="24"/>
                <w:lang w:eastAsia="zh-CN"/>
              </w:rPr>
              <w:t>应采用标准的19英寸机柜，横向设置，可以布置1~3排，满足仪器安装要求；</w:t>
            </w:r>
          </w:p>
          <w:p w14:paraId="078B4DF6">
            <w:pPr>
              <w:widowControl w:val="0"/>
              <w:kinsoku/>
              <w:adjustRightInd/>
              <w:snapToGrid/>
              <w:spacing w:line="400" w:lineRule="exact"/>
              <w:jc w:val="both"/>
              <w:textAlignment w:val="auto"/>
              <w:rPr>
                <w:rFonts w:eastAsiaTheme="majorEastAsia"/>
                <w:sz w:val="24"/>
                <w:lang w:eastAsia="zh-CN"/>
              </w:rPr>
            </w:pPr>
            <w:r>
              <w:rPr>
                <w:rFonts w:eastAsiaTheme="majorEastAsia"/>
                <w:sz w:val="24"/>
                <w:lang w:eastAsia="zh-CN"/>
              </w:rPr>
              <w:t>柜体下部、上部和左右侧分别装有减震装置</w:t>
            </w:r>
            <w:r>
              <w:rPr>
                <w:rFonts w:hint="eastAsia" w:eastAsiaTheme="majorEastAsia"/>
                <w:sz w:val="24"/>
                <w:lang w:eastAsia="zh-CN"/>
              </w:rPr>
              <w:t>；</w:t>
            </w:r>
            <w:r>
              <w:rPr>
                <w:rFonts w:eastAsiaTheme="majorEastAsia"/>
                <w:sz w:val="24"/>
                <w:lang w:eastAsia="zh-CN"/>
              </w:rPr>
              <w:t>所有用电</w:t>
            </w:r>
            <w:r>
              <w:rPr>
                <w:rFonts w:hint="eastAsia" w:eastAsiaTheme="majorEastAsia"/>
                <w:sz w:val="24"/>
                <w:lang w:eastAsia="zh-CN"/>
              </w:rPr>
              <w:t>仪器设备</w:t>
            </w:r>
            <w:r>
              <w:rPr>
                <w:rFonts w:eastAsiaTheme="majorEastAsia"/>
                <w:sz w:val="24"/>
                <w:lang w:eastAsia="zh-CN"/>
              </w:rPr>
              <w:t>根据招标人需求，配置有市电供电系统、走航供电系统</w:t>
            </w:r>
            <w:r>
              <w:rPr>
                <w:rFonts w:hint="eastAsia" w:eastAsiaTheme="majorEastAsia"/>
                <w:sz w:val="24"/>
                <w:lang w:eastAsia="zh-CN"/>
              </w:rPr>
              <w:t>双供电系统；</w:t>
            </w:r>
          </w:p>
          <w:p w14:paraId="063A965C">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eastAsia="zh-CN"/>
              </w:rPr>
              <w:t>为加强仪器散热功效，应在机柜上安装散热设备，应在车身合适位置加装散热结构；</w:t>
            </w:r>
          </w:p>
          <w:p w14:paraId="10A6FF8C">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eastAsia="zh-CN"/>
              </w:rPr>
              <w:t>续航时间：</w:t>
            </w:r>
            <w:r>
              <w:rPr>
                <w:rFonts w:eastAsiaTheme="majorEastAsia"/>
                <w:sz w:val="24"/>
                <w:lang w:eastAsia="zh-CN"/>
              </w:rPr>
              <w:t>采用车辆专用走航逆变充电系统，功率不小于5KVA，满足车辆仪表的使用和设备的需求，能够实现边走边测边充电</w:t>
            </w:r>
            <w:r>
              <w:rPr>
                <w:rFonts w:hint="eastAsia" w:eastAsiaTheme="majorEastAsia"/>
                <w:sz w:val="24"/>
                <w:lang w:eastAsia="zh-CN"/>
              </w:rPr>
              <w:t>，走航状态下最大可实现总功率3KW以内的仪器无限续航</w:t>
            </w:r>
            <w:r>
              <w:rPr>
                <w:rFonts w:eastAsiaTheme="majorEastAsia"/>
                <w:sz w:val="24"/>
                <w:lang w:eastAsia="zh-CN"/>
              </w:rPr>
              <w:t>。车辆熄火且无市电状态下，其自带的电池系统，能够维持总功率1KW左右的仪器设备工作不低于10小时</w:t>
            </w:r>
          </w:p>
          <w:p w14:paraId="71A65335">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eastAsia="zh-CN"/>
              </w:rPr>
              <w:t>空调系统：合理计算空调制冷量，选用底盘自带后舱空调或顶置空调，同时后舱空调需前移，增大后舱空间；</w:t>
            </w:r>
          </w:p>
          <w:p w14:paraId="14D2FEAF">
            <w:pPr>
              <w:widowControl w:val="0"/>
              <w:kinsoku/>
              <w:adjustRightInd/>
              <w:snapToGrid/>
              <w:spacing w:line="400" w:lineRule="exact"/>
              <w:jc w:val="both"/>
              <w:textAlignment w:val="auto"/>
              <w:rPr>
                <w:rFonts w:ascii="宋体" w:hAnsi="Times New Roman" w:cs="宋体" w:eastAsiaTheme="majorEastAsia"/>
                <w:sz w:val="22"/>
                <w:szCs w:val="22"/>
                <w:lang w:eastAsia="zh-CN"/>
              </w:rPr>
            </w:pPr>
            <w:r>
              <w:rPr>
                <w:rFonts w:hint="eastAsia" w:eastAsiaTheme="majorEastAsia"/>
                <w:sz w:val="24"/>
                <w:lang w:eastAsia="zh-CN"/>
              </w:rPr>
              <w:t>通风系统：为加强仪器散热功效，应在机柜上安装散热设备，应在车身合适位置加装散热结构。</w:t>
            </w:r>
          </w:p>
        </w:tc>
        <w:tc>
          <w:tcPr>
            <w:tcW w:w="426" w:type="dxa"/>
            <w:vAlign w:val="center"/>
          </w:tcPr>
          <w:p w14:paraId="7D813EBC">
            <w:pPr>
              <w:widowControl w:val="0"/>
              <w:kinsoku/>
              <w:adjustRightInd/>
              <w:snapToGrid/>
              <w:spacing w:line="400" w:lineRule="exact"/>
              <w:jc w:val="center"/>
              <w:textAlignment w:val="auto"/>
              <w:rPr>
                <w:rFonts w:cs="宋体" w:asciiTheme="minorEastAsia" w:hAnsiTheme="minorEastAsia"/>
                <w:sz w:val="24"/>
              </w:rPr>
            </w:pPr>
            <w:r>
              <w:rPr>
                <w:rFonts w:hint="eastAsia" w:asciiTheme="minorEastAsia" w:hAnsiTheme="minorEastAsia"/>
                <w:sz w:val="24"/>
              </w:rPr>
              <w:t>项</w:t>
            </w:r>
          </w:p>
        </w:tc>
        <w:tc>
          <w:tcPr>
            <w:tcW w:w="682" w:type="dxa"/>
            <w:vAlign w:val="center"/>
          </w:tcPr>
          <w:p w14:paraId="6250B738">
            <w:pPr>
              <w:widowControl w:val="0"/>
              <w:kinsoku/>
              <w:adjustRightInd/>
              <w:snapToGrid/>
              <w:spacing w:line="400" w:lineRule="exact"/>
              <w:jc w:val="center"/>
              <w:textAlignment w:val="auto"/>
              <w:rPr>
                <w:rFonts w:asciiTheme="minorEastAsia" w:hAnsiTheme="minorEastAsia" w:cstheme="majorEastAsia"/>
                <w:sz w:val="24"/>
              </w:rPr>
            </w:pPr>
            <w:r>
              <w:rPr>
                <w:rFonts w:hint="eastAsia" w:asciiTheme="minorEastAsia" w:hAnsiTheme="minorEastAsia" w:cstheme="majorEastAsia"/>
                <w:sz w:val="24"/>
              </w:rPr>
              <w:t>1</w:t>
            </w:r>
          </w:p>
        </w:tc>
      </w:tr>
      <w:tr w14:paraId="549AE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vAlign w:val="center"/>
          </w:tcPr>
          <w:p w14:paraId="6BD30239">
            <w:pPr>
              <w:widowControl w:val="0"/>
              <w:kinsoku/>
              <w:adjustRightInd/>
              <w:snapToGrid/>
              <w:spacing w:line="400" w:lineRule="exact"/>
              <w:jc w:val="center"/>
              <w:textAlignment w:val="auto"/>
              <w:rPr>
                <w:rFonts w:hint="eastAsia" w:asciiTheme="minorEastAsia" w:hAnsiTheme="minorEastAsia" w:eastAsiaTheme="minorEastAsia"/>
                <w:sz w:val="24"/>
                <w:lang w:eastAsia="zh-CN"/>
              </w:rPr>
            </w:pPr>
            <w:r>
              <w:rPr>
                <w:rFonts w:hint="eastAsia" w:asciiTheme="minorEastAsia" w:hAnsiTheme="minorEastAsia"/>
                <w:sz w:val="24"/>
                <w:lang w:eastAsia="zh-CN"/>
              </w:rPr>
              <w:t>10</w:t>
            </w:r>
          </w:p>
        </w:tc>
        <w:tc>
          <w:tcPr>
            <w:tcW w:w="849" w:type="dxa"/>
            <w:vAlign w:val="center"/>
          </w:tcPr>
          <w:p w14:paraId="190948A9">
            <w:pPr>
              <w:widowControl w:val="0"/>
              <w:kinsoku/>
              <w:adjustRightInd/>
              <w:snapToGrid/>
              <w:spacing w:line="400" w:lineRule="exact"/>
              <w:jc w:val="center"/>
              <w:textAlignment w:val="auto"/>
              <w:rPr>
                <w:rFonts w:hint="eastAsia" w:cs="宋体" w:asciiTheme="minorEastAsia" w:hAnsiTheme="minorEastAsia" w:eastAsiaTheme="minorEastAsia"/>
                <w:kern w:val="2"/>
                <w:sz w:val="24"/>
                <w:szCs w:val="24"/>
                <w:lang w:eastAsia="zh-CN"/>
              </w:rPr>
            </w:pPr>
            <w:r>
              <w:rPr>
                <w:rFonts w:hint="eastAsia" w:asciiTheme="minorEastAsia" w:hAnsiTheme="minorEastAsia"/>
                <w:sz w:val="24"/>
                <w:lang w:eastAsia="zh-CN"/>
              </w:rPr>
              <w:t>运维及售后</w:t>
            </w:r>
            <w:r>
              <w:rPr>
                <w:rFonts w:hint="eastAsia" w:asciiTheme="minorEastAsia" w:hAnsiTheme="minorEastAsia"/>
                <w:sz w:val="24"/>
              </w:rPr>
              <w:t>服务</w:t>
            </w:r>
          </w:p>
        </w:tc>
        <w:tc>
          <w:tcPr>
            <w:tcW w:w="6804" w:type="dxa"/>
            <w:vAlign w:val="center"/>
          </w:tcPr>
          <w:p w14:paraId="143529EE">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eastAsia="zh-CN"/>
              </w:rPr>
              <w:t>在服务周期内，需要进行日常保养和维修，检查仪器运行状态，及时为更换易损易耗的部件和设备所需耗材，保证随时满足执行走航监测任务的要求。安排1名的运维工程师（由经验丰富、技术水平高、具有化学或相关专业背景，且至少有2年仪器操作和数据分析经验的专职技术人员），负责仪器日常巡检，维护及保养，仪器校准，故障检修，仪器分析和完成走航监测报告编制等工作，确保仪器设备正常运行，数据质量可靠（其中前6个月运维工程师驻点会昌工作，后18个月根据工作需要随叫随到）。</w:t>
            </w:r>
          </w:p>
          <w:p w14:paraId="56963B38">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eastAsia="zh-CN"/>
              </w:rPr>
              <w:t>运维服务内容：</w:t>
            </w:r>
          </w:p>
          <w:p w14:paraId="5C6AB02E">
            <w:pPr>
              <w:pStyle w:val="2"/>
              <w:widowControl w:val="0"/>
              <w:kinsoku/>
              <w:adjustRightInd/>
              <w:snapToGrid/>
              <w:spacing w:line="400" w:lineRule="exact"/>
              <w:jc w:val="both"/>
              <w:textAlignment w:val="auto"/>
              <w:rPr>
                <w:rFonts w:asciiTheme="minorHAnsi" w:hAnsiTheme="minorHAnsi" w:eastAsiaTheme="majorEastAsia" w:cstheme="minorBidi"/>
                <w:sz w:val="24"/>
                <w:lang w:eastAsia="zh-CN"/>
              </w:rPr>
            </w:pPr>
            <w:r>
              <w:rPr>
                <w:rFonts w:hint="eastAsia" w:asciiTheme="minorHAnsi" w:hAnsiTheme="minorHAnsi" w:eastAsiaTheme="majorEastAsia" w:cstheme="minorBidi"/>
                <w:sz w:val="24"/>
                <w:lang w:eastAsia="zh-CN"/>
              </w:rPr>
              <w:t>1.</w:t>
            </w:r>
            <w:r>
              <w:rPr>
                <w:rFonts w:asciiTheme="minorHAnsi" w:hAnsiTheme="minorHAnsi" w:eastAsiaTheme="majorEastAsia" w:cstheme="minorBidi"/>
                <w:sz w:val="24"/>
                <w:lang w:eastAsia="zh-CN"/>
              </w:rPr>
              <w:t>系统维护和质控校准</w:t>
            </w:r>
            <w:r>
              <w:rPr>
                <w:rFonts w:hint="eastAsia" w:asciiTheme="minorHAnsi" w:hAnsiTheme="minorHAnsi" w:eastAsiaTheme="majorEastAsia" w:cstheme="minorBidi"/>
                <w:sz w:val="24"/>
                <w:lang w:eastAsia="zh-CN"/>
              </w:rPr>
              <w:t>：</w:t>
            </w:r>
            <w:r>
              <w:rPr>
                <w:rFonts w:asciiTheme="minorHAnsi" w:hAnsiTheme="minorHAnsi" w:eastAsiaTheme="majorEastAsia" w:cstheme="minorBidi"/>
                <w:sz w:val="24"/>
                <w:lang w:eastAsia="zh-CN"/>
              </w:rPr>
              <w:t>车上各仪器进行运行维护和质控校准，包括单点和多点校标、采样管道清洗、仪器保养与维护、定期维护检修等工作</w:t>
            </w:r>
            <w:r>
              <w:rPr>
                <w:rFonts w:hint="eastAsia" w:asciiTheme="minorHAnsi" w:hAnsiTheme="minorHAnsi" w:eastAsiaTheme="majorEastAsia" w:cstheme="minorBidi"/>
                <w:sz w:val="24"/>
                <w:lang w:eastAsia="zh-CN"/>
              </w:rPr>
              <w:t>，并提供运维指控报告。</w:t>
            </w:r>
          </w:p>
          <w:p w14:paraId="03F5B094">
            <w:pPr>
              <w:pStyle w:val="2"/>
              <w:widowControl w:val="0"/>
              <w:kinsoku/>
              <w:adjustRightInd/>
              <w:snapToGrid/>
              <w:spacing w:line="400" w:lineRule="exact"/>
              <w:jc w:val="both"/>
              <w:textAlignment w:val="auto"/>
              <w:rPr>
                <w:rFonts w:asciiTheme="minorHAnsi" w:hAnsiTheme="minorHAnsi" w:eastAsiaTheme="majorEastAsia" w:cstheme="minorBidi"/>
                <w:sz w:val="24"/>
                <w:lang w:eastAsia="zh-CN"/>
              </w:rPr>
            </w:pPr>
            <w:r>
              <w:rPr>
                <w:rFonts w:hint="eastAsia" w:asciiTheme="minorHAnsi" w:hAnsiTheme="minorHAnsi" w:eastAsiaTheme="majorEastAsia" w:cstheme="minorBidi"/>
                <w:sz w:val="24"/>
                <w:lang w:val="en-US" w:eastAsia="zh-CN"/>
              </w:rPr>
              <w:t>1.1</w:t>
            </w:r>
            <w:r>
              <w:rPr>
                <w:rFonts w:hint="eastAsia" w:asciiTheme="minorHAnsi" w:hAnsiTheme="minorHAnsi" w:eastAsiaTheme="majorEastAsia" w:cstheme="minorBidi"/>
                <w:sz w:val="24"/>
                <w:lang w:eastAsia="zh-CN"/>
              </w:rPr>
              <w:t>每周</w:t>
            </w:r>
            <w:r>
              <w:rPr>
                <w:rFonts w:asciiTheme="minorHAnsi" w:hAnsiTheme="minorHAnsi" w:eastAsiaTheme="majorEastAsia" w:cstheme="minorBidi"/>
                <w:sz w:val="24"/>
                <w:lang w:eastAsia="zh-CN"/>
              </w:rPr>
              <w:t>对系统进行检查，</w:t>
            </w:r>
            <w:r>
              <w:rPr>
                <w:rFonts w:hint="eastAsia" w:asciiTheme="minorHAnsi" w:hAnsiTheme="minorHAnsi" w:eastAsiaTheme="majorEastAsia" w:cstheme="minorBidi"/>
                <w:sz w:val="24"/>
                <w:lang w:eastAsia="zh-CN"/>
              </w:rPr>
              <w:t>包括</w:t>
            </w:r>
            <w:r>
              <w:rPr>
                <w:rFonts w:asciiTheme="minorHAnsi" w:hAnsiTheme="minorHAnsi" w:eastAsiaTheme="majorEastAsia" w:cstheme="minorBidi"/>
                <w:sz w:val="24"/>
                <w:lang w:eastAsia="zh-CN"/>
              </w:rPr>
              <w:t>：检查仪表的各个参数，是否有异常警报，如有警报及时排查确认。检查车顶采样风扇，仪器散热风扇是否工作正常。检查仪器内网络系统、通讯系统是否正常。检查系统真空是否正常。检查仪器基线水平是否正常。检查质量轴偏移情况，如有偏移及时调谐。</w:t>
            </w:r>
          </w:p>
          <w:p w14:paraId="0383C568">
            <w:pPr>
              <w:pStyle w:val="2"/>
              <w:widowControl w:val="0"/>
              <w:kinsoku/>
              <w:adjustRightInd/>
              <w:snapToGrid/>
              <w:spacing w:line="400" w:lineRule="exact"/>
              <w:jc w:val="both"/>
              <w:textAlignment w:val="auto"/>
              <w:rPr>
                <w:rFonts w:asciiTheme="minorHAnsi" w:hAnsiTheme="minorHAnsi" w:eastAsiaTheme="majorEastAsia" w:cstheme="minorBidi"/>
                <w:sz w:val="24"/>
                <w:lang w:eastAsia="zh-CN"/>
              </w:rPr>
            </w:pPr>
            <w:r>
              <w:rPr>
                <w:rFonts w:hint="eastAsia" w:asciiTheme="minorHAnsi" w:hAnsiTheme="minorHAnsi" w:eastAsiaTheme="majorEastAsia" w:cstheme="minorBidi"/>
                <w:sz w:val="24"/>
                <w:lang w:val="en-US" w:eastAsia="zh-CN"/>
              </w:rPr>
              <w:t>1.2</w:t>
            </w:r>
            <w:r>
              <w:rPr>
                <w:rFonts w:hint="eastAsia" w:asciiTheme="minorHAnsi" w:hAnsiTheme="minorHAnsi" w:eastAsiaTheme="majorEastAsia" w:cstheme="minorBidi"/>
                <w:sz w:val="24"/>
                <w:lang w:eastAsia="zh-CN"/>
              </w:rPr>
              <w:t>每周进行一次零气空白检查，在环境空气分析结束后通入零级空气或者高纯氮气进行一次空白检查，记录各化合物浓度作为其日常残留。</w:t>
            </w:r>
          </w:p>
          <w:p w14:paraId="7138DDA0">
            <w:pPr>
              <w:pStyle w:val="2"/>
              <w:widowControl w:val="0"/>
              <w:kinsoku/>
              <w:adjustRightInd/>
              <w:snapToGrid/>
              <w:spacing w:line="400" w:lineRule="exact"/>
              <w:jc w:val="both"/>
              <w:textAlignment w:val="auto"/>
              <w:rPr>
                <w:rFonts w:asciiTheme="minorHAnsi" w:hAnsiTheme="minorHAnsi" w:eastAsiaTheme="majorEastAsia" w:cstheme="minorBidi"/>
                <w:sz w:val="24"/>
                <w:lang w:eastAsia="zh-CN"/>
              </w:rPr>
            </w:pPr>
            <w:r>
              <w:rPr>
                <w:rFonts w:hint="eastAsia" w:asciiTheme="minorHAnsi" w:hAnsiTheme="minorHAnsi" w:eastAsiaTheme="majorEastAsia" w:cstheme="minorBidi"/>
                <w:sz w:val="24"/>
                <w:lang w:val="en-US" w:eastAsia="zh-CN"/>
              </w:rPr>
              <w:t>1.3</w:t>
            </w:r>
            <w:r>
              <w:rPr>
                <w:rFonts w:hint="eastAsia" w:asciiTheme="minorHAnsi" w:hAnsiTheme="minorHAnsi" w:eastAsiaTheme="majorEastAsia" w:cstheme="minorBidi"/>
                <w:sz w:val="24"/>
                <w:lang w:eastAsia="zh-CN"/>
              </w:rPr>
              <w:t>每半个月进行一次仪器单点质控检查：通过标准气体，检查实测浓度与理论值的差异，如果90%以上的物质偏差在30%以内，不需进行仪器多点校准仪器多点校准：在单点指控不满足要求的情况下，通入不同浓度标气，重新建立低浓度多点校准曲线和中等浓度单点校准曲线。</w:t>
            </w:r>
          </w:p>
          <w:p w14:paraId="2D9B41D5">
            <w:pPr>
              <w:pStyle w:val="2"/>
              <w:widowControl w:val="0"/>
              <w:kinsoku/>
              <w:adjustRightInd/>
              <w:snapToGrid/>
              <w:spacing w:line="400" w:lineRule="exact"/>
              <w:jc w:val="both"/>
              <w:textAlignment w:val="auto"/>
              <w:rPr>
                <w:rFonts w:asciiTheme="minorHAnsi" w:hAnsiTheme="minorHAnsi" w:eastAsiaTheme="majorEastAsia" w:cstheme="minorBidi"/>
                <w:sz w:val="24"/>
                <w:lang w:eastAsia="zh-CN"/>
              </w:rPr>
            </w:pPr>
            <w:r>
              <w:rPr>
                <w:rFonts w:hint="eastAsia" w:asciiTheme="minorHAnsi" w:hAnsiTheme="minorHAnsi" w:eastAsiaTheme="majorEastAsia" w:cstheme="minorBidi"/>
                <w:sz w:val="24"/>
                <w:lang w:val="en-US" w:eastAsia="zh-CN"/>
              </w:rPr>
              <w:t>1.4</w:t>
            </w:r>
            <w:r>
              <w:rPr>
                <w:rFonts w:hint="eastAsia" w:asciiTheme="minorHAnsi" w:hAnsiTheme="minorHAnsi" w:eastAsiaTheme="majorEastAsia" w:cstheme="minorBidi"/>
                <w:kern w:val="2"/>
                <w:sz w:val="24"/>
                <w:szCs w:val="24"/>
                <w:lang w:eastAsia="zh-CN"/>
              </w:rPr>
              <w:t>每年对仪器设备及核心系统进行一次全面例行维护，完成大保养工作，对整个系统进行深度检查与清洁，更换必要的耗材与配件，保养完成后，对仪器进行全面校准与检查，包括检查采集箱各通道信号传输是否正常，高压模块电压是否稳定在规定范围内，确保仪器测量数据的准确性和可靠性。</w:t>
            </w:r>
          </w:p>
          <w:p w14:paraId="383941DA">
            <w:pPr>
              <w:pStyle w:val="11"/>
              <w:widowControl w:val="0"/>
              <w:kinsoku/>
              <w:autoSpaceDE/>
              <w:autoSpaceDN/>
              <w:adjustRightInd/>
              <w:snapToGrid/>
              <w:spacing w:after="0" w:line="400" w:lineRule="exact"/>
              <w:ind w:left="0" w:leftChars="0" w:firstLine="0" w:firstLineChars="0"/>
              <w:jc w:val="both"/>
              <w:textAlignment w:val="auto"/>
              <w:rPr>
                <w:rFonts w:eastAsiaTheme="majorEastAsia"/>
                <w:sz w:val="24"/>
                <w:lang w:eastAsia="zh-CN"/>
              </w:rPr>
            </w:pPr>
            <w:r>
              <w:rPr>
                <w:rFonts w:hint="eastAsia" w:eastAsiaTheme="majorEastAsia"/>
                <w:sz w:val="24"/>
                <w:lang w:eastAsia="zh-CN"/>
              </w:rPr>
              <w:t>2.培训与走航报告编写</w:t>
            </w:r>
          </w:p>
          <w:p w14:paraId="07A007E3">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val="en-US" w:eastAsia="zh-CN"/>
              </w:rPr>
              <w:t>2.1</w:t>
            </w:r>
            <w:r>
              <w:rPr>
                <w:rFonts w:eastAsiaTheme="majorEastAsia"/>
                <w:sz w:val="24"/>
                <w:lang w:eastAsia="zh-CN"/>
              </w:rPr>
              <w:t>设备实操专项培训：针对走航监测设备开展全流程操作培训，涵盖机走航方案执行、区域大气污染物检测操作、设备参数调试与运行状态把控等基础技能。</w:t>
            </w:r>
          </w:p>
          <w:p w14:paraId="215B5214">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val="en-US" w:eastAsia="zh-CN"/>
              </w:rPr>
              <w:t>2.2</w:t>
            </w:r>
            <w:r>
              <w:rPr>
                <w:rFonts w:eastAsiaTheme="majorEastAsia"/>
                <w:sz w:val="24"/>
                <w:lang w:eastAsia="zh-CN"/>
              </w:rPr>
              <w:t>监测成果报告编写：根据走航监测任务全过程数据，标准化编制走航监测服务报告，完整呈现监测方案、全域污染概况、重点污染源位置、污染因子分析、溯源结论及相关佐证数据</w:t>
            </w:r>
            <w:r>
              <w:rPr>
                <w:rFonts w:hint="eastAsia" w:eastAsiaTheme="majorEastAsia"/>
                <w:sz w:val="28"/>
                <w:szCs w:val="28"/>
                <w:lang w:eastAsia="zh-CN"/>
              </w:rPr>
              <w:t>。</w:t>
            </w:r>
            <w:r>
              <w:rPr>
                <w:rFonts w:hint="eastAsia" w:eastAsiaTheme="majorEastAsia"/>
                <w:sz w:val="24"/>
                <w:lang w:eastAsia="zh-CN"/>
              </w:rPr>
              <w:t>报告内容应包括：</w:t>
            </w:r>
          </w:p>
          <w:p w14:paraId="47688F19">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val="en-US" w:eastAsia="zh-CN"/>
              </w:rPr>
              <w:t>3</w:t>
            </w:r>
            <w:r>
              <w:rPr>
                <w:rFonts w:hint="eastAsia" w:eastAsiaTheme="majorEastAsia"/>
                <w:sz w:val="24"/>
                <w:lang w:eastAsia="zh-CN"/>
              </w:rPr>
              <w:t>.基础统计分析</w:t>
            </w:r>
          </w:p>
          <w:p w14:paraId="11469703">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val="en-US" w:eastAsia="zh-CN"/>
              </w:rPr>
              <w:t>3</w:t>
            </w:r>
            <w:r>
              <w:rPr>
                <w:rFonts w:hint="eastAsia" w:eastAsiaTheme="majorEastAsia"/>
                <w:sz w:val="24"/>
                <w:lang w:eastAsia="zh-CN"/>
              </w:rPr>
              <w:t>.1 提供本次走航TVOCs平均浓度，客观反映区域整体污染水平；</w:t>
            </w:r>
          </w:p>
          <w:p w14:paraId="5C1C1B44">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val="en-US" w:eastAsia="zh-CN"/>
              </w:rPr>
              <w:t>3</w:t>
            </w:r>
            <w:r>
              <w:rPr>
                <w:rFonts w:hint="eastAsia" w:eastAsiaTheme="majorEastAsia"/>
                <w:sz w:val="24"/>
                <w:lang w:eastAsia="zh-CN"/>
              </w:rPr>
              <w:t>.2 开展VOCs组分分析，明确走航期间组分浓度前十排序，确定主导污染因子及其浓度、占比；</w:t>
            </w:r>
          </w:p>
          <w:p w14:paraId="3D4EDCFD">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val="en-US" w:eastAsia="zh-CN"/>
              </w:rPr>
              <w:t>4</w:t>
            </w:r>
            <w:r>
              <w:rPr>
                <w:rFonts w:hint="eastAsia" w:eastAsiaTheme="majorEastAsia"/>
                <w:sz w:val="24"/>
                <w:lang w:eastAsia="zh-CN"/>
              </w:rPr>
              <w:t>.高值区域分析</w:t>
            </w:r>
          </w:p>
          <w:p w14:paraId="1580B539">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val="en-US" w:eastAsia="zh-CN"/>
              </w:rPr>
              <w:t>4</w:t>
            </w:r>
            <w:r>
              <w:rPr>
                <w:rFonts w:hint="eastAsia" w:eastAsiaTheme="majorEastAsia"/>
                <w:sz w:val="24"/>
                <w:lang w:eastAsia="zh-CN"/>
              </w:rPr>
              <w:t>.1 逐一对高值区域进行定位，明确详细地址、经纬度坐标；</w:t>
            </w:r>
          </w:p>
          <w:p w14:paraId="05B500FC">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val="en-US" w:eastAsia="zh-CN"/>
              </w:rPr>
              <w:t>4</w:t>
            </w:r>
            <w:r>
              <w:rPr>
                <w:rFonts w:hint="eastAsia" w:eastAsiaTheme="majorEastAsia"/>
                <w:sz w:val="24"/>
                <w:lang w:eastAsia="zh-CN"/>
              </w:rPr>
              <w:t>.2 给出各高值区域TVOCs峰值浓度，识别主要污染因子、浓度及占比；</w:t>
            </w:r>
          </w:p>
          <w:p w14:paraId="0BF37CA5">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val="en-US" w:eastAsia="zh-CN"/>
              </w:rPr>
              <w:t>4</w:t>
            </w:r>
            <w:r>
              <w:rPr>
                <w:rFonts w:hint="eastAsia" w:eastAsiaTheme="majorEastAsia"/>
                <w:sz w:val="24"/>
                <w:lang w:eastAsia="zh-CN"/>
              </w:rPr>
              <w:t>.3 提供每个高值点位组分前十排名及占比，明确特征污染物；</w:t>
            </w:r>
          </w:p>
          <w:p w14:paraId="17018928">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val="en-US" w:eastAsia="zh-CN"/>
              </w:rPr>
              <w:t>4</w:t>
            </w:r>
            <w:r>
              <w:rPr>
                <w:rFonts w:hint="eastAsia" w:eastAsiaTheme="majorEastAsia"/>
                <w:sz w:val="24"/>
                <w:lang w:eastAsia="zh-CN"/>
              </w:rPr>
              <w:t>.4 绘制关键污染因子与TVOCs浓度时间序列图，清晰呈现变化趋势；</w:t>
            </w:r>
          </w:p>
          <w:p w14:paraId="30F77463">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val="en-US" w:eastAsia="zh-CN"/>
              </w:rPr>
              <w:t>5</w:t>
            </w:r>
            <w:r>
              <w:rPr>
                <w:rFonts w:hint="eastAsia" w:eastAsiaTheme="majorEastAsia"/>
                <w:sz w:val="24"/>
                <w:lang w:eastAsia="zh-CN"/>
              </w:rPr>
              <w:t>.现场溯源诊断</w:t>
            </w:r>
          </w:p>
          <w:p w14:paraId="2038BDED">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val="en-US" w:eastAsia="zh-CN"/>
              </w:rPr>
              <w:t>5</w:t>
            </w:r>
            <w:r>
              <w:rPr>
                <w:rFonts w:hint="eastAsia" w:eastAsiaTheme="majorEastAsia"/>
                <w:sz w:val="24"/>
                <w:lang w:eastAsia="zh-CN"/>
              </w:rPr>
              <w:t>1 现场核查高值点位，判定污染来源；</w:t>
            </w:r>
          </w:p>
          <w:p w14:paraId="3BDAFD46">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val="en-US" w:eastAsia="zh-CN"/>
              </w:rPr>
              <w:t>5</w:t>
            </w:r>
            <w:r>
              <w:rPr>
                <w:rFonts w:hint="eastAsia" w:eastAsiaTheme="majorEastAsia"/>
                <w:sz w:val="24"/>
                <w:lang w:eastAsia="zh-CN"/>
              </w:rPr>
              <w:t>.2 明确无组织排放相关问题；</w:t>
            </w:r>
          </w:p>
          <w:p w14:paraId="5B33278B">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val="en-US" w:eastAsia="zh-CN"/>
              </w:rPr>
              <w:t>6</w:t>
            </w:r>
            <w:r>
              <w:rPr>
                <w:rFonts w:hint="eastAsia" w:eastAsiaTheme="majorEastAsia"/>
                <w:sz w:val="24"/>
                <w:lang w:eastAsia="zh-CN"/>
              </w:rPr>
              <w:t>.图表与佐证材料</w:t>
            </w:r>
          </w:p>
          <w:p w14:paraId="5480D36A">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val="en-US" w:eastAsia="zh-CN"/>
              </w:rPr>
              <w:t>6</w:t>
            </w:r>
            <w:r>
              <w:rPr>
                <w:rFonts w:hint="eastAsia" w:eastAsiaTheme="majorEastAsia"/>
                <w:sz w:val="24"/>
                <w:lang w:eastAsia="zh-CN"/>
              </w:rPr>
              <w:t>.1 提供走航路线图、VOCs浓度空间分布图；</w:t>
            </w:r>
          </w:p>
          <w:p w14:paraId="6D3B7421">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val="en-US" w:eastAsia="zh-CN"/>
              </w:rPr>
              <w:t>6</w:t>
            </w:r>
            <w:r>
              <w:rPr>
                <w:rFonts w:hint="eastAsia" w:eastAsiaTheme="majorEastAsia"/>
                <w:sz w:val="24"/>
                <w:lang w:eastAsia="zh-CN"/>
              </w:rPr>
              <w:t>.2 每个高值点位配套组分占比图、时间序列图；</w:t>
            </w:r>
          </w:p>
          <w:p w14:paraId="1CE3020A">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val="en-US" w:eastAsia="zh-CN"/>
              </w:rPr>
              <w:t>6</w:t>
            </w:r>
            <w:r>
              <w:rPr>
                <w:rFonts w:hint="eastAsia" w:eastAsiaTheme="majorEastAsia"/>
                <w:sz w:val="24"/>
                <w:lang w:eastAsia="zh-CN"/>
              </w:rPr>
              <w:t>.3 附现场核查照片，照片须包含时间、经纬度水印，真实反映现场问题；</w:t>
            </w:r>
          </w:p>
          <w:p w14:paraId="4BD1EA69">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val="en-US" w:eastAsia="zh-CN"/>
              </w:rPr>
              <w:t>7</w:t>
            </w:r>
            <w:r>
              <w:rPr>
                <w:rFonts w:hint="eastAsia" w:eastAsiaTheme="majorEastAsia"/>
                <w:sz w:val="24"/>
                <w:lang w:eastAsia="zh-CN"/>
              </w:rPr>
              <w:t>.总结与管控支撑</w:t>
            </w:r>
          </w:p>
          <w:p w14:paraId="4F1AA180">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val="en-US" w:eastAsia="zh-CN"/>
              </w:rPr>
              <w:t>7</w:t>
            </w:r>
            <w:r>
              <w:rPr>
                <w:rFonts w:hint="eastAsia" w:eastAsiaTheme="majorEastAsia"/>
                <w:sz w:val="24"/>
                <w:lang w:eastAsia="zh-CN"/>
              </w:rPr>
              <w:t>.1 总结区域VOCs污染特征、主要行业来源与共性问题；</w:t>
            </w:r>
          </w:p>
          <w:p w14:paraId="4BB27FCB">
            <w:pPr>
              <w:widowControl w:val="0"/>
              <w:kinsoku/>
              <w:adjustRightInd/>
              <w:snapToGrid/>
              <w:spacing w:line="400" w:lineRule="exact"/>
              <w:jc w:val="both"/>
              <w:textAlignment w:val="auto"/>
              <w:rPr>
                <w:rFonts w:eastAsiaTheme="majorEastAsia"/>
                <w:sz w:val="24"/>
                <w:lang w:eastAsia="zh-CN"/>
              </w:rPr>
            </w:pPr>
            <w:r>
              <w:rPr>
                <w:rFonts w:hint="eastAsia" w:eastAsiaTheme="majorEastAsia"/>
                <w:sz w:val="24"/>
                <w:lang w:val="en-US" w:eastAsia="zh-CN"/>
              </w:rPr>
              <w:t>7</w:t>
            </w:r>
            <w:r>
              <w:rPr>
                <w:rFonts w:hint="eastAsia" w:eastAsiaTheme="majorEastAsia"/>
                <w:sz w:val="24"/>
                <w:lang w:eastAsia="zh-CN"/>
              </w:rPr>
              <w:t>.2 明确最高浓度点位与污染程度，形成可用于执法监管的问题清单；</w:t>
            </w:r>
          </w:p>
          <w:p w14:paraId="19DD75DA">
            <w:pPr>
              <w:widowControl w:val="0"/>
              <w:kinsoku/>
              <w:adjustRightInd/>
              <w:snapToGrid/>
              <w:spacing w:line="400" w:lineRule="exact"/>
              <w:jc w:val="both"/>
              <w:textAlignment w:val="auto"/>
              <w:rPr>
                <w:rFonts w:asciiTheme="minorHAnsi" w:hAnsiTheme="minorHAnsi" w:eastAsiaTheme="majorEastAsia" w:cstheme="minorBidi"/>
                <w:kern w:val="2"/>
                <w:sz w:val="28"/>
                <w:szCs w:val="28"/>
                <w:lang w:eastAsia="zh-CN"/>
              </w:rPr>
            </w:pPr>
            <w:r>
              <w:rPr>
                <w:rFonts w:hint="eastAsia" w:eastAsiaTheme="majorEastAsia"/>
                <w:sz w:val="24"/>
                <w:lang w:val="en-US" w:eastAsia="zh-CN"/>
              </w:rPr>
              <w:t>7</w:t>
            </w:r>
            <w:r>
              <w:rPr>
                <w:rFonts w:hint="eastAsia" w:eastAsiaTheme="majorEastAsia"/>
                <w:sz w:val="24"/>
                <w:lang w:eastAsia="zh-CN"/>
              </w:rPr>
              <w:t>.3 提出针对性管控建议，支撑污染源精准管控。</w:t>
            </w:r>
          </w:p>
        </w:tc>
        <w:tc>
          <w:tcPr>
            <w:tcW w:w="426" w:type="dxa"/>
            <w:vAlign w:val="center"/>
          </w:tcPr>
          <w:p w14:paraId="5FFEDD46">
            <w:pPr>
              <w:widowControl w:val="0"/>
              <w:kinsoku/>
              <w:adjustRightInd/>
              <w:snapToGrid/>
              <w:spacing w:line="400" w:lineRule="exact"/>
              <w:jc w:val="center"/>
              <w:textAlignment w:val="auto"/>
              <w:rPr>
                <w:rFonts w:hint="eastAsia" w:cs="宋体" w:asciiTheme="minorEastAsia" w:hAnsiTheme="minorEastAsia" w:eastAsiaTheme="minorEastAsia"/>
                <w:kern w:val="2"/>
                <w:sz w:val="24"/>
                <w:szCs w:val="24"/>
                <w:lang w:eastAsia="zh-CN"/>
              </w:rPr>
            </w:pPr>
            <w:r>
              <w:rPr>
                <w:rFonts w:hint="eastAsia" w:asciiTheme="minorEastAsia" w:hAnsiTheme="minorEastAsia"/>
                <w:sz w:val="24"/>
              </w:rPr>
              <w:t>年</w:t>
            </w:r>
          </w:p>
        </w:tc>
        <w:tc>
          <w:tcPr>
            <w:tcW w:w="682" w:type="dxa"/>
            <w:vAlign w:val="center"/>
          </w:tcPr>
          <w:p w14:paraId="4F7B9F4B">
            <w:pPr>
              <w:widowControl w:val="0"/>
              <w:kinsoku/>
              <w:adjustRightInd/>
              <w:snapToGrid/>
              <w:spacing w:line="400" w:lineRule="exact"/>
              <w:jc w:val="center"/>
              <w:textAlignment w:val="auto"/>
              <w:rPr>
                <w:rFonts w:hint="eastAsia" w:asciiTheme="minorEastAsia" w:hAnsiTheme="minorEastAsia" w:eastAsiaTheme="minorEastAsia" w:cstheme="majorEastAsia"/>
                <w:kern w:val="2"/>
                <w:sz w:val="24"/>
                <w:szCs w:val="24"/>
                <w:lang w:eastAsia="zh-CN"/>
              </w:rPr>
            </w:pPr>
            <w:r>
              <w:rPr>
                <w:rFonts w:hint="eastAsia" w:asciiTheme="minorEastAsia" w:hAnsiTheme="minorEastAsia" w:cstheme="majorEastAsia"/>
                <w:sz w:val="24"/>
              </w:rPr>
              <w:t>2</w:t>
            </w:r>
          </w:p>
        </w:tc>
      </w:tr>
    </w:tbl>
    <w:p w14:paraId="561FF378">
      <w:pPr>
        <w:widowControl w:val="0"/>
        <w:spacing w:line="245" w:lineRule="auto"/>
        <w:rPr>
          <w:rFonts w:hint="eastAsia" w:ascii="宋体" w:hAnsi="宋体" w:eastAsia="宋体" w:cs="宋体"/>
          <w:color w:val="auto"/>
          <w:sz w:val="32"/>
          <w:szCs w:val="32"/>
          <w:lang w:eastAsia="zh-CN"/>
        </w:rPr>
      </w:pPr>
    </w:p>
    <w:p w14:paraId="22CC3250">
      <w:pPr>
        <w:widowControl w:val="0"/>
        <w:spacing w:before="78" w:line="219" w:lineRule="auto"/>
        <w:rPr>
          <w:rFonts w:hint="eastAsia" w:ascii="宋体" w:hAnsi="宋体" w:eastAsia="宋体" w:cs="宋体"/>
          <w:b/>
          <w:bCs/>
          <w:color w:val="auto"/>
          <w:sz w:val="32"/>
          <w:szCs w:val="32"/>
          <w:lang w:eastAsia="zh-CN"/>
        </w:rPr>
      </w:pPr>
      <w:r>
        <w:rPr>
          <w:rFonts w:hint="eastAsia" w:ascii="宋体" w:hAnsi="宋体" w:eastAsia="宋体" w:cs="宋体"/>
          <w:b/>
          <w:bCs/>
          <w:color w:val="auto"/>
          <w:sz w:val="32"/>
          <w:szCs w:val="32"/>
          <w:lang w:eastAsia="zh-CN"/>
        </w:rPr>
        <w:t xml:space="preserve"> 七、商务条件</w:t>
      </w:r>
    </w:p>
    <w:p w14:paraId="03369B1B">
      <w:pPr>
        <w:kinsoku/>
        <w:spacing w:line="440" w:lineRule="exact"/>
        <w:ind w:firstLine="540" w:firstLineChars="200"/>
        <w:rPr>
          <w:rFonts w:hint="eastAsia" w:ascii="宋体" w:hAnsi="宋体" w:eastAsia="宋体" w:cs="宋体"/>
          <w:sz w:val="27"/>
          <w:szCs w:val="27"/>
          <w:lang w:eastAsia="zh-CN"/>
        </w:rPr>
      </w:pPr>
      <w:r>
        <w:rPr>
          <w:rFonts w:hint="eastAsia" w:ascii="宋体" w:hAnsi="宋体" w:eastAsia="宋体" w:cs="宋体"/>
          <w:sz w:val="27"/>
          <w:szCs w:val="27"/>
          <w:lang w:eastAsia="zh-CN"/>
        </w:rPr>
        <w:t>1</w:t>
      </w:r>
      <w:r>
        <w:rPr>
          <w:rFonts w:hint="eastAsia" w:ascii="宋体" w:hAnsi="宋体" w:eastAsia="宋体" w:cs="宋体"/>
          <w:sz w:val="27"/>
          <w:szCs w:val="27"/>
          <w:lang w:val="en-US" w:eastAsia="zh-CN"/>
        </w:rPr>
        <w:t>.</w:t>
      </w:r>
      <w:r>
        <w:rPr>
          <w:rFonts w:hint="eastAsia" w:ascii="宋体" w:hAnsi="宋体" w:eastAsia="宋体" w:cs="宋体"/>
          <w:sz w:val="27"/>
          <w:szCs w:val="27"/>
          <w:lang w:eastAsia="zh-CN"/>
        </w:rPr>
        <w:t>交货地点：</w:t>
      </w:r>
      <w:r>
        <w:rPr>
          <w:rFonts w:hint="eastAsia" w:ascii="宋体" w:hAnsi="宋体" w:eastAsia="宋体" w:cs="宋体"/>
          <w:sz w:val="27"/>
          <w:szCs w:val="27"/>
          <w:lang w:val="en-US" w:eastAsia="zh-CN"/>
        </w:rPr>
        <w:t>招标</w:t>
      </w:r>
      <w:r>
        <w:rPr>
          <w:rFonts w:hint="eastAsia" w:ascii="宋体" w:hAnsi="宋体" w:eastAsia="宋体" w:cs="宋体"/>
          <w:sz w:val="27"/>
          <w:szCs w:val="27"/>
          <w:lang w:eastAsia="zh-CN"/>
        </w:rPr>
        <w:t>人指定地点。</w:t>
      </w:r>
    </w:p>
    <w:p w14:paraId="60E8FCF9">
      <w:pPr>
        <w:kinsoku/>
        <w:spacing w:line="440" w:lineRule="exact"/>
        <w:ind w:firstLine="540" w:firstLineChars="200"/>
        <w:rPr>
          <w:rFonts w:hint="eastAsia" w:ascii="宋体" w:hAnsi="宋体" w:eastAsia="宋体" w:cs="宋体"/>
          <w:sz w:val="27"/>
          <w:szCs w:val="27"/>
          <w:lang w:eastAsia="zh-CN"/>
        </w:rPr>
      </w:pPr>
      <w:r>
        <w:rPr>
          <w:rFonts w:hint="eastAsia" w:ascii="宋体" w:hAnsi="宋体" w:eastAsia="宋体" w:cs="宋体"/>
          <w:sz w:val="27"/>
          <w:szCs w:val="27"/>
          <w:lang w:eastAsia="zh-CN"/>
        </w:rPr>
        <w:t xml:space="preserve">2.交货时间：自合同签订生效后 </w:t>
      </w:r>
      <w:r>
        <w:rPr>
          <w:rFonts w:hint="eastAsia" w:ascii="宋体" w:hAnsi="宋体" w:eastAsia="宋体" w:cs="宋体"/>
          <w:sz w:val="27"/>
          <w:szCs w:val="27"/>
          <w:lang w:val="en-US" w:eastAsia="zh-CN"/>
        </w:rPr>
        <w:t>60</w:t>
      </w:r>
      <w:r>
        <w:rPr>
          <w:rFonts w:hint="eastAsia" w:ascii="宋体" w:hAnsi="宋体" w:eastAsia="宋体" w:cs="宋体"/>
          <w:sz w:val="27"/>
          <w:szCs w:val="27"/>
          <w:lang w:eastAsia="zh-CN"/>
        </w:rPr>
        <w:t>个日历日内完成所有设备交货并验收合格；运维服务时间为</w:t>
      </w:r>
      <w:r>
        <w:rPr>
          <w:rFonts w:hint="eastAsia" w:ascii="宋体" w:hAnsi="宋体" w:eastAsia="宋体" w:cs="宋体"/>
          <w:sz w:val="27"/>
          <w:szCs w:val="27"/>
          <w:lang w:val="en-US" w:eastAsia="zh-CN"/>
        </w:rPr>
        <w:t>二</w:t>
      </w:r>
      <w:r>
        <w:rPr>
          <w:rFonts w:hint="eastAsia" w:ascii="宋体" w:hAnsi="宋体" w:eastAsia="宋体" w:cs="宋体"/>
          <w:sz w:val="27"/>
          <w:szCs w:val="27"/>
          <w:lang w:eastAsia="zh-CN"/>
        </w:rPr>
        <w:t>年。</w:t>
      </w:r>
    </w:p>
    <w:p w14:paraId="653DD611">
      <w:pPr>
        <w:kinsoku/>
        <w:spacing w:line="440" w:lineRule="exact"/>
        <w:ind w:firstLine="540" w:firstLineChars="200"/>
        <w:rPr>
          <w:rFonts w:hint="eastAsia" w:ascii="宋体" w:hAnsi="宋体" w:eastAsia="宋体" w:cs="宋体"/>
          <w:sz w:val="27"/>
          <w:szCs w:val="27"/>
          <w:lang w:eastAsia="zh-CN"/>
        </w:rPr>
      </w:pPr>
      <w:r>
        <w:rPr>
          <w:rFonts w:hint="eastAsia" w:ascii="宋体" w:hAnsi="宋体" w:eastAsia="宋体" w:cs="宋体"/>
          <w:sz w:val="27"/>
          <w:szCs w:val="27"/>
          <w:lang w:eastAsia="zh-CN"/>
        </w:rPr>
        <w:t>3.验收</w:t>
      </w:r>
    </w:p>
    <w:p w14:paraId="104A3374">
      <w:pPr>
        <w:kinsoku/>
        <w:spacing w:line="440" w:lineRule="exact"/>
        <w:ind w:firstLine="540" w:firstLineChars="200"/>
        <w:rPr>
          <w:rFonts w:hint="eastAsia" w:ascii="宋体" w:hAnsi="宋体" w:eastAsia="宋体" w:cs="宋体"/>
          <w:sz w:val="27"/>
          <w:szCs w:val="27"/>
          <w:lang w:eastAsia="zh-CN"/>
        </w:rPr>
      </w:pPr>
      <w:r>
        <w:rPr>
          <w:rFonts w:hint="eastAsia" w:ascii="宋体" w:hAnsi="宋体" w:eastAsia="宋体" w:cs="宋体"/>
          <w:sz w:val="27"/>
          <w:szCs w:val="27"/>
          <w:lang w:eastAsia="zh-CN"/>
        </w:rPr>
        <w:t>3.1 采购人应当在收到中标人项目验收建议书之日起 7 个工作日内按照合同的约定对履约情况进行验收，对每一项技术、服务、安全标准的履约情况进行确认；</w:t>
      </w:r>
    </w:p>
    <w:p w14:paraId="09A4A47D">
      <w:pPr>
        <w:kinsoku/>
        <w:spacing w:line="440" w:lineRule="exact"/>
        <w:ind w:firstLine="540" w:firstLineChars="200"/>
        <w:rPr>
          <w:rFonts w:hint="eastAsia" w:ascii="宋体" w:hAnsi="宋体" w:eastAsia="宋体" w:cs="宋体"/>
          <w:sz w:val="27"/>
          <w:szCs w:val="27"/>
          <w:lang w:eastAsia="zh-CN"/>
        </w:rPr>
      </w:pPr>
      <w:r>
        <w:rPr>
          <w:rFonts w:hint="eastAsia" w:ascii="宋体" w:hAnsi="宋体" w:eastAsia="宋体" w:cs="宋体"/>
          <w:sz w:val="27"/>
          <w:szCs w:val="27"/>
          <w:lang w:eastAsia="zh-CN"/>
        </w:rPr>
        <w:t>3.2 中标人验收前应对服务内容全面检查，应整理列出服务清单(服务清单的内容应与响应文件中一致)交采购人，作为采购人验收的依据；</w:t>
      </w:r>
    </w:p>
    <w:p w14:paraId="0C46FD7F">
      <w:pPr>
        <w:kinsoku/>
        <w:spacing w:line="440" w:lineRule="exact"/>
        <w:ind w:firstLine="540" w:firstLineChars="200"/>
        <w:rPr>
          <w:rFonts w:hint="eastAsia" w:ascii="宋体" w:hAnsi="宋体" w:eastAsia="宋体" w:cs="宋体"/>
          <w:sz w:val="27"/>
          <w:szCs w:val="27"/>
          <w:lang w:eastAsia="zh-CN"/>
        </w:rPr>
      </w:pPr>
      <w:r>
        <w:rPr>
          <w:rFonts w:hint="eastAsia" w:ascii="宋体" w:hAnsi="宋体" w:eastAsia="宋体" w:cs="宋体"/>
          <w:sz w:val="27"/>
          <w:szCs w:val="27"/>
          <w:lang w:eastAsia="zh-CN"/>
        </w:rPr>
        <w:t>3.3 采购人对中标人所提供的服务清单依照采购文件、响应文件上的要求。涉及中标人向第三方采购商品类实物的，应按国家有关质量标准进行现场验收，达到要求的给予签收。验收不合格的不予签收，后果由中标人负责；</w:t>
      </w:r>
    </w:p>
    <w:p w14:paraId="1A779973">
      <w:pPr>
        <w:kinsoku/>
        <w:spacing w:line="440" w:lineRule="exact"/>
        <w:ind w:firstLine="540" w:firstLineChars="200"/>
        <w:rPr>
          <w:rFonts w:hint="eastAsia" w:ascii="宋体" w:hAnsi="宋体" w:eastAsia="宋体" w:cs="宋体"/>
          <w:sz w:val="27"/>
          <w:szCs w:val="27"/>
          <w:lang w:eastAsia="zh-CN"/>
        </w:rPr>
      </w:pPr>
      <w:r>
        <w:rPr>
          <w:rFonts w:hint="eastAsia" w:ascii="宋体" w:hAnsi="宋体" w:eastAsia="宋体" w:cs="宋体"/>
          <w:sz w:val="27"/>
          <w:szCs w:val="27"/>
          <w:lang w:eastAsia="zh-CN"/>
        </w:rPr>
        <w:t>3.4 采购人应组织专业人士在现场验收，验收产生的费用（包括但不限于聘请专业人士花费的费用）由中标人承担，验收时中标人必须在场。采购人根据其验收情况作出验收结果报告，中标人必须予以配合。如经采购人书面通知中标人到场中标人仍不到场的，视为中标人认可采购人的验收结果报告；</w:t>
      </w:r>
    </w:p>
    <w:p w14:paraId="79469FF9">
      <w:pPr>
        <w:kinsoku/>
        <w:spacing w:line="440" w:lineRule="exact"/>
        <w:ind w:firstLine="540" w:firstLineChars="200"/>
        <w:rPr>
          <w:rFonts w:hint="eastAsia" w:ascii="宋体" w:hAnsi="宋体" w:eastAsia="宋体" w:cs="宋体"/>
          <w:sz w:val="27"/>
          <w:szCs w:val="27"/>
          <w:lang w:eastAsia="zh-CN"/>
        </w:rPr>
      </w:pPr>
      <w:r>
        <w:rPr>
          <w:rFonts w:hint="eastAsia" w:ascii="宋体" w:hAnsi="宋体" w:eastAsia="宋体" w:cs="宋体"/>
          <w:sz w:val="27"/>
          <w:szCs w:val="27"/>
          <w:lang w:eastAsia="zh-CN"/>
        </w:rPr>
        <w:t>3.5 在验收过程中发现有质量、技术等问题，中标人应负责按照采购人的要求采取更换或退货等措施妥善处理，并承担由此发生的一切费用和损失。</w:t>
      </w:r>
    </w:p>
    <w:p w14:paraId="25741370">
      <w:pPr>
        <w:kinsoku/>
        <w:spacing w:line="440" w:lineRule="exact"/>
        <w:ind w:firstLine="540" w:firstLineChars="200"/>
        <w:rPr>
          <w:rFonts w:hint="eastAsia" w:ascii="宋体" w:hAnsi="宋体" w:eastAsia="宋体" w:cs="宋体"/>
          <w:color w:val="auto"/>
          <w:sz w:val="27"/>
          <w:szCs w:val="27"/>
          <w:highlight w:val="none"/>
          <w:lang w:eastAsia="zh-CN"/>
        </w:rPr>
      </w:pPr>
      <w:r>
        <w:rPr>
          <w:rFonts w:hint="eastAsia" w:ascii="宋体" w:hAnsi="宋体" w:eastAsia="宋体" w:cs="宋体"/>
          <w:sz w:val="27"/>
          <w:szCs w:val="27"/>
          <w:lang w:val="en-US" w:eastAsia="zh-CN"/>
        </w:rPr>
        <w:t>4.</w:t>
      </w:r>
      <w:r>
        <w:rPr>
          <w:rFonts w:hint="eastAsia" w:ascii="宋体" w:hAnsi="宋体" w:eastAsia="宋体" w:cs="宋体"/>
          <w:sz w:val="27"/>
          <w:szCs w:val="27"/>
          <w:lang w:eastAsia="zh-CN"/>
        </w:rPr>
        <w:t>履约保证金</w:t>
      </w:r>
      <w:r>
        <w:rPr>
          <w:rFonts w:hint="eastAsia" w:ascii="宋体" w:hAnsi="宋体" w:eastAsia="宋体" w:cs="宋体"/>
          <w:color w:val="auto"/>
          <w:sz w:val="27"/>
          <w:szCs w:val="27"/>
          <w:highlight w:val="none"/>
          <w:lang w:eastAsia="zh-CN"/>
        </w:rPr>
        <w:t>：本采购项目履约保证金为合同金额的</w:t>
      </w:r>
      <w:r>
        <w:rPr>
          <w:rFonts w:hint="eastAsia" w:ascii="宋体" w:hAnsi="宋体" w:eastAsia="宋体" w:cs="宋体"/>
          <w:color w:val="auto"/>
          <w:sz w:val="27"/>
          <w:szCs w:val="27"/>
          <w:highlight w:val="none"/>
          <w:lang w:val="en-US" w:eastAsia="zh-CN"/>
        </w:rPr>
        <w:t>5</w:t>
      </w:r>
      <w:r>
        <w:rPr>
          <w:rFonts w:hint="eastAsia" w:ascii="宋体" w:hAnsi="宋体" w:eastAsia="宋体" w:cs="宋体"/>
          <w:color w:val="auto"/>
          <w:sz w:val="27"/>
          <w:szCs w:val="27"/>
          <w:highlight w:val="none"/>
          <w:lang w:eastAsia="zh-CN"/>
        </w:rPr>
        <w:t>%，提交方式应当采用支票、汇票、本票、网上银行支付或者金融机构、担保机构出具的见索即付保函等非现金形式交纳。项目免费质量保证期</w:t>
      </w:r>
      <w:r>
        <w:rPr>
          <w:rFonts w:hint="eastAsia" w:ascii="宋体" w:hAnsi="宋体" w:eastAsia="宋体" w:cs="宋体"/>
          <w:color w:val="auto"/>
          <w:sz w:val="27"/>
          <w:szCs w:val="27"/>
          <w:highlight w:val="none"/>
          <w:lang w:val="en-US" w:eastAsia="zh-CN"/>
        </w:rPr>
        <w:t>及运维服务</w:t>
      </w:r>
      <w:r>
        <w:rPr>
          <w:rFonts w:hint="eastAsia" w:ascii="宋体" w:hAnsi="宋体" w:eastAsia="宋体" w:cs="宋体"/>
          <w:color w:val="auto"/>
          <w:sz w:val="27"/>
          <w:szCs w:val="27"/>
          <w:highlight w:val="none"/>
          <w:lang w:eastAsia="zh-CN"/>
        </w:rPr>
        <w:t>到期后 30 天内退还。</w:t>
      </w:r>
    </w:p>
    <w:p w14:paraId="0CEE4720">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540" w:firstLineChars="200"/>
        <w:textAlignment w:val="baseline"/>
        <w:rPr>
          <w:rFonts w:hint="eastAsia" w:ascii="宋体" w:hAnsi="宋体" w:eastAsia="宋体" w:cs="宋体"/>
          <w:color w:val="auto"/>
          <w:sz w:val="27"/>
          <w:szCs w:val="27"/>
          <w:highlight w:val="none"/>
          <w:lang w:eastAsia="zh-CN"/>
        </w:rPr>
      </w:pPr>
      <w:r>
        <w:rPr>
          <w:rFonts w:hint="eastAsia" w:ascii="宋体" w:hAnsi="宋体" w:eastAsia="宋体" w:cs="宋体"/>
          <w:color w:val="auto"/>
          <w:sz w:val="27"/>
          <w:szCs w:val="27"/>
          <w:highlight w:val="none"/>
          <w:lang w:eastAsia="zh-CN"/>
        </w:rPr>
        <w:t>5.付款方式：在签订合同后 30 个工作日内，采购人支付合同金额的 30%为预付款，到货签收后支付合同金额的 40%，项目验收合格</w:t>
      </w:r>
      <w:r>
        <w:rPr>
          <w:rFonts w:hint="eastAsia" w:ascii="宋体" w:hAnsi="宋体" w:eastAsia="宋体" w:cs="宋体"/>
          <w:color w:val="auto"/>
          <w:sz w:val="27"/>
          <w:szCs w:val="27"/>
          <w:highlight w:val="none"/>
          <w:lang w:val="en-US" w:eastAsia="zh-CN"/>
        </w:rPr>
        <w:t>运维结束</w:t>
      </w:r>
      <w:r>
        <w:rPr>
          <w:rFonts w:hint="eastAsia" w:ascii="宋体" w:hAnsi="宋体" w:eastAsia="宋体" w:cs="宋体"/>
          <w:color w:val="auto"/>
          <w:sz w:val="27"/>
          <w:szCs w:val="27"/>
          <w:highlight w:val="none"/>
          <w:lang w:eastAsia="zh-CN"/>
        </w:rPr>
        <w:t>后支付至合同金额的 100%。</w:t>
      </w:r>
    </w:p>
    <w:p w14:paraId="1DBF83E5">
      <w:pPr>
        <w:kinsoku/>
        <w:spacing w:line="440" w:lineRule="exact"/>
        <w:ind w:firstLine="540" w:firstLineChars="200"/>
        <w:rPr>
          <w:rFonts w:hint="eastAsia" w:ascii="宋体" w:hAnsi="宋体" w:eastAsia="宋体" w:cs="宋体"/>
          <w:color w:val="auto"/>
          <w:sz w:val="27"/>
          <w:szCs w:val="27"/>
          <w:highlight w:val="none"/>
          <w:lang w:eastAsia="zh-CN"/>
        </w:rPr>
      </w:pPr>
      <w:r>
        <w:rPr>
          <w:rFonts w:hint="eastAsia" w:ascii="宋体" w:hAnsi="宋体" w:eastAsia="宋体" w:cs="宋体"/>
          <w:color w:val="auto"/>
          <w:sz w:val="27"/>
          <w:szCs w:val="27"/>
          <w:highlight w:val="none"/>
          <w:lang w:eastAsia="zh-CN"/>
        </w:rPr>
        <w:t>6.售后服务：</w:t>
      </w:r>
    </w:p>
    <w:p w14:paraId="5733B571">
      <w:pPr>
        <w:kinsoku/>
        <w:spacing w:line="440" w:lineRule="exact"/>
        <w:ind w:firstLine="540" w:firstLineChars="200"/>
        <w:rPr>
          <w:rFonts w:hint="eastAsia" w:ascii="宋体" w:hAnsi="宋体" w:eastAsia="宋体" w:cs="宋体"/>
          <w:sz w:val="27"/>
          <w:szCs w:val="27"/>
          <w:lang w:eastAsia="zh-CN"/>
        </w:rPr>
      </w:pPr>
      <w:r>
        <w:rPr>
          <w:rFonts w:hint="eastAsia" w:ascii="宋体" w:hAnsi="宋体" w:eastAsia="宋体" w:cs="宋体"/>
          <w:sz w:val="27"/>
          <w:szCs w:val="27"/>
          <w:lang w:eastAsia="zh-CN"/>
        </w:rPr>
        <w:t>（1）安装和调试：中标人负责派厂家技术人员到现场进行免费安装调试，直至验收合格；中标人应在设备运抵现场一周前，向采购人提供设备安装调试及运行的进度计划表。</w:t>
      </w:r>
    </w:p>
    <w:p w14:paraId="75C4944D">
      <w:pPr>
        <w:kinsoku/>
        <w:spacing w:line="440" w:lineRule="exact"/>
        <w:ind w:firstLine="540" w:firstLineChars="200"/>
        <w:rPr>
          <w:rFonts w:hint="eastAsia" w:ascii="宋体" w:hAnsi="宋体" w:eastAsia="宋体" w:cs="宋体"/>
          <w:sz w:val="27"/>
          <w:szCs w:val="27"/>
          <w:lang w:eastAsia="zh-CN"/>
        </w:rPr>
      </w:pPr>
      <w:r>
        <w:rPr>
          <w:rFonts w:hint="eastAsia" w:ascii="宋体" w:hAnsi="宋体" w:eastAsia="宋体" w:cs="宋体"/>
          <w:sz w:val="27"/>
          <w:szCs w:val="27"/>
          <w:lang w:eastAsia="zh-CN"/>
        </w:rPr>
        <w:t>（2）技术培训：中标人应负责对采购人人员进行现场培训，直至采购人人员能完全操作和维护设备。</w:t>
      </w:r>
    </w:p>
    <w:p w14:paraId="117A4F87">
      <w:pPr>
        <w:kinsoku/>
        <w:spacing w:line="440" w:lineRule="exact"/>
        <w:ind w:firstLine="540" w:firstLineChars="200"/>
        <w:rPr>
          <w:rFonts w:hint="eastAsia" w:ascii="宋体" w:hAnsi="宋体" w:eastAsia="宋体" w:cs="宋体"/>
          <w:sz w:val="27"/>
          <w:szCs w:val="27"/>
          <w:lang w:eastAsia="zh-CN"/>
        </w:rPr>
      </w:pPr>
      <w:r>
        <w:rPr>
          <w:rFonts w:hint="eastAsia" w:ascii="宋体" w:hAnsi="宋体" w:eastAsia="宋体" w:cs="宋体"/>
          <w:sz w:val="27"/>
          <w:szCs w:val="27"/>
          <w:lang w:eastAsia="zh-CN"/>
        </w:rPr>
        <w:t>（3）免费质量保证（修）期：所投货物必须提供</w:t>
      </w:r>
      <w:r>
        <w:rPr>
          <w:rFonts w:hint="eastAsia" w:ascii="宋体" w:hAnsi="宋体" w:eastAsia="宋体" w:cs="宋体"/>
          <w:sz w:val="27"/>
          <w:szCs w:val="27"/>
          <w:lang w:val="en-US" w:eastAsia="zh-CN"/>
        </w:rPr>
        <w:t>2</w:t>
      </w:r>
      <w:r>
        <w:rPr>
          <w:rFonts w:hint="eastAsia" w:ascii="宋体" w:hAnsi="宋体" w:eastAsia="宋体" w:cs="宋体"/>
          <w:sz w:val="27"/>
          <w:szCs w:val="27"/>
          <w:lang w:eastAsia="zh-CN"/>
        </w:rPr>
        <w:t>年（含）以上的质保期，质保期经安装调试、验收合格之日起计算。相关运维耗材（技术要求有规定的，以其规定为准，投标人有优于招标文件承诺的以其承诺为准）。不在保修范围内的附件、配件、易损品等，各投标人应在投标文件中单独列表说明，写出相应的保修期、更换单价，否则代表承诺免费保修期内免费更换附件、配件、易损品等。保修期内，免费更换零配件、免工时费。</w:t>
      </w:r>
    </w:p>
    <w:p w14:paraId="1C49A3C5">
      <w:pPr>
        <w:kinsoku/>
        <w:spacing w:line="440" w:lineRule="exact"/>
        <w:ind w:firstLine="540" w:firstLineChars="200"/>
        <w:rPr>
          <w:rFonts w:hint="eastAsia" w:ascii="宋体" w:hAnsi="宋体" w:eastAsia="宋体" w:cs="宋体"/>
          <w:sz w:val="27"/>
          <w:szCs w:val="27"/>
          <w:lang w:eastAsia="zh-CN"/>
        </w:rPr>
      </w:pPr>
      <w:r>
        <w:rPr>
          <w:rFonts w:hint="eastAsia" w:ascii="宋体" w:hAnsi="宋体" w:eastAsia="宋体" w:cs="宋体"/>
          <w:sz w:val="27"/>
          <w:szCs w:val="27"/>
          <w:lang w:eastAsia="zh-CN"/>
        </w:rPr>
        <w:t>（4）发生质量问题的处理方式：免费保修期内，如果有因质量问题而引起的损坏，中标人应对货物予以维修或更换，全部服务费和更换货物或配件的费用由中标人承担，中标人如不能修理或不能调换，按货物原价赔偿处理。</w:t>
      </w:r>
    </w:p>
    <w:p w14:paraId="501C791C">
      <w:pPr>
        <w:kinsoku/>
        <w:spacing w:line="440" w:lineRule="exact"/>
        <w:ind w:firstLine="540" w:firstLineChars="200"/>
        <w:rPr>
          <w:rFonts w:hint="eastAsia" w:ascii="宋体" w:hAnsi="宋体" w:eastAsia="宋体" w:cs="宋体"/>
          <w:sz w:val="27"/>
          <w:szCs w:val="27"/>
          <w:lang w:eastAsia="zh-CN"/>
        </w:rPr>
      </w:pPr>
      <w:r>
        <w:rPr>
          <w:rFonts w:hint="eastAsia" w:ascii="宋体" w:hAnsi="宋体" w:eastAsia="宋体" w:cs="宋体"/>
          <w:sz w:val="27"/>
          <w:szCs w:val="27"/>
          <w:lang w:eastAsia="zh-CN"/>
        </w:rPr>
        <w:t>（5）故障响应时间：中标人在保修期内要求经常回访，有问题做到及时处理。出现质量问题或故障时，响应时间≤2 小时，工程师应在 24 小时内到达现场并排除故障，零配件供应及时。保修期内如同一故障发生三次，或在三个月内无法修复，中标人无条件换货；如保修期内因故障停机，按停机时间的双倍顺延保修期；</w:t>
      </w:r>
    </w:p>
    <w:p w14:paraId="6F5EF804">
      <w:pPr>
        <w:kinsoku/>
        <w:spacing w:line="440" w:lineRule="exact"/>
        <w:ind w:firstLine="540" w:firstLineChars="200"/>
        <w:rPr>
          <w:rFonts w:hint="eastAsia" w:ascii="宋体" w:hAnsi="宋体" w:eastAsia="宋体" w:cs="宋体"/>
          <w:sz w:val="27"/>
          <w:szCs w:val="27"/>
          <w:lang w:eastAsia="zh-CN"/>
        </w:rPr>
      </w:pPr>
      <w:r>
        <w:rPr>
          <w:rFonts w:hint="eastAsia" w:ascii="宋体" w:hAnsi="宋体" w:eastAsia="宋体" w:cs="宋体"/>
          <w:sz w:val="27"/>
          <w:szCs w:val="27"/>
          <w:lang w:eastAsia="zh-CN"/>
        </w:rPr>
        <w:t>（6）保修期外售后服务要求：保修期满后，一旦发生质量问题，投标人保证在接到通知 24 小时内赶到现场进行修理或更换，只收取配件费。</w:t>
      </w:r>
    </w:p>
    <w:p w14:paraId="295DB148">
      <w:pPr>
        <w:kinsoku/>
        <w:spacing w:line="440" w:lineRule="exact"/>
        <w:ind w:firstLine="540" w:firstLineChars="200"/>
        <w:rPr>
          <w:rFonts w:hint="eastAsia" w:ascii="宋体" w:hAnsi="宋体" w:eastAsia="宋体" w:cs="宋体"/>
          <w:sz w:val="27"/>
          <w:szCs w:val="27"/>
          <w:lang w:eastAsia="zh-CN"/>
        </w:rPr>
      </w:pPr>
      <w:r>
        <w:rPr>
          <w:rFonts w:hint="eastAsia" w:ascii="宋体" w:hAnsi="宋体" w:eastAsia="宋体" w:cs="宋体"/>
          <w:sz w:val="27"/>
          <w:szCs w:val="27"/>
          <w:lang w:eastAsia="zh-CN"/>
        </w:rPr>
        <w:t>7.其他商务要求：</w:t>
      </w:r>
    </w:p>
    <w:p w14:paraId="0A66EC81">
      <w:pPr>
        <w:kinsoku/>
        <w:spacing w:line="440" w:lineRule="exact"/>
        <w:ind w:firstLine="540" w:firstLineChars="200"/>
        <w:rPr>
          <w:rFonts w:hint="eastAsia" w:ascii="宋体" w:hAnsi="宋体" w:eastAsia="宋体" w:cs="宋体"/>
          <w:sz w:val="27"/>
          <w:szCs w:val="27"/>
          <w:lang w:eastAsia="zh-CN"/>
        </w:rPr>
      </w:pPr>
      <w:r>
        <w:rPr>
          <w:rFonts w:hint="eastAsia" w:ascii="宋体" w:hAnsi="宋体" w:eastAsia="宋体" w:cs="宋体"/>
          <w:sz w:val="27"/>
          <w:szCs w:val="27"/>
          <w:lang w:eastAsia="zh-CN"/>
        </w:rPr>
        <w:t>所投车辆须包含免费上牌及至少一年保险。</w:t>
      </w:r>
    </w:p>
    <w:p w14:paraId="298BC012">
      <w:pPr>
        <w:kinsoku/>
        <w:spacing w:line="440" w:lineRule="exact"/>
        <w:ind w:firstLine="542" w:firstLineChars="200"/>
        <w:rPr>
          <w:color w:val="auto"/>
          <w:lang w:eastAsia="zh-CN"/>
        </w:rPr>
      </w:pPr>
      <w:r>
        <w:rPr>
          <w:rFonts w:hint="eastAsia" w:ascii="宋体" w:hAnsi="宋体" w:eastAsia="宋体" w:cs="宋体"/>
          <w:b/>
          <w:bCs/>
          <w:sz w:val="27"/>
          <w:szCs w:val="27"/>
          <w:lang w:eastAsia="zh-CN"/>
        </w:rPr>
        <w:t>注：以上采购需求、技术服务标准和商务条件要求为必须满足项，否则作无效投标处理。</w:t>
      </w:r>
    </w:p>
    <w:p w14:paraId="03ED002C">
      <w:bookmarkStart w:id="3" w:name="_GoBack"/>
      <w:bookmarkEnd w:id="3"/>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1160B6">
    <w:pPr>
      <w:pStyle w:val="2"/>
      <w:spacing w:line="182" w:lineRule="auto"/>
      <w:ind w:left="4668"/>
      <w:rPr>
        <w:sz w:val="18"/>
        <w:szCs w:val="18"/>
      </w:rPr>
    </w:pPr>
    <w:r>
      <w:rPr>
        <w:spacing w:val="-5"/>
        <w:sz w:val="18"/>
        <w:szCs w:val="18"/>
      </w:rPr>
      <w:t>-</w:t>
    </w:r>
    <w:r>
      <w:rPr>
        <w:spacing w:val="6"/>
        <w:sz w:val="18"/>
        <w:szCs w:val="18"/>
      </w:rPr>
      <w:t xml:space="preserve"> </w:t>
    </w:r>
    <w:r>
      <w:rPr>
        <w:spacing w:val="-5"/>
        <w:sz w:val="18"/>
        <w:szCs w:val="18"/>
      </w:rPr>
      <w:t>7</w:t>
    </w:r>
    <w:r>
      <w:rPr>
        <w:spacing w:val="7"/>
        <w:sz w:val="18"/>
        <w:szCs w:val="18"/>
      </w:rPr>
      <w:t xml:space="preserve"> </w:t>
    </w:r>
    <w:r>
      <w:rPr>
        <w:spacing w:val="-5"/>
        <w:sz w:val="18"/>
        <w:szCs w:val="18"/>
      </w:rPr>
      <w:t>-</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554C2A">
    <w:pPr>
      <w:pStyle w:val="2"/>
      <w:spacing w:line="14" w:lineRule="auto"/>
      <w:rPr>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F928B4"/>
    <w:multiLevelType w:val="multilevel"/>
    <w:tmpl w:val="03F928B4"/>
    <w:lvl w:ilvl="0" w:tentative="0">
      <w:start w:val="1"/>
      <w:numFmt w:val="decimal"/>
      <w:lvlText w:val="%1."/>
      <w:lvlJc w:val="left"/>
      <w:pPr>
        <w:ind w:left="425" w:hanging="425"/>
      </w:pPr>
      <w:rPr>
        <w:rFonts w:hint="eastAsia" w:ascii="宋体" w:hAnsi="宋体" w:eastAsia="宋体"/>
      </w:rPr>
    </w:lvl>
    <w:lvl w:ilvl="1" w:tentative="0">
      <w:start w:val="1"/>
      <w:numFmt w:val="decimal"/>
      <w:lvlText w:val="%1.%2."/>
      <w:lvlJc w:val="left"/>
      <w:pPr>
        <w:ind w:left="567" w:hanging="567"/>
      </w:pPr>
      <w:rPr>
        <w:rFonts w:hint="eastAsia" w:ascii="宋体" w:hAnsi="宋体" w:eastAsia="宋体"/>
      </w:rPr>
    </w:lvl>
    <w:lvl w:ilvl="2" w:tentative="0">
      <w:start w:val="1"/>
      <w:numFmt w:val="decimal"/>
      <w:suff w:val="space"/>
      <w:lvlText w:val="(%3)"/>
      <w:lvlJc w:val="left"/>
      <w:pPr>
        <w:ind w:left="709" w:hanging="709"/>
      </w:pPr>
      <w:rPr>
        <w:rFonts w:hint="default" w:ascii="Times New Roman" w:hAnsi="Times New Roman" w:cs="Times New Roman"/>
      </w:rPr>
    </w:lvl>
    <w:lvl w:ilvl="3" w:tentative="0">
      <w:start w:val="1"/>
      <w:numFmt w:val="decimal"/>
      <w:lvlText w:val="%1.%2.%3.%4."/>
      <w:lvlJc w:val="left"/>
      <w:pPr>
        <w:ind w:left="851" w:hanging="851"/>
      </w:pPr>
      <w:rPr>
        <w:rFonts w:hint="eastAsia" w:ascii="宋体" w:hAnsi="宋体" w:eastAsia="宋体"/>
      </w:rPr>
    </w:lvl>
    <w:lvl w:ilvl="4" w:tentative="0">
      <w:start w:val="1"/>
      <w:numFmt w:val="decimal"/>
      <w:lvlText w:val="%1.%2.%3.%4.%5."/>
      <w:lvlJc w:val="left"/>
      <w:pPr>
        <w:ind w:left="992" w:hanging="992"/>
      </w:pPr>
      <w:rPr>
        <w:rFonts w:hint="eastAsia" w:ascii="宋体" w:hAnsi="宋体" w:eastAsia="宋体"/>
      </w:rPr>
    </w:lvl>
    <w:lvl w:ilvl="5" w:tentative="0">
      <w:start w:val="1"/>
      <w:numFmt w:val="decimal"/>
      <w:lvlText w:val="%1.%2.%3.%4.%5.%6."/>
      <w:lvlJc w:val="left"/>
      <w:pPr>
        <w:ind w:left="1134" w:hanging="1134"/>
      </w:pPr>
      <w:rPr>
        <w:rFonts w:hint="eastAsia" w:ascii="宋体" w:hAnsi="宋体" w:eastAsia="宋体"/>
      </w:rPr>
    </w:lvl>
    <w:lvl w:ilvl="6" w:tentative="0">
      <w:start w:val="1"/>
      <w:numFmt w:val="decimal"/>
      <w:lvlText w:val="%1.%2.%3.%4.%5.%6.%7."/>
      <w:lvlJc w:val="left"/>
      <w:pPr>
        <w:ind w:left="1276" w:hanging="1276"/>
      </w:pPr>
      <w:rPr>
        <w:rFonts w:hint="eastAsia" w:ascii="宋体" w:hAnsi="宋体" w:eastAsia="宋体"/>
      </w:rPr>
    </w:lvl>
    <w:lvl w:ilvl="7" w:tentative="0">
      <w:start w:val="1"/>
      <w:numFmt w:val="decimal"/>
      <w:lvlText w:val="%1.%2.%3.%4.%5.%6.%7.%8."/>
      <w:lvlJc w:val="left"/>
      <w:pPr>
        <w:ind w:left="1418" w:hanging="1418"/>
      </w:pPr>
      <w:rPr>
        <w:rFonts w:hint="eastAsia" w:ascii="宋体" w:hAnsi="宋体" w:eastAsia="宋体"/>
      </w:rPr>
    </w:lvl>
    <w:lvl w:ilvl="8" w:tentative="0">
      <w:start w:val="1"/>
      <w:numFmt w:val="decimal"/>
      <w:lvlText w:val="%1.%2.%3.%4.%5.%6.%7.%8.%9."/>
      <w:lvlJc w:val="left"/>
      <w:pPr>
        <w:ind w:left="1559" w:hanging="1559"/>
      </w:pPr>
      <w:rPr>
        <w:rFonts w:hint="eastAsia" w:ascii="宋体" w:hAnsi="宋体" w:eastAsia="宋体"/>
      </w:rPr>
    </w:lvl>
  </w:abstractNum>
  <w:abstractNum w:abstractNumId="1">
    <w:nsid w:val="631576F8"/>
    <w:multiLevelType w:val="multilevel"/>
    <w:tmpl w:val="631576F8"/>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lvl>
    <w:lvl w:ilvl="2" w:tentative="0">
      <w:start w:val="1"/>
      <w:numFmt w:val="decimal"/>
      <w:lvlText w:val="%1.%2.%3."/>
      <w:lvlJc w:val="left"/>
      <w:pPr>
        <w:ind w:left="992" w:hanging="709"/>
      </w:pPr>
    </w:lvl>
    <w:lvl w:ilvl="3" w:tentative="0">
      <w:start w:val="1"/>
      <w:numFmt w:val="decimal"/>
      <w:lvlText w:val="%1.%2.%3.%4."/>
      <w:lvlJc w:val="left"/>
      <w:pPr>
        <w:ind w:left="850" w:hanging="850"/>
      </w:pPr>
    </w:lvl>
    <w:lvl w:ilvl="4" w:tentative="0">
      <w:start w:val="1"/>
      <w:numFmt w:val="decimal"/>
      <w:lvlText w:val="%1.%2.%3.%4.%5."/>
      <w:lvlJc w:val="left"/>
      <w:pPr>
        <w:ind w:left="991" w:hanging="991"/>
      </w:pPr>
    </w:lvl>
    <w:lvl w:ilvl="5" w:tentative="0">
      <w:start w:val="1"/>
      <w:numFmt w:val="decimal"/>
      <w:lvlText w:val="%1.%2.%3.%4.%5.%6."/>
      <w:lvlJc w:val="left"/>
      <w:pPr>
        <w:ind w:left="1134" w:hanging="1134"/>
      </w:pPr>
    </w:lvl>
    <w:lvl w:ilvl="6" w:tentative="0">
      <w:start w:val="1"/>
      <w:numFmt w:val="decimal"/>
      <w:lvlText w:val="%1.%2.%3.%4.%5.%6.%7."/>
      <w:lvlJc w:val="left"/>
      <w:pPr>
        <w:ind w:left="1275" w:hanging="1275"/>
      </w:pPr>
    </w:lvl>
    <w:lvl w:ilvl="7" w:tentative="0">
      <w:start w:val="1"/>
      <w:numFmt w:val="decimal"/>
      <w:lvlText w:val="%1.%2.%3.%4.%5.%6.%7.%8."/>
      <w:lvlJc w:val="left"/>
      <w:pPr>
        <w:ind w:left="1418" w:hanging="1418"/>
      </w:pPr>
    </w:lvl>
    <w:lvl w:ilvl="8" w:tentative="0">
      <w:start w:val="1"/>
      <w:numFmt w:val="decimal"/>
      <w:lvlText w:val="%1.%2.%3.%4.%5.%6.%7.%8.%9."/>
      <w:lvlJc w:val="left"/>
      <w:pPr>
        <w:ind w:left="1558" w:hanging="1558"/>
      </w:pPr>
    </w:lvl>
  </w:abstractNum>
  <w:abstractNum w:abstractNumId="2">
    <w:nsid w:val="7057168C"/>
    <w:multiLevelType w:val="multilevel"/>
    <w:tmpl w:val="7057168C"/>
    <w:lvl w:ilvl="0" w:tentative="0">
      <w:start w:val="1"/>
      <w:numFmt w:val="decimal"/>
      <w:lvlText w:val="(%1)"/>
      <w:lvlJc w:val="left"/>
      <w:pPr>
        <w:ind w:left="440" w:hanging="44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F09362E"/>
    <w:rsid w:val="59B84A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semiHidden/>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Table Text"/>
    <w:basedOn w:val="1"/>
    <w:semiHidden/>
    <w:qFormat/>
    <w:uiPriority w:val="0"/>
  </w:style>
  <w:style w:type="table" w:customStyle="1" w:styleId="8">
    <w:name w:val="Table Normal"/>
    <w:semiHidden/>
    <w:unhideWhenUsed/>
    <w:qFormat/>
    <w:uiPriority w:val="0"/>
    <w:tblPr>
      <w:tblCellMar>
        <w:top w:w="0" w:type="dxa"/>
        <w:left w:w="0" w:type="dxa"/>
        <w:bottom w:w="0" w:type="dxa"/>
        <w:right w:w="0" w:type="dxa"/>
      </w:tblCellMar>
    </w:tblPr>
  </w:style>
  <w:style w:type="paragraph" w:customStyle="1" w:styleId="9">
    <w:name w:val="Table Paragraph"/>
    <w:basedOn w:val="1"/>
    <w:qFormat/>
    <w:uiPriority w:val="1"/>
    <w:pPr>
      <w:spacing w:before="59"/>
    </w:pPr>
    <w:rPr>
      <w:rFonts w:ascii="宋体" w:hAnsi="宋体" w:eastAsia="宋体" w:cs="宋体"/>
      <w:szCs w:val="22"/>
      <w:lang w:val="zh-CN" w:bidi="zh-CN"/>
    </w:rPr>
  </w:style>
  <w:style w:type="paragraph" w:customStyle="1" w:styleId="10">
    <w:name w:val="Default1"/>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styleId="11">
    <w:name w:val="List Paragraph"/>
    <w:basedOn w:val="1"/>
    <w:qFormat/>
    <w:uiPriority w:val="34"/>
    <w:pPr>
      <w:spacing w:after="160" w:line="278" w:lineRule="auto"/>
      <w:ind w:left="720"/>
      <w:contextualSpacing/>
    </w:pPr>
    <w:rPr>
      <w:sz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7659</Words>
  <Characters>7851</Characters>
  <Lines>0</Lines>
  <Paragraphs>0</Paragraphs>
  <TotalTime>0</TotalTime>
  <ScaleCrop>false</ScaleCrop>
  <LinksUpToDate>false</LinksUpToDate>
  <CharactersWithSpaces>7929</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2026-01-09T10:08:00Z</dcterms:created>
  <dc:creator>1</dc:creator>
  <cp:lastModifiedBy>Administrator</cp:lastModifiedBy>
  <dcterms:modified xsi:type="dcterms:W3CDTF">2026-06-12T12:39:26Z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eyJoZGlkIjoiNDVhMDU2NjM1OGQ1YjYwN2U0NmJlZDY3MjhjNmY0ZTAiLCJ1c2VySWQiOiI0MDk2ODMyODcifQ==</vt:lpwstr>
  </property>
  <property fmtid="{D5CDD505-2E9C-101B-9397-08002B2CF9AE}" pid="4" name="ICV">
    <vt:lpwstr>53A2FD30EE7C40D58D856865C1C4D24E_12</vt:lpwstr>
  </property>
</Properties>
</file>