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50C2DD">
      <w:pPr>
        <w:widowControl w:val="0"/>
        <w:kinsoku/>
        <w:spacing w:afterLines="50" w:line="224" w:lineRule="auto"/>
        <w:jc w:val="center"/>
        <w:outlineLvl w:val="0"/>
        <w:rPr>
          <w:rFonts w:ascii="宋体" w:hAnsi="宋体" w:eastAsia="宋体" w:cs="宋体"/>
          <w:color w:val="auto"/>
          <w:spacing w:val="8"/>
          <w:sz w:val="30"/>
          <w:szCs w:val="30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771"/>
      <w:bookmarkStart w:id="1" w:name="_Toc423"/>
      <w:r>
        <w:rPr>
          <w:rFonts w:hint="eastAsia" w:ascii="宋体" w:hAnsi="宋体" w:eastAsia="宋体" w:cs="宋体"/>
          <w:color w:val="auto"/>
          <w:spacing w:val="8"/>
          <w:sz w:val="30"/>
          <w:szCs w:val="30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 xml:space="preserve">第五章  </w:t>
      </w:r>
      <w:bookmarkEnd w:id="0"/>
      <w:r>
        <w:rPr>
          <w:rFonts w:hint="eastAsia" w:ascii="宋体" w:hAnsi="宋体" w:eastAsia="宋体" w:cs="宋体"/>
          <w:color w:val="auto"/>
          <w:spacing w:val="8"/>
          <w:sz w:val="30"/>
          <w:szCs w:val="30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货物需求表及采购需求</w:t>
      </w:r>
      <w:bookmarkEnd w:id="1"/>
    </w:p>
    <w:p w14:paraId="0A4EC762">
      <w:pPr>
        <w:widowControl w:val="0"/>
        <w:kinsoku/>
        <w:spacing w:afterLines="50" w:line="400" w:lineRule="exact"/>
        <w:jc w:val="center"/>
        <w:outlineLvl w:val="1"/>
        <w:rPr>
          <w:color w:val="auto"/>
        </w:rPr>
      </w:pPr>
      <w:bookmarkStart w:id="2" w:name="_Toc7426"/>
      <w:bookmarkStart w:id="3" w:name="_Toc21562"/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2"/>
      <w:bookmarkEnd w:id="3"/>
    </w:p>
    <w:tbl>
      <w:tblPr>
        <w:tblStyle w:val="7"/>
        <w:tblpPr w:leftFromText="180" w:rightFromText="180" w:vertAnchor="text" w:horzAnchor="page" w:tblpX="1392" w:tblpY="255"/>
        <w:tblOverlap w:val="never"/>
        <w:tblW w:w="9101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38"/>
        <w:gridCol w:w="6263"/>
      </w:tblGrid>
      <w:tr w14:paraId="50F8FE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2838" w:type="dxa"/>
            <w:tcBorders>
              <w:tl2br w:val="single" w:color="000000" w:sz="2" w:space="0"/>
            </w:tcBorders>
            <w:vAlign w:val="center"/>
          </w:tcPr>
          <w:p w14:paraId="5CDDCF32">
            <w:pPr>
              <w:widowControl w:val="0"/>
              <w:kinsoku/>
              <w:ind w:left="192" w:firstLine="2160" w:firstLineChars="900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名称</w:t>
            </w:r>
          </w:p>
          <w:p w14:paraId="0B4D8733">
            <w:pPr>
              <w:widowControl w:val="0"/>
              <w:kinsoku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内容</w:t>
            </w:r>
          </w:p>
        </w:tc>
        <w:tc>
          <w:tcPr>
            <w:tcW w:w="6263" w:type="dxa"/>
            <w:vAlign w:val="center"/>
          </w:tcPr>
          <w:p w14:paraId="73160DE5">
            <w:pPr>
              <w:pStyle w:val="8"/>
              <w:widowControl w:val="0"/>
              <w:kinsoku/>
              <w:jc w:val="center"/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lang w:eastAsia="zh-CN"/>
              </w:rPr>
              <w:t>吉安县万福镇中心卫生院盘田分院专项科室设备采购项目</w:t>
            </w:r>
          </w:p>
        </w:tc>
      </w:tr>
      <w:tr w14:paraId="00A8DC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2838" w:type="dxa"/>
            <w:vAlign w:val="center"/>
          </w:tcPr>
          <w:p w14:paraId="11DC2B8B">
            <w:pPr>
              <w:widowControl w:val="0"/>
              <w:kinsoku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</w:rPr>
              <w:t>数量</w:t>
            </w:r>
          </w:p>
        </w:tc>
        <w:tc>
          <w:tcPr>
            <w:tcW w:w="6263" w:type="dxa"/>
            <w:vAlign w:val="center"/>
          </w:tcPr>
          <w:p w14:paraId="59B63499">
            <w:pPr>
              <w:pStyle w:val="8"/>
              <w:widowControl w:val="0"/>
              <w:kinsoku/>
              <w:jc w:val="center"/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lang w:eastAsia="zh-CN"/>
              </w:rPr>
              <w:t>1批</w:t>
            </w:r>
          </w:p>
        </w:tc>
      </w:tr>
      <w:tr w14:paraId="553AC1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2838" w:type="dxa"/>
            <w:vAlign w:val="center"/>
          </w:tcPr>
          <w:p w14:paraId="39924B5D">
            <w:pPr>
              <w:widowControl w:val="0"/>
              <w:kinsoku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</w:rPr>
              <w:t>交货期</w:t>
            </w:r>
          </w:p>
        </w:tc>
        <w:tc>
          <w:tcPr>
            <w:tcW w:w="6263" w:type="dxa"/>
            <w:vAlign w:val="center"/>
          </w:tcPr>
          <w:p w14:paraId="7B405DB9">
            <w:pPr>
              <w:widowControl w:val="0"/>
              <w:kinsoku/>
              <w:jc w:val="center"/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lang w:eastAsia="zh-CN"/>
              </w:rPr>
              <w:t>详见“第五章货物需求表及采购需求中商务条件”</w:t>
            </w:r>
          </w:p>
        </w:tc>
      </w:tr>
      <w:tr w14:paraId="722607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2838" w:type="dxa"/>
            <w:vAlign w:val="center"/>
          </w:tcPr>
          <w:p w14:paraId="6191C064">
            <w:pPr>
              <w:widowControl w:val="0"/>
              <w:kinsoku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</w:rPr>
              <w:t>交货地点</w:t>
            </w:r>
          </w:p>
        </w:tc>
        <w:tc>
          <w:tcPr>
            <w:tcW w:w="6263" w:type="dxa"/>
            <w:vAlign w:val="center"/>
          </w:tcPr>
          <w:p w14:paraId="7B12D73F">
            <w:pPr>
              <w:widowControl w:val="0"/>
              <w:kinsoku/>
              <w:jc w:val="center"/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lang w:eastAsia="zh-CN"/>
              </w:rPr>
              <w:t>详见“第五章货物需求表及采购需求中商务条件”</w:t>
            </w:r>
          </w:p>
        </w:tc>
      </w:tr>
      <w:tr w14:paraId="1591B5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2838" w:type="dxa"/>
            <w:vAlign w:val="center"/>
          </w:tcPr>
          <w:p w14:paraId="41AB16D6">
            <w:pPr>
              <w:widowControl w:val="0"/>
              <w:kinsoku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</w:rPr>
              <w:t>安装地点</w:t>
            </w:r>
          </w:p>
        </w:tc>
        <w:tc>
          <w:tcPr>
            <w:tcW w:w="6263" w:type="dxa"/>
            <w:vAlign w:val="center"/>
          </w:tcPr>
          <w:p w14:paraId="28E0572D">
            <w:pPr>
              <w:widowControl w:val="0"/>
              <w:kinsoku/>
              <w:jc w:val="center"/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lang w:eastAsia="zh-CN"/>
              </w:rPr>
              <w:t>详见“第五章货物需求表及采购需求中商务条件”</w:t>
            </w:r>
          </w:p>
        </w:tc>
      </w:tr>
      <w:tr w14:paraId="28F852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2838" w:type="dxa"/>
            <w:vAlign w:val="center"/>
          </w:tcPr>
          <w:p w14:paraId="7FD6D186">
            <w:pPr>
              <w:widowControl w:val="0"/>
              <w:kinsoku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</w:rPr>
              <w:t>备注</w:t>
            </w:r>
          </w:p>
        </w:tc>
        <w:tc>
          <w:tcPr>
            <w:tcW w:w="6263" w:type="dxa"/>
            <w:vAlign w:val="center"/>
          </w:tcPr>
          <w:p w14:paraId="74C9F97C">
            <w:pPr>
              <w:pStyle w:val="8"/>
              <w:widowControl w:val="0"/>
              <w:kinsoku/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</w:rPr>
            </w:pPr>
          </w:p>
        </w:tc>
      </w:tr>
    </w:tbl>
    <w:p w14:paraId="0F1841DF">
      <w:pP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4" w:name="bookmark81"/>
      <w:bookmarkEnd w:id="4"/>
      <w:bookmarkStart w:id="5" w:name="_Toc19467"/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br w:type="page"/>
      </w:r>
    </w:p>
    <w:bookmarkEnd w:id="5"/>
    <w:p w14:paraId="413A2303">
      <w:pPr>
        <w:widowControl w:val="0"/>
        <w:kinsoku/>
        <w:spacing w:afterLines="50"/>
        <w:jc w:val="center"/>
        <w:outlineLvl w:val="1"/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6" w:name="_Toc16091"/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二、技术需求</w:t>
      </w:r>
      <w:bookmarkEnd w:id="6"/>
    </w:p>
    <w:tbl>
      <w:tblPr>
        <w:tblStyle w:val="5"/>
        <w:tblW w:w="900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9"/>
        <w:gridCol w:w="1303"/>
        <w:gridCol w:w="3458"/>
        <w:gridCol w:w="1500"/>
        <w:gridCol w:w="661"/>
        <w:gridCol w:w="481"/>
        <w:gridCol w:w="991"/>
      </w:tblGrid>
      <w:tr w14:paraId="23DB4A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900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047D9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分部分项工程和单价措施项目清单与计价表</w:t>
            </w:r>
          </w:p>
        </w:tc>
      </w:tr>
      <w:tr w14:paraId="0D9B56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53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5B3117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工程名称：吉安县万福镇中心卫生院盘田分院专项科室设备采购项目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5E4362F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13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03AAC3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 1 页  共 34 页</w:t>
            </w:r>
          </w:p>
        </w:tc>
      </w:tr>
      <w:tr w14:paraId="6B124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73F50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D8E31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地面部分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4E719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F6C85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27769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1F7E3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2D5A0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1F06C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塑料卷材楼地面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CE2C2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地胶地面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1.2mmPVC地胶卷材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2.3mm厚 自流平地面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3.界面剂一道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4.50mm厚1:3水泥砂浆地面找平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8DCC9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7CFDA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137.41</w:t>
            </w:r>
          </w:p>
        </w:tc>
      </w:tr>
      <w:tr w14:paraId="3D1ADB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E16FA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28146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塑料板踢脚线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8BB3C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1.胶地板专用塑料阴角垫层；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2.涂刷界面剂一道；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3.专用胶粘合；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4.PVC卷材上翻墙面100mm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48968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517D5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9.64</w:t>
            </w:r>
          </w:p>
        </w:tc>
      </w:tr>
      <w:tr w14:paraId="1E33DD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1D56E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46B05F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金属装饰线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CA0C1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PVC踢脚线收边不锈钢压条（1.5mm）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AC3DF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B01F6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96.36</w:t>
            </w:r>
          </w:p>
        </w:tc>
      </w:tr>
      <w:tr w14:paraId="6AC1F5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EC692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B8F59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地面防辐射处理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71E60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1.部位：DR室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2.20厚1:2.5水泥砂浆保护层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3.30mm厚5:1硫酸钡水泥防辐射处理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09DAF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40C37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27.49</w:t>
            </w:r>
          </w:p>
        </w:tc>
      </w:tr>
      <w:tr w14:paraId="6FBDE3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2D34E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570A7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石材零星项目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4B4FC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1.20厚1:2.5水泥砂浆找平层；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2.刷素水泥浆一道(内掺建筑胶)；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3.40厚1:3干硬性水泥砂浆结合层；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4.大理石门槛石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A8A714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38A90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1.69</w:t>
            </w:r>
          </w:p>
        </w:tc>
      </w:tr>
      <w:tr w14:paraId="1E297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A00FF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F2A87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天棚部分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43D44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85571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E450B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2B20BE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F0B27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FF254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成品洁净金属板吊顶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77400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1.50mm厚成品洁净金属板（玻镁岩棉板）,表面含抗菌漆处理；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2.接缝采用优质硅硐中性密封胶处理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0398C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2B56C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94</w:t>
            </w:r>
          </w:p>
        </w:tc>
      </w:tr>
      <w:tr w14:paraId="548553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212CD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DA722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吊顶天棚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E02FC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1.规格：铝扣板 600*600*0.8mm；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2.配套龙骨；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3.U型轻钢主龙骨@≤1200,次龙骨@≤600；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4.M8X60拉爆螺栓@≤1200,膨胀螺栓固定于建筑楼板；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9291B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500DD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43.78</w:t>
            </w:r>
          </w:p>
        </w:tc>
      </w:tr>
      <w:tr w14:paraId="10958C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85940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88811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天花防辐射处理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AA9E1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1.部位：DR室（上层地面）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2.20厚1:2.5水泥砂浆保护层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3.30mm厚5:1硫酸钡水泥防辐射处理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EE5DC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A7089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28.13</w:t>
            </w:r>
          </w:p>
        </w:tc>
      </w:tr>
      <w:tr w14:paraId="3D216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48937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024C2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检修口安装及盖板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AFE5E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检修口安装及盖板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2E9BA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座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4AEC1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 w14:paraId="6D6CEB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4BDBB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EF8F4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墙面部分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A6B45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8721A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D5A2C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57D334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0FA92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0F458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墙面装饰板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F1F81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1.50mm厚成品洁净金属板（玻镁岩棉板）,表面含抗菌漆处理；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2.接缝采用优质硅硐中性密封胶处理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B0DF1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1E846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224.19</w:t>
            </w:r>
          </w:p>
        </w:tc>
      </w:tr>
      <w:tr w14:paraId="00018D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4EE38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CF30E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墙面喷刷涂料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4EF4A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1.墙面基层处理；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2.三遍腻子粉刮白；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3.一底两遍无机防霉涂料面层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2794E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B3B1E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41.868</w:t>
            </w:r>
          </w:p>
        </w:tc>
      </w:tr>
      <w:tr w14:paraId="7C823A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DE130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D77ED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墙面一般抹灰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18EDC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1.部位：DR室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2.20厚内墙面一般抹灰；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3.30mm厚5:1硫酸钡水泥防辐射处理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DA034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09010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57.3</w:t>
            </w:r>
          </w:p>
        </w:tc>
      </w:tr>
      <w:tr w14:paraId="507A77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2D16B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832E9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抗菌R50铝合金圆弧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6A7E0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抗菌R50铝合金圆弧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BC418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4AC04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296</w:t>
            </w:r>
          </w:p>
        </w:tc>
      </w:tr>
      <w:tr w14:paraId="3C01E9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F9190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83190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抗菌R50铝合金圆弧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670D8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抗菌R50铝合金圆柱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90B0F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C581F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296</w:t>
            </w:r>
          </w:p>
        </w:tc>
      </w:tr>
      <w:tr w14:paraId="444A64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AE793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2287D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门窗部分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7F98C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8F79F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AC2BA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2E2C38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9034D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21AAB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医用钢制气密单开门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CF129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1.编号：GM1024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2.规格：1000*2400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3.固定单面门框，门体包边采用专用铝型材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4.5mm厚中空双层防爆防雾钢化玻璃透视窗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5.门体饰面采用钢板喷塑制作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6.门体四周均有气密胶条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03AD1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43B2F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14.4</w:t>
            </w:r>
          </w:p>
        </w:tc>
      </w:tr>
      <w:tr w14:paraId="469823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D64B2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74C55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医用钢制气密子母门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033C0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1.编号：GM1224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2.规格：1200*2400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3.固定单面门框，门体包边采用专用铝型材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4.5mm厚中空双层防爆防雾钢化玻璃透视窗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5.门体饰面采用钢板喷塑制作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6.门体四周均有气密胶条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AB4D3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6B856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11.52</w:t>
            </w:r>
          </w:p>
        </w:tc>
      </w:tr>
      <w:tr w14:paraId="2E5BF7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D2A4D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9FB4F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医用钢制气密单开门（含3mmpb）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ABE40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1.编号：FHM1024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2.规格：1000*2400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3.5mm厚3mmb铅当量防护玻璃观察窗，规格：400*300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4.固定单面门框，门体包边采用专用铝型材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5.门体饰面采用钢板喷塑制作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6.门体四周均有气密胶条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EF76A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樘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6E1E6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16E668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460D9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EB822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电动感应气密单开门(含3mmpb)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3FD5B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1.编号：FSTM1524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2.规格：1500*2400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3.5mm厚3mmb铅当量防护玻璃观察窗，规格：400*600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4.固定单面门框，门体包边采用专用铝型材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5.门体饰面采用钢板喷塑制作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6.门体四周均有气密胶条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7.门体上配200mm宽1.2mm厚304不锈钢防撞带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448C7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樘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0AFCE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2654B2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24F62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F9C62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铅防护透视窗（含3mmpb)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80CC09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1.编号：FC1215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2.洞口规格：1200*1500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3.20mm厚3mmpb铅防护玻璃，规格：1200*1500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4.1.2mm厚成品洁净钢板，含四周边框底件，内置黑胶封贴边框套，窗套厚度100mm；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8A372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樘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2A49D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03680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45CDF6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4D2579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体液、血液接收窗口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FCBAB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1.编号：CX1515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2.窗口尺寸：1500*1500mm；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3.1.0mm厚空心铝包窗套，窗口0.8mm厚不锈钢包边；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4.18mm人造石大理石台面，22mm木基层打底，涂刷防火涂料三遍；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5.玻璃品种、厚度:8mm钢化玻璃；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726EA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樘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0C38C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 w14:paraId="6F3D74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A7CB9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21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302C0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电子互锁传递窗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308B5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1.（内）尺寸：600X600X600mm；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2.箱体选用优质SUS304不锈钢或钢板烤漆，光洁平整易清洁；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3.双门互锁，有效阻止交叉感染；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84F96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樘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18C52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55ED45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1657F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2EEBB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其它部分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5F659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D9578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06DFE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7BED55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4CF79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1A4F8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全钢实验台柜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8B93E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规格：L*750X800mm，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1.SPCC结构，厚度1.2mm；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2.喷塑厚度：60~80μm；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3.抽屉面板及门板：采用双层钢板制作；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4.铰链：不锈钢合页铰链，铰链与柜体连接处独立支撑固定；导轨：ABC挂插式三节滚珠导轨；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5.调节脚：钢制，塑料包裹；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6.层板孔：柜体内预留层板销插孔；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7.层板：根据客户要求单独选配；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8.拉手：可选一体折弯成型拉手；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9.台面采用13mm厚抗病毒实芯理化板，表面具备耐酸碱性能、抗菌抗病毒等特点；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10.表面具备耐酸碱性能、防霉抗菌、抗酸碱等特点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A57DE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D51FD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10.81</w:t>
            </w:r>
          </w:p>
        </w:tc>
      </w:tr>
      <w:tr w14:paraId="434F3B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87D5A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23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3A796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全钢实验中央台柜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FD2E4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规格：4000X1500X800mm，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1.SPCC结构，厚度1.2mm；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2.喷塑厚度：60~80μm；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3.抽屉面板及门板：采用双层钢板制作；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4.铰链：不锈钢合页铰链，铰链与柜体连接处独立支撑固定；导轨：ABC挂插式三节滚珠导轨；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5.调节脚：钢制，塑料包裹；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6.层板孔：柜体内预留层板销插孔；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7.层板：根据客户要求单独选配；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8.拉手：可选一体折弯成型拉手；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9.台面采用13mm厚抗病毒实芯理化板，表面具备耐酸碱性能、抗菌抗病毒等特点；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10.表面具备耐酸碱性能、防霉抗菌、抗酸碱等特点；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CE070D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A4A8B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2899C1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7AF08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A1477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全钢实验角柜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7D203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规格：1000X1000X800mm，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1.SPCC结构，厚度1.2mm；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2.喷塑厚度：60~80μm；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3.抽屉面板及门板：采用双层钢板制作；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4.铰链：不锈钢合页铰链，铰链与柜体连接处独立支撑固定；导轨：ABC挂插式三节滚珠导轨；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5.调节脚：钢制，塑料包裹；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6.层板孔：柜体内预留层板销插孔；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7.层板：根据客户要求单独选配；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8.拉手：可选一体折弯成型拉手；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9.台面采用13mm厚抗病毒实芯理化板，表面具备耐酸碱性能、抗菌抗病毒等特点；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10.表面具备耐酸碱性能、防霉抗菌、抗酸碱等特点；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0186D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B9ADC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21467A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25C1F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25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06824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全钢实验水柜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C36EB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规格：800X750X800mm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1.SPCC结构，厚度1.2mm；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2.喷塑厚度：60~80μm；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3.抽屉面板及门板：采用双层钢板制作；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4.铰链：不锈钢合页铰链，铰链与柜体连接处独立支撑固定；导轨：ABC挂插式三节滚珠导轨；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5.调节脚：钢制，塑料包裹；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6.层板孔：柜体内预留层板销插孔；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7.层板：根据客户要求单独选配；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8.拉手：可选一体折弯成型拉手；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9.台面采用13mm厚抗病毒实芯理化板，表面具备耐酸碱性能、抗菌抗病毒等特点；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10.表面具备耐酸碱性能、防霉抗菌、抗酸碱等特点；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AE565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86DDC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 w14:paraId="2493E3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5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84DB5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26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2F4B0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全钢实验水柜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3A60F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规格：1500X750X800mm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1.SPCC结构，厚度1.2mm；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2.喷塑厚度：60~80μm；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3.抽屉面板及门板：采用双层钢板制作；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4.铰链：不锈钢合页铰链，铰链与柜体连接处独立支撑固定；导轨：ABC挂插式三节滚珠导轨；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5.调节脚：钢制，塑料包裹；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6.层板孔：柜体内预留层板销插孔；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7.层板：根据客户要求单独选配；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8.拉手：可选一体折弯成型拉手；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9.台面采用13mm厚抗病毒实芯理化板，表面具备耐酸碱性能、抗菌抗病毒等特点；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10.表面具备耐酸碱性能、防霉抗菌、抗酸碱等特点；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38FF1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5D81A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4D881E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473AC9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8B16E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安装工程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7F558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8ECC37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D67B3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45D765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8AE62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D0B5C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强电部分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888B5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FCC61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4F07B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3C9A42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88755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27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5C15F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配电箱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921F2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1.名称：AT1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2.类型:普通照明插座配电箱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3.材质:钢材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EF121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A0250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2E87E8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58C86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A440A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配电箱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0B1EE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1.名称：1#1AT-DR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2.类型:配电箱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3.材质:钢材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B3324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47235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680FF2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74AD6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29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104E7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配电箱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CE2CE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1.名称：JY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2.类型:普通照明插座配电箱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3.材质:钢材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9CC27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F1377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40EE20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B0D07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30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7330E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医疗专用灯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4165C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1.名称：洁净灯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2.规格: 600*600,40W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186F5A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2135E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</w:tr>
      <w:tr w14:paraId="66DFA9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EF917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31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96489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医疗专用灯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C89C2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1.品种:医用洁净LED平板灯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2.规格:1200*300,40W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09D8A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4FE34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</w:tr>
      <w:tr w14:paraId="17B51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FB894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32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459A3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医疗专用灯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3139A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1.品种:紫外线杀菌灯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2.规格:30W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95500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0F1DA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</w:tr>
      <w:tr w14:paraId="33D29F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5BA2C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33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4F53A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桥架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D7F87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1.名称：配电桥架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2.规格、型号：200*100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3.材质：热镀锌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4.类型：槽式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D8147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68747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35</w:t>
            </w:r>
          </w:p>
        </w:tc>
      </w:tr>
      <w:tr w14:paraId="34902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CBEAD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34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878C5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电力电缆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7E42C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1.名称：电力电缆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2.配线形式：桥架配线/管内穿线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3.规格：WDZ-YJY-5*2.5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4.材质：铜芯线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5.外套材质：聚乙烯绝缘外套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D8556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EF63D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33</w:t>
            </w:r>
          </w:p>
        </w:tc>
      </w:tr>
      <w:tr w14:paraId="622B7A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A6021D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35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D0725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电力电缆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E07FA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1.名称：电力电缆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2.配线形式：桥架配线/管内穿线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3.规格：WDZ-YJY-5*4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4.材质：铜芯线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5.外套材质：聚乙烯绝缘外套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7F2B6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5290A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55</w:t>
            </w:r>
          </w:p>
        </w:tc>
      </w:tr>
      <w:tr w14:paraId="1EC0BA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D67C6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36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17A77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照明开关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23F0D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1.名称：单联单控开关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2.规格：250V 10A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3.材质：PC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4.安装形式：暗装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032F6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318BF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</w:tr>
      <w:tr w14:paraId="06A65D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E8EFE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37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022D7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照明开关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441234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1.名称：双联单控开关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2.规格：250V 10A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3.材质：PC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4.安装形式：暗装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4DC6E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83010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207D98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936EB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38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3C145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照明开关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BA85E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1.名称：单联双控开关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2.规格：250V 10A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3.材质：PC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4.安装形式：暗装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ECA17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98061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 w14:paraId="5EE895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AB925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39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87C3E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照明开关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E2402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1.名称：三联双控开关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2.规格：250V 10A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3.材质：PC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4.安装形式：暗装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5A077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2EF77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 w14:paraId="69D9AB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DB229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40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749ED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配线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6D970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1.名称：电气配线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2.配线形式：桥架配线/管内穿线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3.规格：WDZB-BYJ-2.5mm²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4.材质：铜芯线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5.外套材质：聚乙烯绝缘外套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2672F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A3E0A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700</w:t>
            </w:r>
          </w:p>
        </w:tc>
      </w:tr>
      <w:tr w14:paraId="3D4C7E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CFB0C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41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E09B5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配线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5B4DB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1.名称：电气配线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2.配线形式：桥架配线/管内穿线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3.规格：WDZB-BYJ-4mm²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4.材质：铜芯线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5.外套材质：聚乙烯绝缘外套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1912B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B3605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1100</w:t>
            </w:r>
          </w:p>
        </w:tc>
      </w:tr>
      <w:tr w14:paraId="17A8A0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2A8DB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42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C44EF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配线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10C7CD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1.名称：信号线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2.规格型号：RVVP2*1.5mm2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3.安装方式：管内穿线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9B00E7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D0DBA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95</w:t>
            </w:r>
          </w:p>
        </w:tc>
      </w:tr>
      <w:tr w14:paraId="11A5BA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D16BF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43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DD93F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配管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CF1A2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1.名称：PVC线管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2.规格型号：Φ16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D5D99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81B37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90</w:t>
            </w:r>
          </w:p>
        </w:tc>
      </w:tr>
      <w:tr w14:paraId="2F5244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D9CB3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44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0CDC6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配管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10F222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1.名称：线管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2.材质：镀锌薄壁电线钢管JDG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3.规格：JDG20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4.配置形式：暗配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6592A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2B04F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900</w:t>
            </w:r>
          </w:p>
        </w:tc>
      </w:tr>
      <w:tr w14:paraId="4B63B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A3146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45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73C10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插座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960B3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1.名称：单相三极加两极安全型插座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2.规格：250V 10A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3.材质：PC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4.安装形式：嵌墙暗装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EDB1A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B6768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</w:tr>
      <w:tr w14:paraId="7B65C3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6C9FD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46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61A51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插座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33027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1.名称：单相三极加两极安全型防溅插座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2.规格：250V 10A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3.材质：PC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4.安装形式：嵌墙暗装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20C6B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12C61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</w:tr>
      <w:tr w14:paraId="33C841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134B4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47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1AE526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插座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0809C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1.名称：单相三极加两极岛式插座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2.规格：250V 10A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3.材质：PC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4.安装形式：安装形式：试验台面安装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0ECB0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3090D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26</w:t>
            </w:r>
          </w:p>
        </w:tc>
      </w:tr>
      <w:tr w14:paraId="27AA59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2F9CE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48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FA246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电力变压器系统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4336A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1.名称：送配电调试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AA2FF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系统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46BF2D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5E1F84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B1C81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49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C567B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报警装置维修阀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E0ACF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1.名称：报警装置维修阀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2.型号：TSJ0.6-8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E16C2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53BD1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38</w:t>
            </w:r>
          </w:p>
        </w:tc>
      </w:tr>
      <w:tr w14:paraId="5D0859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332B2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50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C56B9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医疗专用灯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0FFAC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1.床头LED灯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F01B6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703F2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72</w:t>
            </w:r>
          </w:p>
        </w:tc>
      </w:tr>
      <w:tr w14:paraId="26D510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F0381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51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263E2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插座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420D6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1.床头插座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76956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B2D20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77</w:t>
            </w:r>
          </w:p>
        </w:tc>
      </w:tr>
      <w:tr w14:paraId="76CEA7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92A0A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52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CFC51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照明开关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088F0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1.名称：床头灯开关（118型）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6B031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BAB64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72</w:t>
            </w:r>
          </w:p>
        </w:tc>
      </w:tr>
      <w:tr w14:paraId="31276B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BD297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53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AC674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配线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FED47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1.名称：WDZA-BYJ-2.5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D7229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61E28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750</w:t>
            </w:r>
          </w:p>
        </w:tc>
      </w:tr>
      <w:tr w14:paraId="5BF19B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1C700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54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F9701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LED走廊显示屏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E1A03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1)可按病床呼叫、洗手间呼叫、输液报警、护理增援状态分类显示呼叫信息；呼叫时，呼叫信息保持闪烁10秒，以提示正在呼叫中；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2)洗手间呼叫时，可滚动显示“XXXX房 卫生间紧急呼叫”；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3)输液报警时，可滚动显示“XXXX房 XXX床 输液完毕”；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4)护理增援时，可滚动显示“XXXX房 XXX床 请求增援”；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5)无呼叫时显示时间及“保持肃静”或礼貌用语等；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6)产品尺寸：774*187*50mm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FF4FD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C0A8E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 w14:paraId="4E018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27B41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55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D23724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护士站管理机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7BB36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1)护士站管理机安装在护士站内，用于接听病区内病床分机的呼叫以及、广播等基础应用功能。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2)可视对讲：可与病房门口机、可与病床分机双工对讲；对讲方式有免提、手柄、TALK键。语音清晰，不失真。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3)一键呼叫管理机：可一键快速呼叫预设系统内任一台管理机并全双工可视对讲。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4)语音播报：病床智能终端、分机呼叫，可语音播报“XX号房 XX号床 呼叫”或病床终端、分机的备注信息。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CDCBE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533F8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 w14:paraId="206ED6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76562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56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6C43E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病床分机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8F173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1)采用，超薄面板，含手持呼叫手柄，安装在病床上方的设备带上，每个病床一台，用于呼叫护士站，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2)支持呼叫：可向护士站主机呼叫。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3)支持双工对讲：可与护士站主机手持双工对讲。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32579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EA4E7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77</w:t>
            </w:r>
          </w:p>
        </w:tc>
      </w:tr>
      <w:tr w14:paraId="507DD6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67E55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57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B45EC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监控摄像设备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51B20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1.名称：半球摄像机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2.安装方式:吊顶安装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3.补光距离: 最远可达25 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4.补光灯类型: 红外灯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5.≥200万像素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67B4E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F6EA8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</w:tr>
      <w:tr w14:paraId="16E052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B14E8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58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67441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枪型摄像机壁装支架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C7D6A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外观颜色：白色；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承重：1.0kg；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安装方式：壁装；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适配机型：适配M型/K型/B型/D型/F型枪机；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执行标准：Q/DXJ 064-2018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55BF2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BEB10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</w:tr>
      <w:tr w14:paraId="0040BB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0AE48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59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4F811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存储设备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92188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1.名称：硬盘录像机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2.备注：含硬盘6TB1块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录像方式: 录像方式和优先级：手动录像&gt;报警录像&gt;动态检测录像&gt;定时录像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存储方式: 本机硬盘、网络等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备份方式: 硬盘、外接USB存储设备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电源: 1个电源接口，电源适配器供电模式，DC48V 电源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功耗: ＜10W（不含硬盘）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工作温度: -10℃～+55℃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工作湿度: 10℅～90℅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89CF7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29B1E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6B49E3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AD2B0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60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CE180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交换机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3CBC5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1.名称：POE交换机 8端口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支持DHCP,支持静态MAC地址,支持MAC地址过滤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额定电压范围：100V~240V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最大电压范围：90V~264V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频率：50/60Hz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输入电压范围: 192~288V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工作温度：0℃~45℃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存储温度：-40℃~70℃            工作湿度：10%~90%RH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存储湿度：5%~95%RH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35F57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D67BA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7C11C1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CC6F9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61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3FFD5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监控摄像设备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7DBC5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1.名称：彩色监视器 43寸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材质: 塑胶外壳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屏幕比例: 16:9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亮度: 200cd/m²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对比度: 3000:1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分辨率: 1920×1080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E57B8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DDC66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6C5EBA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4FDB9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62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08D74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监控摄像设备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A0E67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1.名称：控制键盘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功耗 待机＜18W，满载＜25W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电源输入 DC12V_4A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使用温度 -10℃-55℃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使用湿度 10%~95% 86kpa～106kpa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BEC7F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92977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4671C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F074C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63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08CAD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出入口控制设备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64A11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1.可视对讲门口机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2.安装：壁装底边距地1.4米高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4088A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F728D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 w14:paraId="196775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491C57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64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F35C3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解码器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44D51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1.感应卡密码门禁机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2.配20张门禁卡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3B0C4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54EA5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 w14:paraId="1958D1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C14717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65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C2CEF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双门磁力锁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D004A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1.双门磁力锁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2.安装：手动门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DD08C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EE6B9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 w14:paraId="358FD2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9F9A9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66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4F893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门禁电源控制器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644E9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1.门禁电源控制器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2.规格：5A，带备用电源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C40CB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97144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 w14:paraId="12BD91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C74CC9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67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2914B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出入门按钮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B35B1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1.出入门按钮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2.安装：壁装底边距地1.4米高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3C23C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F8522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 w14:paraId="43FDBC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66FA5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68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4B088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安全防范分系统调试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D5D77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1.门禁安装调试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22AAC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系统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3B8EB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4270DE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62E34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69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8B3120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桥架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63C0A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1.名称：配电桥架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2.规格、型号：200*100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3.材质：热镀锌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4.类型：槽式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5.安装方式：支架吊装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21FBE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18C04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32</w:t>
            </w:r>
          </w:p>
        </w:tc>
      </w:tr>
      <w:tr w14:paraId="3749EB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D1FA5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70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C58AEF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信息插座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8136E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1.名称：TO单口网络插座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2.规格：六类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3.安装方式：暗装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12CC3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D8CBF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</w:tr>
      <w:tr w14:paraId="377A8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9DB75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71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EF222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信息插座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F32AF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1.名称：2TO双口网络插座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2.规格：六类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3.安装方式：暗装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52372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C0C75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</w:tr>
      <w:tr w14:paraId="5C4FF7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30456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72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1EC69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双绞线缆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55C81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1.名称:网络线、摄像信号线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2.规格:UTP.CAT6.4p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3.敷设方式:管内穿线/桥架配线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1530D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5C433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400</w:t>
            </w:r>
          </w:p>
        </w:tc>
      </w:tr>
      <w:tr w14:paraId="6BFA9A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4085A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73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6E33F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配线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9D6C3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1.名称：管内穿线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2.型号、规格：RVB-2x1.0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3.材质：铜芯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41AE7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53BB9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100</w:t>
            </w:r>
          </w:p>
        </w:tc>
      </w:tr>
      <w:tr w14:paraId="024230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D62BD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74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FC39A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配管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4B02A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1.名称：线管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2.材质：镀锌薄壁电线钢管JDG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3.规格：JDG20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4.配置形式：暗配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77CBB6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E104B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100</w:t>
            </w:r>
          </w:p>
        </w:tc>
      </w:tr>
      <w:tr w14:paraId="08295B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DB669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75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09782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配线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45A009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1.名称：呼叫通信线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2.型号：RVV2*0.75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9B47D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4E337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600</w:t>
            </w:r>
          </w:p>
        </w:tc>
      </w:tr>
      <w:tr w14:paraId="305D5B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BD2B4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76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D87E4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全自动切换氧气汇流排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921EC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1.全自动切换氧气汇流排 （5+5）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88EBC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3F250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19F8FA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8FDB6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77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8FA77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二级稳压箱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6E583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1.名称：二级稳压箱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2.型号：GRB-O-60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991FF6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C03AD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 w14:paraId="4015B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2CD7D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78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7CF40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氧气流量计组件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534F1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1.名称：氧气流量计组件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2.型号：MF5212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07206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DDE87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 w14:paraId="2436D4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543B5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79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872DCF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医用气体报警装置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6E6DA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1.医用气体报警装置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FAC73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77F01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 w14:paraId="7F0127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77FF52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80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7636D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气体终端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79E824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1.医用气体终端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D8611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CB346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79</w:t>
            </w:r>
          </w:p>
        </w:tc>
      </w:tr>
      <w:tr w14:paraId="7F560F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9794C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81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4F5870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套管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3EF3C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1.房间穿墙套管 PVC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38DDC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7E2B9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30</w:t>
            </w:r>
          </w:p>
        </w:tc>
      </w:tr>
      <w:tr w14:paraId="75509A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EA9B2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82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EFC25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管道支架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56E50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1.管道支架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89DF5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kg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3A597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</w:tr>
      <w:tr w14:paraId="63F7EF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2E334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83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A438A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房间开槽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58D74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1.房间开槽 60*35mm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26FF7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5C275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70</w:t>
            </w:r>
          </w:p>
        </w:tc>
      </w:tr>
      <w:tr w14:paraId="28DAD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1BE24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F6FF7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暖通部分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31F1E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4F6D3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3FBA5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4C7EB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B66FD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84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97BE0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1.5P风管机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ADC11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1.名称:1.5P风管机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2.型号规格:制冷量:3.5KW;制热量:3.9KW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3.额定功率:1.08KW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4.风量:510m3/h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5.电源:220V-50Hz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4FF46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8194F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 w14:paraId="03DA08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DFEF3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85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65540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3P风管机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21E39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1.名称:3P风管机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2.型号规格:制冷量:7.2KW;制热量:8.4KW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3.额定功率:2.8KW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4.风量:1230m3/h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5.电源:220V-50Hz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46657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385C4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</w:tr>
      <w:tr w14:paraId="0DE951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81BC8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86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15F30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新风空调机组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4E3C6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1.名称:新风空调机组（XF-1）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2.型号规格:送风量:2000m³/h;新风量:2000m³/h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3.制冷量:22.0KW;制热量:13.7KW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4.电机功率:0.89KW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5.电源:380V-3N-50Hz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3FA73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B25E2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0EFFB3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E2DE0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87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A2EBC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新风空调机组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5A433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1.名称:新风空调机组（XF-2）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2.型号规格:送风量:1200m³/h;新风量:1200m³/h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3.制冷量:14.0KW;制热量:10.0KW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4.电机功率:0.50KW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5.电源:380V-3N-50Hz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66DD7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A42D2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62EBE7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7E3D5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88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C3EB5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空调器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E4A84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1.名称:新风室外机（SWJ-F-1）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2.型号规格:制冷量:22.4KW;制热量:25KW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3.额定功率:6.3KW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4.电源:380V-3N-50Hz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FDE79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40A0D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72351C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0164B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89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3CE4F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空调器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BCAA4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1.名称:新风室外机（SWJ-F-2）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2.型号规格:制冷量:14.0KW;制热量:15.5KW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3.额定功率:4.8KW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4.电源:380V-3N-50Hz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36199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2B3A3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7B3F3E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DCACC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90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17730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线控器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64F23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1.名称：空调室内机线控器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2.说明：一台室内机配置一个线控器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B8414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A97453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</w:tr>
      <w:tr w14:paraId="4C1D55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9DDBF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91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C675F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风机支架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1BCD4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1.名称：风机设备支架制作安装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2.说明：支架除锈，防锈漆二遍、调和漆二遍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242E5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kg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170D0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96</w:t>
            </w:r>
          </w:p>
        </w:tc>
      </w:tr>
      <w:tr w14:paraId="7AE4FB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1E04C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92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C091E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低噪音离心排风机 （带活性炭过滤箱）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0568F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1.名称:低噪音离心排风机（PF-1）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2.额定功率:0.55KW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3.风量:1500m3/h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4.电源:220V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5.机外余压:150Pa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0B3AF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EFDA3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7E4923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489A5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93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E2D25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低噪音离心排风机 （带活性炭过滤箱）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516A2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1.名称:低噪音离心排风机（PF-2）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2.额定功率:0.55KW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3.风量:800m3/h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4.电源:220V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5.机外余压:150Pa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A057A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ADCA6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16433A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0110E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94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9587F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低噪音离心排风机 （带活性炭过滤箱）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88EE4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1.名称:低噪音离心排风机（PF-3）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2.额定功率:0.25KW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3.风量:300m3/h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4.电源:220V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5.机外余压:100Pa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37C40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E16F5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723ADC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957F8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95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1D1BF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低噪音离心排风机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394AF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1.名称:低噪音离心排风机（PF-4）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2.额定功率:0.55KW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3.风量:1200m3/h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4.电源:220V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5.机外余压:150Pa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CBD5F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20F61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3BF5C4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E18DB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96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44A74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风机支架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04204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1.名称：风机设备支架制作安装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2.说明：支架除锈，防锈漆二遍、调和漆二遍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1128B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kg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BCB3F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78</w:t>
            </w:r>
          </w:p>
        </w:tc>
      </w:tr>
      <w:tr w14:paraId="28EA50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F9699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97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A43BC4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碳钢通风管道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2712D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1.名称：镀锌钢板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2.厚度：0.5mm以内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3.规格：风管边长尺寸≤320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9146D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1ACB5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69.254</w:t>
            </w:r>
          </w:p>
        </w:tc>
      </w:tr>
      <w:tr w14:paraId="35153B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3B336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98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F3B39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碳钢通风管道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B79E2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1.名称：镀锌钢板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2.厚度：0.6mm以内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3.规格：风管边长尺寸320＜D(b)≤630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122F8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4446B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25.992</w:t>
            </w:r>
          </w:p>
        </w:tc>
      </w:tr>
      <w:tr w14:paraId="40370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95253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99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58A88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柔性软风管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15B7F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1.名称：风管防火软接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23329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12288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9.5</w:t>
            </w:r>
          </w:p>
        </w:tc>
      </w:tr>
      <w:tr w14:paraId="766C84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1036D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100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A1260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B1级橡塑保温卷材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361F2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1.名称：橡塑保温卷材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2.厚度:2.5CM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3.型号：B1级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4.备注：采用难燃材质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2B2E1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m3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2B08F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4.25</w:t>
            </w:r>
          </w:p>
        </w:tc>
      </w:tr>
      <w:tr w14:paraId="7C9FD2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7A395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101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A9C6C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管道支架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6EAB3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1.名称：管道支架制作安装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2.说明：每两米架设支、吊架一处，支架除锈，防锈漆二遍、调和漆二遍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FEEE0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kg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E22B4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165</w:t>
            </w:r>
          </w:p>
        </w:tc>
      </w:tr>
      <w:tr w14:paraId="4A992E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6A107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102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51128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手动对开多叶调节阀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73C97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1.名称:手动对开调节阀（带调节阀）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2.规格:200*200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610CB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8B700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</w:tr>
      <w:tr w14:paraId="70C37C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4B10B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103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533B9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手动对开多叶调节阀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4D79B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1.名称:手动对开调节阀（带调节阀）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2.规格:250*200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F1240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7E38A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</w:tr>
      <w:tr w14:paraId="23BCA9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2BB05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104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D7055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手动对开多叶调节阀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D0AB6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1.名称:手动对开调节阀（带调节阀）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2.规格:320*200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984A3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12E0B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</w:tr>
      <w:tr w14:paraId="2AE7B2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44BA38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105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38761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手动对开多叶调节阀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EF3ED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1.名称:手动对开调节阀（带调节阀）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2.规格:400*200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D8686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24FAE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5A4CF2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861CD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106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E111E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手动对开多叶调节阀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89296D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1.名称:手动对开调节阀（带调节阀）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2.规格:500*200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A72D98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62D85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7EAFF7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32CEF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107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8493F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手动对开多叶调节阀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E3833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1.名称:手动对开调节阀（带调节阀）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2.规格:630*200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68E73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0B367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55FEFA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9CDD9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108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5180E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风管止回阀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02019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1.名称:风管止回阀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2.规格:250*200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CB5288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6FEF7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 w14:paraId="23C3C5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E3474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109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EFF1E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风管止回阀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BFC06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1.名称:风管止回阀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2.规格:320*200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94127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34FED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65DD11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47740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110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4A218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电动密闭调节阀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69FB4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1.名称:电动密闭调节阀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2.规格:320*200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45A41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A1053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 w14:paraId="65A6E2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30BA7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111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61F59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门铰型单层百叶顶排风口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368EB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1.名称：门铰型单层百叶顶排风口 （P1）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2.尺寸：250mm×250mm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2F518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A2AEA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</w:tr>
      <w:tr w14:paraId="5458B9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C53E7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112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EB84F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门铰型单层百叶顶排风口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C7AEC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1.名称：门铰型单层百叶顶排风口 （P2）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2.尺寸：400mm×400mm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3F139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42D4E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 w14:paraId="70C7FA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49764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113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44F84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空调送风口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F6B28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1.名称：空调送风口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2.尺寸：400mm×400mm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C0C39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29DAB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</w:tr>
      <w:tr w14:paraId="5C230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4DC83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114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DA1C0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空调回风口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F1C3D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1.名称：空调回风口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2.尺寸：700mm×300mm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B6C00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30F1E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</w:tr>
      <w:tr w14:paraId="143EA4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7FB2B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115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228CB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方形散流器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DA055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1.名称:方形散流器（新风XF1）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2.型号:250*250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3B907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38623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</w:tr>
      <w:tr w14:paraId="39AF5D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11FBF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116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47BD7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方形散流器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0B048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1.名称:方形散流器（新风XF2）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2.型号:400*400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79AC0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73AE7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 w14:paraId="18FBD8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740A9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117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4BEF3A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排风防雨百叶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8A317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1.名称:排风防雨百叶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2.型号:250*200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1C184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E1FC8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 w14:paraId="4845EF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EF7AE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118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229A3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排风防雨百叶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F4C30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1.名称:排风防雨百叶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2.型号:320*250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B756E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90D93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 w14:paraId="430C0B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7C788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119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0FA1D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专用消音器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43EB8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1.名称：成品消声静压器安装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2.内径尺寸：500*200*1000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0F32B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8D401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7DD60B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CEAE3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120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E7DD2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混凝土C20设备基础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D70D6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1.空调室外机混凝土基础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E55C5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座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47F407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</w:tr>
      <w:tr w14:paraId="028C8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35DD0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121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62316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紧急冲淋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B5FB0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1.名称:紧急冲淋器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2.材质:304不锈钢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3.304L不锈钢标准型冲淋，防酸、碱、盐酸溶液性能，冲淋+防腐，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4.距离地面1500mm水平面，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距离地面高度830-1143mm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5.出水柔和，出水口流量可调节，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带有固定式软胶防尘罩，不伤眼，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聚水集中，防止水花飞溅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44410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D212E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7303F3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9A2B0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122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90A57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冷媒管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4E5D5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1.名称：T2紫铜管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2.规格型号：Φ19.05*1.2mm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3.说明：含Bl级橡塑保温套管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D4037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5C16C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</w:tr>
      <w:tr w14:paraId="36D100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0FBE8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123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87180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冷媒管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F5B42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1.名称：T2紫铜管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2.规格型号：Φ15.88*1.0mm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3.说明：含Bl级橡塑保温套管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5CC5C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ABF72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72</w:t>
            </w:r>
          </w:p>
        </w:tc>
      </w:tr>
      <w:tr w14:paraId="6538B3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47D9D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124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96619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冷媒管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C14BC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1.名称：T2紫铜管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2.规格型号：Φ12.7*0.8mm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3.说明：含Bl级橡塑保温套管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E89BF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2188F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39</w:t>
            </w:r>
          </w:p>
        </w:tc>
      </w:tr>
      <w:tr w14:paraId="7D4C87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07366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125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37813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冷媒管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38840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1.名称：T2紫铜管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2.规格型号：Φ9.52*0.8mm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3.说明：含Bl级橡塑保温套管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E744A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E81A3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72</w:t>
            </w:r>
          </w:p>
        </w:tc>
      </w:tr>
      <w:tr w14:paraId="396CFF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9C4A1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126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C9062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冷媒管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60F81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1.名称：T2紫铜管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2.规格型号：Φ6.35*0.8mm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3.说明：含Bl级橡塑保温套管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AAF02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456AE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25</w:t>
            </w:r>
          </w:p>
        </w:tc>
      </w:tr>
      <w:tr w14:paraId="5BBBE0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5205F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127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B1B4A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塑料管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E3F25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1.名称：UPVC冷凝水管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2.规格型号：DN25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3.说明：含Bl级橡塑保温套管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E9227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E5E68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24.5</w:t>
            </w:r>
          </w:p>
        </w:tc>
      </w:tr>
      <w:tr w14:paraId="1867C9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738A5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128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342A4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塑料管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12FD7C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1.名称：UPVC冷凝水管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2.规格型号：DN32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3.说明：含Bl级橡塑保温套管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54954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1E5CB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</w:tr>
      <w:tr w14:paraId="5B4F37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32EEB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129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E2738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管道支架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C7230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1.名称：管道支架制作安装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2.说明：每两米架设支、吊架一处，支架除锈，防锈漆二遍、调和漆二遍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56FC6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kg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03551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24</w:t>
            </w:r>
          </w:p>
        </w:tc>
      </w:tr>
      <w:tr w14:paraId="602CD0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471F6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130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B37A2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其他成品卫生器具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E4470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1.名称:清扫口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2.接口口径(mm)：110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3.材质:不锈钢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4.表面处理:亮光处理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5.类别：给、排水附件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C6EC0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组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AABEC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3DC3B9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F28F6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131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7C6B9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塑料管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62DB4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1.名称:给水管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2.材质:PPR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3.管径：DN15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4.连接方式：热熔粘接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5.备用:使用相同材质的管卡、三通、变径等附件连接。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8CEAA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4A861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34</w:t>
            </w:r>
          </w:p>
        </w:tc>
      </w:tr>
      <w:tr w14:paraId="274E32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473B2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132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EFEB5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塑料管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CE024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1.名称:给水管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2.材质:PPR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3.管径：DN20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4.连接方式：热熔粘接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5.备用:使用相同材质的管卡、三通、变径等附件连接。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5FDAD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2F603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</w:tr>
      <w:tr w14:paraId="3B78EA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66739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133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9B3F37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塑料管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FDB4C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1.名称:给水管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2.材质:PPR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3.管径：DN25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4.连接方式：热熔粘接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5.备用:使用相同材质的管卡、三通、变径等附件连接。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3EE77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06F50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</w:tr>
      <w:tr w14:paraId="0C41C9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C3871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134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915E5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塑料管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CC77B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1.名称:给水管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2.材质:PPR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3.管径：DN32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4.连接方式：热熔粘接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5.备用:使用相同材质的管卡、三通、变径等附件连接。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08798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F594E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23</w:t>
            </w:r>
          </w:p>
        </w:tc>
      </w:tr>
      <w:tr w14:paraId="6D571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5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ED4C0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135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8EDD3F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螺纹阀门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F7D8D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1.名称:闸阀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2.材质:铜制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3.管径：DN32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4.连接方式：热熔粘接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D0D34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4CDEC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3FBBB3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D5600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136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815C31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塑料管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AF758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1.名称:排水管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2.材质:UPVC塑料管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3.管径：DN50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4.连接方式：热熔粘接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5.备用:使用相同材质的管卡、三通、变径等附件连接。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19C0F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EABBA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38</w:t>
            </w:r>
          </w:p>
        </w:tc>
      </w:tr>
      <w:tr w14:paraId="1071C9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BF3AE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137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1E07E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塑料管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4BFD8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1.名称:排水管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2.材质:UPVC塑料管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3.管径：DN75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4.连接方式：热熔粘接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5.备用:使用相同材质的管卡、三通、变径等附件连接。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7954A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9ADEB8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</w:tr>
      <w:tr w14:paraId="5D91B8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6692A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138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A786F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塑料管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A808A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1.名称:排水管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2.材质:UPVC塑料管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3.管径：DN100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4.连接方式：热熔粘接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5.备用:使用相同材质的管卡、三通、变径等附件连接。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08C8D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8B0CC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23</w:t>
            </w:r>
          </w:p>
        </w:tc>
      </w:tr>
      <w:tr w14:paraId="7444E6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F59CA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139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46586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排水管道金刚取孔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43F00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排水管道穿楼板打孔，后恢复楼板并作防水处理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A82B54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D75A4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</w:tr>
      <w:tr w14:paraId="15567A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E97C9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140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84005D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脱脂紫铜管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56732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1.名称：脱脂紫铜管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2.型号：φ10*1.0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10FAC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94940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290</w:t>
            </w:r>
          </w:p>
        </w:tc>
      </w:tr>
      <w:tr w14:paraId="6145DB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9D0EE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141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918BB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脱脂紫铜管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C2782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1.名称：脱脂紫铜管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2.型号：φ28*1.5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65792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27761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200</w:t>
            </w:r>
          </w:p>
        </w:tc>
      </w:tr>
      <w:tr w14:paraId="491F46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6A296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142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E1429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洗手池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658A9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1.名称：洗手池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2.材质：陶瓷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3.尺寸(mm)：595×470×850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7E7C5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组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8D4CE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 w14:paraId="0E80DC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E4B8C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3BE48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其它部分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CFD8A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9E51C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A7109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5F70DF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64A4D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143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39370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紧急洗眼器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F2E5C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桌上型紧急洗眼器，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洗眼流量：≥11.4L/min。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材质：内进水管采用304不锈钢，外壳采用不助燃PP材质模铸一体成型制作。不锈钢编制供水软管外覆PVC保护层，防止磨损，增加使用寿命,具有优秀抗油、酸、碱、盐酸溶液的性能。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产品特点：配备1.5米软管，可在1.5米范围内移动使用。使用时从洗眼器固定底座中抽出洗眼器，按压开关压把，清洁水从洗眼喷头自动喷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07C04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C6D89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</w:tr>
      <w:tr w14:paraId="227D8A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70379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144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3960B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医疗设备带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ACFD23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1.名称：医疗设备带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1.型号：GUB101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452BC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A40CD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161</w:t>
            </w:r>
          </w:p>
        </w:tc>
      </w:tr>
      <w:tr w14:paraId="216F62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8FCCF5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145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83E46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医用真空吸引机组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7B638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医用真空吸引机组(一体机)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1、2台油润旋片真空泵主机,单台40m3/h,功率1.1kw,380V/50HZ、内置止回阀、入口空气过滤器,一用一备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2、内置2套50m3/h细菌过滤器,杀灭率&gt;99.96%%%,壳体不锈钢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3、内置1个真空监测罐,碳钢材质,容积250L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4、双压力监测不锈钢传感器及数显真空开关。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5、中央控制系统,PLC控制,7寸液晶触摸屏,声光报警及预留远程压力报警功能,断电自动恢复启动,交叉运行,手动/自动,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6、排气灭菌装置,处理量300m3/h,采用热力高温(&gt;200℃)、臭氧装置、氢光离子综合杀灭,针对枯草芽孢黑色变种杆菌、1.5kw,220V,接入控制柜,自动控制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7、一体式撬装机座,阀门及不锈钢内部管道连接,排气集污瓶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1704C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AFAD3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1F00FA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3EA8D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146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58AD1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集污罐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6FE9D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1.名称：集污瓶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2.型号：容积50L,不锈钢材质、液位显示、观察窗、底部排污阀,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12B75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E3A1F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50FEDE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3037C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147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4443C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医用真空罐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DBE5B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1.名称：真空罐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2.型号：容积0.6m3,-1.0MPa,碳钢材质,含真空表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3479D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88F21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65052A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13DCB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148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12BE9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螺纹法兰阀门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84231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1.名称：法兰手动阀门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2.型号：DN32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9ADCE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DB47C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</w:tr>
      <w:tr w14:paraId="6605AE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34223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149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65CCF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镀锌钢管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1E132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1.名称：镀锌钢管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2.型号：DN32x2.0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8CC2A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E5B29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45.1</w:t>
            </w:r>
          </w:p>
        </w:tc>
      </w:tr>
      <w:tr w14:paraId="22861A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79F81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150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28C2A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不锈钢管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D1B8A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1.名称：不锈钢管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2.型号：DN32x2.0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172DD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F9577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33.2</w:t>
            </w:r>
          </w:p>
        </w:tc>
      </w:tr>
      <w:tr w14:paraId="50332D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0E834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151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0D151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不锈钢管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10DE21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1.名称：不锈钢管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2.型号：DN25x2.0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A21DA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146CF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9.5</w:t>
            </w:r>
          </w:p>
        </w:tc>
      </w:tr>
      <w:tr w14:paraId="50993C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5F63D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152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74200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不锈钢管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D5BFB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1.名称：不锈钢管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2.型号：DN20x2.0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E0C0ED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83980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177.3</w:t>
            </w:r>
          </w:p>
        </w:tc>
      </w:tr>
      <w:tr w14:paraId="6182D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6C28D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153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37DFC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不锈钢管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5AE93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1.名称：不锈钢管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2.型号：DN14x1.5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7A5F8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0A900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132.8</w:t>
            </w:r>
          </w:p>
        </w:tc>
      </w:tr>
      <w:tr w14:paraId="590D94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C46366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154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3E358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不锈钢管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991F2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1.名称：不锈钢管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2.型号：DN10x1.0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C9ACB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F9EED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244.1</w:t>
            </w:r>
          </w:p>
        </w:tc>
      </w:tr>
      <w:tr w14:paraId="46A8DE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E8D2D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155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3B28E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不锈钢管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52FAC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1.名称：不锈钢管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2.型号：DN8x1.0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86160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3B5FC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244.8</w:t>
            </w:r>
          </w:p>
        </w:tc>
      </w:tr>
      <w:tr w14:paraId="2A21C5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2D999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156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0F69E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设备基础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38FCB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1.设备底座预拌混凝土C25基础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2.设备基础(块体≤5m3) 复合模板 钢支撑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A7E21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m3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92D997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0.236</w:t>
            </w:r>
          </w:p>
        </w:tc>
      </w:tr>
      <w:tr w14:paraId="72A9D5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46208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13FCB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分部分项合计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721847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31452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8C78B9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22ACE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4A261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8FB54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措施项目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8D4B3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6FF92F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C8D6C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2FEAF6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0197B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157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FA5F4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垂直运输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91D9D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装饰垂直运输檐高(m以内) 40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AC27C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工日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4CA0B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475</w:t>
            </w:r>
          </w:p>
        </w:tc>
      </w:tr>
      <w:tr w14:paraId="0E1822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CAFA2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158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18573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垃圾清运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71A92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1.楼层运出垃圾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2.建筑垃圾外运，运距暂按2km计算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72821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m3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0A94E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82</w:t>
            </w:r>
          </w:p>
        </w:tc>
      </w:tr>
      <w:tr w14:paraId="6A355E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0E399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159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F3301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脚手架搭拆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DFBC5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安装工程脚手架搭拆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A7D21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项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9EE946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</w:tr>
      <w:tr w14:paraId="76E450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3CB30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160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791C4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外脚手架</w:t>
            </w:r>
          </w:p>
        </w:tc>
        <w:tc>
          <w:tcPr>
            <w:tcW w:w="56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83F4C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外脚手架 15m以内 双排 装饰脚手架 单价*0.3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1CC9C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m2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9E241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165.91</w:t>
            </w:r>
          </w:p>
        </w:tc>
      </w:tr>
    </w:tbl>
    <w:p w14:paraId="0D038AB0">
      <w:pPr>
        <w:pStyle w:val="4"/>
        <w:spacing w:line="460" w:lineRule="atLeast"/>
        <w:ind w:firstLine="0" w:firstLineChars="0"/>
        <w:outlineLvl w:val="1"/>
        <w:rPr>
          <w:rFonts w:hint="eastAsia" w:ascii="宋体" w:hAnsi="宋体" w:eastAsia="宋体" w:cs="宋体"/>
          <w:b/>
          <w:color w:val="000000"/>
          <w:kern w:val="0"/>
          <w:sz w:val="24"/>
          <w:szCs w:val="24"/>
          <w:lang w:eastAsia="zh-CN"/>
        </w:rPr>
      </w:pPr>
      <w:bookmarkStart w:id="7" w:name="_Toc15703"/>
    </w:p>
    <w:bookmarkEnd w:id="7"/>
    <w:p w14:paraId="6C766B89">
      <w:pPr>
        <w:rPr>
          <w:rFonts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br w:type="page"/>
      </w:r>
    </w:p>
    <w:p w14:paraId="47108FEC">
      <w:pPr>
        <w:widowControl w:val="0"/>
        <w:kinsoku/>
        <w:spacing w:afterLines="50" w:line="400" w:lineRule="exact"/>
        <w:jc w:val="center"/>
        <w:outlineLvl w:val="1"/>
        <w:rPr>
          <w:rFonts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8" w:name="_Toc25051"/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三、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商务条件</w:t>
      </w:r>
      <w:bookmarkEnd w:id="8"/>
    </w:p>
    <w:tbl>
      <w:tblPr>
        <w:tblStyle w:val="7"/>
        <w:tblW w:w="9054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3"/>
        <w:gridCol w:w="1334"/>
        <w:gridCol w:w="7147"/>
      </w:tblGrid>
      <w:tr w14:paraId="47105F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573" w:type="dxa"/>
            <w:vAlign w:val="center"/>
          </w:tcPr>
          <w:p w14:paraId="003FA501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52"/>
              <w:textAlignment w:val="baseline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bookmarkStart w:id="9" w:name="bookmark82"/>
            <w:bookmarkEnd w:id="9"/>
            <w:r>
              <w:rPr>
                <w:rFonts w:hint="eastAsia" w:asciiTheme="minorEastAsia" w:hAnsiTheme="minorEastAsia" w:eastAsiaTheme="minorEastAsia" w:cstheme="minorEastAsia"/>
                <w:spacing w:val="-5"/>
                <w:sz w:val="24"/>
                <w:szCs w:val="24"/>
              </w:rPr>
              <w:t>序号</w:t>
            </w:r>
          </w:p>
        </w:tc>
        <w:tc>
          <w:tcPr>
            <w:tcW w:w="1334" w:type="dxa"/>
            <w:vAlign w:val="center"/>
          </w:tcPr>
          <w:p w14:paraId="71142D0D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193"/>
              <w:textAlignment w:val="baseline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</w:rPr>
              <w:t>条款名称</w:t>
            </w:r>
          </w:p>
        </w:tc>
        <w:tc>
          <w:tcPr>
            <w:tcW w:w="7147" w:type="dxa"/>
            <w:vAlign w:val="center"/>
          </w:tcPr>
          <w:p w14:paraId="133BDCB1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3229"/>
              <w:textAlignment w:val="baseline"/>
              <w:rPr>
                <w:rFonts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</w:rPr>
              <w:t>条款内容</w:t>
            </w:r>
          </w:p>
        </w:tc>
      </w:tr>
      <w:tr w14:paraId="657DD0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573" w:type="dxa"/>
            <w:vAlign w:val="center"/>
          </w:tcPr>
          <w:p w14:paraId="62B7702E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52"/>
              <w:jc w:val="center"/>
              <w:textAlignment w:val="baseline"/>
              <w:rPr>
                <w:rFonts w:asciiTheme="minorEastAsia" w:hAnsiTheme="minorEastAsia" w:cstheme="minorEastAsia"/>
                <w:color w:val="000000" w:themeColor="text1"/>
                <w:spacing w:val="-5"/>
                <w:sz w:val="24"/>
                <w:szCs w:val="24"/>
                <w:highlight w:val="none"/>
                <w:shd w:val="clear" w:color="FFFFFF" w:fill="D9D9D9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spacing w:val="-5"/>
                <w:sz w:val="24"/>
                <w:szCs w:val="24"/>
                <w:highlight w:val="none"/>
                <w:shd w:val="clear" w:color="FFFFFF" w:fill="D9D9D9"/>
                <w:lang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34" w:type="dxa"/>
            <w:vAlign w:val="center"/>
          </w:tcPr>
          <w:p w14:paraId="0D78BB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Theme="minorEastAsia" w:hAnsiTheme="minorEastAsia" w:eastAsiaTheme="minorEastAsia" w:cstheme="minorEastAsia"/>
                <w:color w:val="000000" w:themeColor="text1"/>
                <w:spacing w:val="-3"/>
                <w:kern w:val="2"/>
                <w:sz w:val="24"/>
                <w:szCs w:val="24"/>
                <w:highlight w:val="none"/>
                <w:shd w:val="clear" w:color="FFFFFF" w:fill="D9D9D9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pacing w:val="-3"/>
                <w:kern w:val="2"/>
                <w:sz w:val="24"/>
                <w:szCs w:val="24"/>
                <w:highlight w:val="none"/>
                <w:shd w:val="clear" w:color="FFFFFF" w:fill="D9D9D9"/>
                <w:lang w:eastAsia="zh-CN"/>
                <w14:textFill>
                  <w14:solidFill>
                    <w14:schemeClr w14:val="tx1"/>
                  </w14:solidFill>
                </w14:textFill>
              </w:rPr>
              <w:t>交货期</w:t>
            </w:r>
          </w:p>
        </w:tc>
        <w:tc>
          <w:tcPr>
            <w:tcW w:w="7147" w:type="dxa"/>
            <w:vAlign w:val="center"/>
          </w:tcPr>
          <w:p w14:paraId="00E97684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hint="default" w:asciiTheme="minorEastAsia" w:hAnsiTheme="minorEastAsia" w:eastAsiaTheme="minorEastAsia" w:cstheme="minorEastAsia"/>
                <w:color w:val="000000" w:themeColor="text1"/>
                <w:spacing w:val="-3"/>
                <w:kern w:val="2"/>
                <w:sz w:val="24"/>
                <w:szCs w:val="24"/>
                <w:highlight w:val="none"/>
                <w:shd w:val="clear" w:color="FFFFFF" w:fill="D9D9D9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  <w:highlight w:val="none"/>
                <w:shd w:val="clear" w:color="FFFFFF" w:fill="D9D9D9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45天</w:t>
            </w:r>
          </w:p>
        </w:tc>
      </w:tr>
      <w:tr w14:paraId="3BA861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573" w:type="dxa"/>
            <w:vAlign w:val="center"/>
          </w:tcPr>
          <w:p w14:paraId="7B282E85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52"/>
              <w:jc w:val="center"/>
              <w:textAlignment w:val="baseline"/>
              <w:rPr>
                <w:rFonts w:asciiTheme="minorEastAsia" w:hAnsiTheme="minorEastAsia" w:cstheme="minorEastAsia"/>
                <w:spacing w:val="-5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pacing w:val="-5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1334" w:type="dxa"/>
            <w:vAlign w:val="center"/>
          </w:tcPr>
          <w:p w14:paraId="336492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Theme="minorEastAsia" w:hAnsiTheme="minorEastAsia" w:eastAsiaTheme="minorEastAsia" w:cstheme="minorEastAsia"/>
                <w:spacing w:val="-3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kern w:val="2"/>
                <w:sz w:val="24"/>
                <w:szCs w:val="24"/>
                <w:lang w:eastAsia="zh-CN"/>
              </w:rPr>
              <w:t>交货地点</w:t>
            </w:r>
          </w:p>
        </w:tc>
        <w:tc>
          <w:tcPr>
            <w:tcW w:w="7147" w:type="dxa"/>
            <w:vAlign w:val="center"/>
          </w:tcPr>
          <w:p w14:paraId="3EA27699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baseline"/>
              <w:rPr>
                <w:rFonts w:asciiTheme="minorEastAsia" w:hAnsiTheme="minorEastAsia" w:eastAsiaTheme="minorEastAsia" w:cstheme="minorEastAsia"/>
                <w:spacing w:val="-3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kern w:val="2"/>
                <w:sz w:val="24"/>
                <w:szCs w:val="24"/>
                <w:lang w:eastAsia="zh-CN"/>
              </w:rPr>
              <w:t>吉安县万福镇中心卫生院</w:t>
            </w:r>
            <w:r>
              <w:rPr>
                <w:rFonts w:hint="eastAsia" w:asciiTheme="minorEastAsia" w:hAnsiTheme="minorEastAsia" w:cstheme="minorEastAsia"/>
                <w:spacing w:val="-3"/>
                <w:kern w:val="2"/>
                <w:sz w:val="24"/>
                <w:szCs w:val="24"/>
                <w:lang w:val="en-US" w:eastAsia="zh-CN"/>
              </w:rPr>
              <w:t xml:space="preserve"> </w:t>
            </w:r>
          </w:p>
        </w:tc>
      </w:tr>
      <w:tr w14:paraId="6A2180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573" w:type="dxa"/>
            <w:vAlign w:val="center"/>
          </w:tcPr>
          <w:p w14:paraId="196F0125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52"/>
              <w:jc w:val="center"/>
              <w:textAlignment w:val="baseline"/>
              <w:rPr>
                <w:rFonts w:asciiTheme="minorEastAsia" w:hAnsiTheme="minorEastAsia" w:cstheme="minorEastAsia"/>
                <w:spacing w:val="-5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pacing w:val="-5"/>
                <w:sz w:val="24"/>
                <w:szCs w:val="24"/>
                <w:lang w:eastAsia="zh-CN"/>
              </w:rPr>
              <w:t>3</w:t>
            </w:r>
          </w:p>
        </w:tc>
        <w:tc>
          <w:tcPr>
            <w:tcW w:w="1334" w:type="dxa"/>
            <w:vAlign w:val="center"/>
          </w:tcPr>
          <w:p w14:paraId="3FDD8D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Theme="minorEastAsia" w:hAnsiTheme="minorEastAsia" w:eastAsiaTheme="minorEastAsia" w:cstheme="minorEastAsia"/>
                <w:spacing w:val="-3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kern w:val="2"/>
                <w:sz w:val="24"/>
                <w:szCs w:val="24"/>
                <w:lang w:eastAsia="zh-CN"/>
              </w:rPr>
              <w:t>安装地点</w:t>
            </w:r>
          </w:p>
        </w:tc>
        <w:tc>
          <w:tcPr>
            <w:tcW w:w="7147" w:type="dxa"/>
            <w:vAlign w:val="center"/>
          </w:tcPr>
          <w:p w14:paraId="633ED996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both"/>
              <w:textAlignment w:val="baseline"/>
              <w:rPr>
                <w:rFonts w:asciiTheme="minorEastAsia" w:hAnsiTheme="minorEastAsia" w:eastAsiaTheme="minorEastAsia" w:cstheme="minorEastAsia"/>
                <w:spacing w:val="-3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kern w:val="2"/>
                <w:sz w:val="24"/>
                <w:szCs w:val="24"/>
                <w:lang w:eastAsia="zh-CN"/>
              </w:rPr>
              <w:t>吉安县万福镇中心卫生院</w:t>
            </w:r>
            <w:r>
              <w:rPr>
                <w:rFonts w:hint="eastAsia" w:asciiTheme="minorEastAsia" w:hAnsiTheme="minorEastAsia" w:cstheme="minorEastAsia"/>
                <w:spacing w:val="-3"/>
                <w:kern w:val="2"/>
                <w:sz w:val="24"/>
                <w:szCs w:val="24"/>
                <w:lang w:val="en-US" w:eastAsia="zh-CN"/>
              </w:rPr>
              <w:t xml:space="preserve"> </w:t>
            </w:r>
          </w:p>
        </w:tc>
      </w:tr>
      <w:tr w14:paraId="0A018F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573" w:type="dxa"/>
            <w:vAlign w:val="center"/>
          </w:tcPr>
          <w:p w14:paraId="0A370004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52"/>
              <w:jc w:val="center"/>
              <w:textAlignment w:val="baseline"/>
              <w:rPr>
                <w:rFonts w:asciiTheme="minorEastAsia" w:hAnsiTheme="minorEastAsia" w:cstheme="minorEastAsia"/>
                <w:spacing w:val="-5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pacing w:val="-5"/>
                <w:sz w:val="24"/>
                <w:szCs w:val="24"/>
                <w:lang w:eastAsia="zh-CN"/>
              </w:rPr>
              <w:t>4</w:t>
            </w:r>
          </w:p>
        </w:tc>
        <w:tc>
          <w:tcPr>
            <w:tcW w:w="1334" w:type="dxa"/>
            <w:vAlign w:val="center"/>
          </w:tcPr>
          <w:p w14:paraId="47893A32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Theme="minorEastAsia" w:hAnsiTheme="minorEastAsia" w:eastAsiaTheme="minorEastAsia" w:cstheme="minorEastAsia"/>
                <w:spacing w:val="-3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</w:rPr>
              <w:t>报价方式</w:t>
            </w:r>
          </w:p>
        </w:tc>
        <w:tc>
          <w:tcPr>
            <w:tcW w:w="7147" w:type="dxa"/>
            <w:vAlign w:val="center"/>
          </w:tcPr>
          <w:p w14:paraId="79A6DA19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</w:pPr>
            <w:bookmarkStart w:id="10" w:name="bookmark147"/>
            <w:bookmarkEnd w:id="10"/>
            <w:r>
              <w:rPr>
                <w:rFonts w:ascii="宋体" w:hAnsi="宋体" w:eastAsia="宋体" w:cs="宋体"/>
                <w:sz w:val="24"/>
                <w:szCs w:val="24"/>
                <w:lang w:eastAsia="zh-CN"/>
              </w:rPr>
              <w:t>以人民币报价，报价内容包含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磋商文件</w:t>
            </w:r>
            <w:r>
              <w:rPr>
                <w:rFonts w:ascii="宋体" w:hAnsi="宋体" w:eastAsia="宋体" w:cs="宋体"/>
                <w:sz w:val="24"/>
                <w:szCs w:val="24"/>
                <w:lang w:eastAsia="zh-CN"/>
              </w:rPr>
              <w:t>规定的货物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及</w:t>
            </w:r>
            <w:r>
              <w:rPr>
                <w:rFonts w:ascii="宋体" w:hAnsi="宋体" w:eastAsia="宋体" w:cs="宋体"/>
                <w:sz w:val="24"/>
                <w:szCs w:val="24"/>
                <w:lang w:eastAsia="zh-CN"/>
              </w:rPr>
              <w:t>附属售后服务，标准附件，备品备件，专用工具，安装、调试、检验，培训，技术服务，运至最终目的地的运费和保险费等一切相关费用</w:t>
            </w: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  <w:t>。</w:t>
            </w:r>
          </w:p>
        </w:tc>
      </w:tr>
      <w:tr w14:paraId="227979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573" w:type="dxa"/>
            <w:vAlign w:val="center"/>
          </w:tcPr>
          <w:p w14:paraId="7012D8C3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52"/>
              <w:jc w:val="center"/>
              <w:textAlignment w:val="baseline"/>
              <w:rPr>
                <w:rFonts w:asciiTheme="minorEastAsia" w:hAnsiTheme="minorEastAsia" w:cstheme="minorEastAsia"/>
                <w:spacing w:val="-5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pacing w:val="-5"/>
                <w:sz w:val="24"/>
                <w:szCs w:val="24"/>
                <w:highlight w:val="none"/>
                <w:lang w:eastAsia="zh-CN"/>
              </w:rPr>
              <w:t>5</w:t>
            </w:r>
          </w:p>
        </w:tc>
        <w:tc>
          <w:tcPr>
            <w:tcW w:w="1334" w:type="dxa"/>
            <w:vAlign w:val="center"/>
          </w:tcPr>
          <w:p w14:paraId="716E2773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Theme="minorEastAsia" w:hAnsiTheme="minorEastAsia" w:eastAsiaTheme="minorEastAsia" w:cstheme="minorEastAsia"/>
                <w:spacing w:val="-3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highlight w:val="none"/>
              </w:rPr>
              <w:t>付款</w:t>
            </w:r>
            <w:r>
              <w:rPr>
                <w:rFonts w:hint="eastAsia" w:asciiTheme="minorEastAsia" w:hAnsiTheme="minorEastAsia" w:cstheme="minorEastAsia"/>
                <w:spacing w:val="-3"/>
                <w:sz w:val="24"/>
                <w:szCs w:val="24"/>
                <w:highlight w:val="none"/>
                <w:lang w:eastAsia="zh-CN"/>
              </w:rPr>
              <w:t>方式</w:t>
            </w:r>
          </w:p>
        </w:tc>
        <w:tc>
          <w:tcPr>
            <w:tcW w:w="7147" w:type="dxa"/>
            <w:vAlign w:val="center"/>
          </w:tcPr>
          <w:p w14:paraId="4D08E31E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Theme="minorEastAsia" w:hAnsiTheme="minorEastAsia" w:eastAsiaTheme="minorEastAsia" w:cstheme="minorEastAsia"/>
                <w:spacing w:val="-3"/>
                <w:sz w:val="24"/>
                <w:szCs w:val="24"/>
                <w:highlight w:val="none"/>
                <w:lang w:eastAsia="zh-CN"/>
              </w:rPr>
            </w:pPr>
            <w:bookmarkStart w:id="11" w:name="bookmark150"/>
            <w:bookmarkEnd w:id="11"/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成品洁净金属板</w:t>
            </w:r>
            <w:r>
              <w:rPr>
                <w:rFonts w:hint="eastAsia" w:ascii="宋体" w:hAnsi="宋体" w:eastAsia="宋体"/>
                <w:sz w:val="24"/>
                <w:szCs w:val="24"/>
                <w:highlight w:val="none"/>
                <w:lang w:val="en-US" w:eastAsia="zh-CN"/>
              </w:rPr>
              <w:t>到场后支付至合同价款的30</w:t>
            </w: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>%，完工安装调试并验收合格后支付至合同价款的95%，剩余5%自验收合格之日起一年后无息结清。</w:t>
            </w:r>
          </w:p>
        </w:tc>
      </w:tr>
      <w:tr w14:paraId="7C048A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573" w:type="dxa"/>
            <w:vAlign w:val="center"/>
          </w:tcPr>
          <w:p w14:paraId="4CA41847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52"/>
              <w:jc w:val="center"/>
              <w:textAlignment w:val="baseline"/>
              <w:rPr>
                <w:rFonts w:asciiTheme="minorEastAsia" w:hAnsiTheme="minorEastAsia" w:cstheme="minorEastAsia"/>
                <w:spacing w:val="-5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pacing w:val="-5"/>
                <w:sz w:val="24"/>
                <w:szCs w:val="24"/>
                <w:lang w:eastAsia="zh-CN"/>
              </w:rPr>
              <w:t>6</w:t>
            </w:r>
          </w:p>
        </w:tc>
        <w:tc>
          <w:tcPr>
            <w:tcW w:w="1334" w:type="dxa"/>
            <w:vAlign w:val="center"/>
          </w:tcPr>
          <w:p w14:paraId="7EBF0854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Theme="minorEastAsia" w:hAnsiTheme="minorEastAsia" w:eastAsiaTheme="minorEastAsia" w:cstheme="minorEastAsia"/>
                <w:spacing w:val="-3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</w:rPr>
              <w:t>履约保证金</w:t>
            </w:r>
          </w:p>
        </w:tc>
        <w:tc>
          <w:tcPr>
            <w:tcW w:w="7147" w:type="dxa"/>
            <w:vAlign w:val="center"/>
          </w:tcPr>
          <w:p w14:paraId="360689FB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  <w:t>履约保证金金额：合同总价的</w:t>
            </w: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u w:val="single"/>
                <w:lang w:val="en-US" w:eastAsia="zh-CN"/>
              </w:rPr>
              <w:t>/</w:t>
            </w: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  <w:t>%</w:t>
            </w:r>
          </w:p>
          <w:p w14:paraId="4F7FDA3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履约保证金缴纳时间：</w:t>
            </w:r>
            <w:r>
              <w:rPr>
                <w:rFonts w:hint="eastAsia" w:ascii="宋体" w:hAnsi="宋体"/>
                <w:sz w:val="24"/>
                <w:szCs w:val="24"/>
                <w:u w:val="single"/>
                <w:lang w:eastAsia="zh-CN"/>
              </w:rPr>
              <w:t>收到成交通知书后五日内向采购人支付合同金额的</w:t>
            </w:r>
            <w:r>
              <w:rPr>
                <w:rFonts w:hint="eastAsia" w:ascii="宋体" w:hAnsi="宋体"/>
                <w:sz w:val="24"/>
                <w:szCs w:val="24"/>
                <w:u w:val="single"/>
                <w:lang w:val="en-US" w:eastAsia="zh-CN"/>
              </w:rPr>
              <w:t>/</w:t>
            </w:r>
            <w:r>
              <w:rPr>
                <w:rFonts w:hint="eastAsia" w:ascii="宋体" w:hAnsi="宋体"/>
                <w:sz w:val="24"/>
                <w:szCs w:val="24"/>
                <w:u w:val="single"/>
                <w:lang w:eastAsia="zh-CN"/>
              </w:rPr>
              <w:t>%作为履约保证金（支付方式</w:t>
            </w:r>
            <w:r>
              <w:rPr>
                <w:rFonts w:hint="eastAsia"/>
                <w:sz w:val="24"/>
                <w:u w:val="single"/>
                <w:lang w:eastAsia="zh-CN"/>
              </w:rPr>
              <w:t>采用支票、汇票、本票、网上银行支付或者金融机构、担保机构出具的保函等非现金形式）；</w:t>
            </w:r>
          </w:p>
          <w:p w14:paraId="36778DA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履约保证金的退还：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u w:val="single"/>
                <w:lang w:eastAsia="zh-CN"/>
              </w:rPr>
              <w:t>履约保证金在整体项目合同履行完毕，且采购人收到中标人开具的发票（合同金额）后30日内一次性无息退回；</w:t>
            </w:r>
          </w:p>
          <w:p w14:paraId="37D4D0B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="宋体" w:hAnsi="宋体" w:eastAsia="宋体" w:cs="宋体"/>
                <w:color w:val="auto"/>
                <w:sz w:val="24"/>
                <w:szCs w:val="24"/>
                <w:u w:val="singl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履约保证金不予退还情形：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u w:val="single"/>
                <w:lang w:eastAsia="zh-CN"/>
              </w:rPr>
              <w:t>签订合同后，如中标人不按双方签订的合同规定履约，则没收其全部履约保证金，履约保证金不足以赔偿损失的，按实际损失赔偿；</w:t>
            </w:r>
          </w:p>
          <w:p w14:paraId="68CAB371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逾期退还履约保证金违约责任：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u w:val="single"/>
                <w:lang w:eastAsia="zh-CN"/>
              </w:rPr>
              <w:t>采购人逾期退还履约保证金的，应按银行同期存款利率支付逾期利息，但因中标人原因造成除外。</w:t>
            </w:r>
          </w:p>
        </w:tc>
      </w:tr>
      <w:tr w14:paraId="30CB04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573" w:type="dxa"/>
            <w:vAlign w:val="center"/>
          </w:tcPr>
          <w:p w14:paraId="2EF9C9C8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52"/>
              <w:jc w:val="center"/>
              <w:textAlignment w:val="baseline"/>
              <w:rPr>
                <w:rFonts w:asciiTheme="minorEastAsia" w:hAnsiTheme="minorEastAsia" w:cstheme="minorEastAsia"/>
                <w:spacing w:val="-5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pacing w:val="-5"/>
                <w:sz w:val="24"/>
                <w:szCs w:val="24"/>
                <w:lang w:eastAsia="zh-CN"/>
              </w:rPr>
              <w:t>7</w:t>
            </w:r>
          </w:p>
        </w:tc>
        <w:tc>
          <w:tcPr>
            <w:tcW w:w="1334" w:type="dxa"/>
            <w:vAlign w:val="center"/>
          </w:tcPr>
          <w:p w14:paraId="2C3CA044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pacing w:val="-3"/>
                <w:sz w:val="24"/>
                <w:szCs w:val="24"/>
                <w:lang w:eastAsia="zh-CN"/>
              </w:rPr>
              <w:t>质量标准</w:t>
            </w:r>
          </w:p>
        </w:tc>
        <w:tc>
          <w:tcPr>
            <w:tcW w:w="7147" w:type="dxa"/>
            <w:vAlign w:val="center"/>
          </w:tcPr>
          <w:p w14:paraId="1C5D57B9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  <w:t>按国家、地方或行业</w:t>
            </w:r>
            <w:r>
              <w:rPr>
                <w:rFonts w:hint="eastAsia" w:asciiTheme="minorEastAsia" w:hAnsiTheme="minorEastAsia" w:cstheme="minorEastAsia"/>
                <w:spacing w:val="-3"/>
                <w:sz w:val="24"/>
                <w:szCs w:val="24"/>
                <w:lang w:eastAsia="zh-CN"/>
              </w:rPr>
              <w:t>(</w:t>
            </w: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  <w:t>排列在前者优先</w:t>
            </w:r>
            <w:r>
              <w:rPr>
                <w:rFonts w:hint="eastAsia" w:asciiTheme="minorEastAsia" w:hAnsiTheme="minorEastAsia" w:cstheme="minorEastAsia"/>
                <w:spacing w:val="-3"/>
                <w:sz w:val="24"/>
                <w:szCs w:val="24"/>
                <w:lang w:eastAsia="zh-CN"/>
              </w:rPr>
              <w:t>)</w:t>
            </w: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  <w:t>现行相关验收规范和评定标准执行</w:t>
            </w:r>
            <w:r>
              <w:rPr>
                <w:rFonts w:hint="eastAsia" w:asciiTheme="minorEastAsia" w:hAnsiTheme="minorEastAsia" w:cstheme="minorEastAsia"/>
                <w:spacing w:val="-3"/>
                <w:sz w:val="24"/>
                <w:szCs w:val="24"/>
                <w:lang w:eastAsia="zh-CN"/>
              </w:rPr>
              <w:t>。</w:t>
            </w:r>
          </w:p>
        </w:tc>
      </w:tr>
      <w:tr w14:paraId="0FC311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573" w:type="dxa"/>
            <w:vAlign w:val="center"/>
          </w:tcPr>
          <w:p w14:paraId="0E457F0A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52"/>
              <w:jc w:val="center"/>
              <w:textAlignment w:val="baseline"/>
              <w:rPr>
                <w:rFonts w:asciiTheme="minorEastAsia" w:hAnsiTheme="minorEastAsia" w:cstheme="minorEastAsia"/>
                <w:spacing w:val="-5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pacing w:val="-5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334" w:type="dxa"/>
            <w:vAlign w:val="center"/>
          </w:tcPr>
          <w:p w14:paraId="13332AF8">
            <w:pPr>
              <w:pStyle w:val="8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</w:rPr>
              <w:t>验收</w:t>
            </w:r>
            <w:r>
              <w:rPr>
                <w:rFonts w:hint="eastAsia" w:asciiTheme="minorEastAsia" w:hAnsiTheme="minorEastAsia" w:cstheme="minorEastAsia"/>
                <w:spacing w:val="-3"/>
                <w:sz w:val="24"/>
                <w:szCs w:val="24"/>
                <w:lang w:eastAsia="zh-CN"/>
              </w:rPr>
              <w:t>标准</w:t>
            </w:r>
          </w:p>
        </w:tc>
        <w:tc>
          <w:tcPr>
            <w:tcW w:w="7147" w:type="dxa"/>
            <w:vAlign w:val="center"/>
          </w:tcPr>
          <w:p w14:paraId="63E432A2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pacing w:val="-3"/>
                <w:sz w:val="24"/>
                <w:szCs w:val="24"/>
                <w:lang w:eastAsia="zh-CN"/>
              </w:rPr>
              <w:t>(</w:t>
            </w: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  <w:t>1</w:t>
            </w:r>
            <w:r>
              <w:rPr>
                <w:rFonts w:hint="eastAsia" w:asciiTheme="minorEastAsia" w:hAnsiTheme="minorEastAsia" w:cstheme="minorEastAsia"/>
                <w:spacing w:val="-3"/>
                <w:sz w:val="24"/>
                <w:szCs w:val="24"/>
                <w:lang w:eastAsia="zh-CN"/>
              </w:rPr>
              <w:t>)</w:t>
            </w: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  <w:t>除磋商文件另有要求外，均按国家、地方或行业</w:t>
            </w:r>
            <w:r>
              <w:rPr>
                <w:rFonts w:hint="eastAsia" w:asciiTheme="minorEastAsia" w:hAnsiTheme="minorEastAsia" w:cstheme="minorEastAsia"/>
                <w:spacing w:val="-3"/>
                <w:sz w:val="24"/>
                <w:szCs w:val="24"/>
                <w:lang w:eastAsia="zh-CN"/>
              </w:rPr>
              <w:t>(</w:t>
            </w: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  <w:t>排列在前者优先</w:t>
            </w:r>
            <w:r>
              <w:rPr>
                <w:rFonts w:hint="eastAsia" w:asciiTheme="minorEastAsia" w:hAnsiTheme="minorEastAsia" w:cstheme="minorEastAsia"/>
                <w:spacing w:val="-3"/>
                <w:sz w:val="24"/>
                <w:szCs w:val="24"/>
                <w:lang w:eastAsia="zh-CN"/>
              </w:rPr>
              <w:t>)</w:t>
            </w: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  <w:t>现行相关验收规范和评定标准执行。</w:t>
            </w:r>
          </w:p>
          <w:p w14:paraId="648D6C64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pacing w:val="-3"/>
                <w:sz w:val="24"/>
                <w:szCs w:val="24"/>
                <w:lang w:eastAsia="zh-CN"/>
              </w:rPr>
              <w:t>(</w:t>
            </w: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  <w:t>2</w:t>
            </w:r>
            <w:r>
              <w:rPr>
                <w:rFonts w:hint="eastAsia" w:asciiTheme="minorEastAsia" w:hAnsiTheme="minorEastAsia" w:cstheme="minorEastAsia"/>
                <w:spacing w:val="-3"/>
                <w:sz w:val="24"/>
                <w:szCs w:val="24"/>
                <w:lang w:eastAsia="zh-CN"/>
              </w:rPr>
              <w:t>)</w:t>
            </w: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  <w:t>响应供应商必须派出技术人员到现场安装（采购人提供入室电源、气源等，现场不允许使用拖线电源）、调试机器，所需费用应包含在合同价内。</w:t>
            </w:r>
          </w:p>
          <w:p w14:paraId="7886D3AB">
            <w:pPr>
              <w:pStyle w:val="8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pacing w:val="-3"/>
                <w:sz w:val="24"/>
                <w:szCs w:val="24"/>
                <w:lang w:eastAsia="zh-CN"/>
              </w:rPr>
              <w:t>(</w:t>
            </w: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  <w:t>3</w:t>
            </w:r>
            <w:r>
              <w:rPr>
                <w:rFonts w:hint="eastAsia" w:asciiTheme="minorEastAsia" w:hAnsiTheme="minorEastAsia" w:cstheme="minorEastAsia"/>
                <w:spacing w:val="-3"/>
                <w:sz w:val="24"/>
                <w:szCs w:val="24"/>
                <w:lang w:eastAsia="zh-CN"/>
              </w:rPr>
              <w:t>)</w:t>
            </w:r>
            <w:r>
              <w:rPr>
                <w:rFonts w:hint="eastAsia" w:asciiTheme="minorEastAsia" w:hAnsiTheme="minorEastAsia" w:eastAsiaTheme="minorEastAsia" w:cstheme="minorEastAsia"/>
                <w:spacing w:val="-3"/>
                <w:sz w:val="24"/>
                <w:szCs w:val="24"/>
                <w:lang w:eastAsia="zh-CN"/>
              </w:rPr>
              <w:t>响应供应商须免费为采购人指定的技术人员提供技术培训服务，使参加培训的人员能独立使用，能独立处理常见性故障以及进行日常的维护保养为止。培训内容应包括技术原理、操作、日常基本维护与保养。</w:t>
            </w:r>
          </w:p>
        </w:tc>
      </w:tr>
    </w:tbl>
    <w:p w14:paraId="3552DBF4">
      <w:pPr>
        <w:rPr>
          <w:rFonts w:ascii="宋体" w:hAnsi="宋体" w:eastAsia="宋体" w:cs="宋体"/>
          <w:color w:val="auto"/>
          <w:spacing w:val="9"/>
          <w:sz w:val="31"/>
          <w:szCs w:val="3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12" w:name="_GoBack"/>
      <w:bookmarkEnd w:id="1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117AB8"/>
    <w:rsid w:val="174C45E9"/>
    <w:rsid w:val="1F117AB8"/>
    <w:rsid w:val="1F703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4">
    <w:name w:val="Body Text First Indent"/>
    <w:basedOn w:val="2"/>
    <w:qFormat/>
    <w:uiPriority w:val="0"/>
    <w:pPr>
      <w:ind w:firstLine="420" w:firstLineChars="100"/>
    </w:p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2026-05-29T06:14:00Z</dcterms:created>
  <dc:creator>明耀</dc:creator>
  <cp:lastModifiedBy>明耀</cp:lastModifiedBy>
  <dcterms:modified xsi:type="dcterms:W3CDTF">2026-05-29T06:15:32Z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2B7384FD2C0041FA9F3966E35DB88AD1_11</vt:lpwstr>
  </property>
  <property fmtid="{D5CDD505-2E9C-101B-9397-08002B2CF9AE}" pid="4" name="KSOTemplateDocerSaveRecord">
    <vt:lpwstr>eyJoZGlkIjoiY2U3ZDI2M2Y2NjhkZGRiODIyNWE4ZGJlNTI0YmY3YWEiLCJ1c2VySWQiOiI1NDgyNTgwODAifQ==</vt:lpwstr>
  </property>
</Properties>
</file>