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05446F">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64752B">
      <w:pPr>
        <w:pageBreakBefore w:val="0"/>
        <w:widowControl w:val="0"/>
        <w:wordWrap/>
        <w:overflowPunct/>
        <w:topLinePunct w:val="0"/>
        <w:bidi w:val="0"/>
        <w:spacing w:line="309" w:lineRule="auto"/>
        <w:jc w:val="center"/>
        <w:rPr>
          <w:color w:val="auto"/>
          <w:highlight w:val="none"/>
          <w:lang w:eastAsia="zh-CN"/>
        </w:rPr>
      </w:pPr>
    </w:p>
    <w:p w14:paraId="0441DF02">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7A5960AE">
      <w:pPr>
        <w:pageBreakBefore w:val="0"/>
        <w:widowControl w:val="0"/>
        <w:wordWrap/>
        <w:overflowPunct/>
        <w:topLinePunct w:val="0"/>
        <w:bidi w:val="0"/>
        <w:spacing w:before="64"/>
        <w:rPr>
          <w:color w:val="auto"/>
          <w:highlight w:val="none"/>
        </w:rPr>
      </w:pPr>
    </w:p>
    <w:tbl>
      <w:tblPr>
        <w:tblStyle w:val="8"/>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22CDA9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FCFB826">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5CE7E08F">
            <w:pPr>
              <w:pStyle w:val="9"/>
              <w:pageBreakBefore w:val="0"/>
              <w:widowControl w:val="0"/>
              <w:wordWrap/>
              <w:overflowPunct/>
              <w:topLinePunct w:val="0"/>
              <w:bidi w:val="0"/>
              <w:spacing w:line="245" w:lineRule="auto"/>
              <w:rPr>
                <w:color w:val="auto"/>
                <w:highlight w:val="none"/>
              </w:rPr>
            </w:pPr>
          </w:p>
          <w:p w14:paraId="3B751E19">
            <w:pPr>
              <w:pStyle w:val="9"/>
              <w:pageBreakBefore w:val="0"/>
              <w:widowControl w:val="0"/>
              <w:wordWrap/>
              <w:overflowPunct/>
              <w:topLinePunct w:val="0"/>
              <w:bidi w:val="0"/>
              <w:spacing w:line="246" w:lineRule="auto"/>
              <w:rPr>
                <w:color w:val="auto"/>
                <w:highlight w:val="none"/>
              </w:rPr>
            </w:pPr>
          </w:p>
          <w:p w14:paraId="68EA40BE">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51982A09">
            <w:pPr>
              <w:pStyle w:val="9"/>
              <w:pageBreakBefore w:val="0"/>
              <w:widowControl w:val="0"/>
              <w:wordWrap/>
              <w:overflowPunct/>
              <w:topLinePunct w:val="0"/>
              <w:bidi w:val="0"/>
              <w:spacing w:line="338" w:lineRule="auto"/>
              <w:rPr>
                <w:color w:val="auto"/>
                <w:highlight w:val="none"/>
              </w:rPr>
            </w:pPr>
          </w:p>
          <w:p w14:paraId="2353ED11">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22BF8079">
            <w:pPr>
              <w:pStyle w:val="9"/>
              <w:pageBreakBefore w:val="0"/>
              <w:widowControl w:val="0"/>
              <w:wordWrap/>
              <w:overflowPunct/>
              <w:topLinePunct w:val="0"/>
              <w:bidi w:val="0"/>
              <w:spacing w:line="263" w:lineRule="auto"/>
              <w:rPr>
                <w:color w:val="auto"/>
                <w:highlight w:val="none"/>
              </w:rPr>
            </w:pPr>
          </w:p>
          <w:p w14:paraId="5983CDE0">
            <w:pPr>
              <w:pStyle w:val="9"/>
              <w:pageBreakBefore w:val="0"/>
              <w:widowControl w:val="0"/>
              <w:wordWrap/>
              <w:overflowPunct/>
              <w:topLinePunct w:val="0"/>
              <w:bidi w:val="0"/>
              <w:spacing w:line="263" w:lineRule="auto"/>
              <w:rPr>
                <w:color w:val="auto"/>
                <w:highlight w:val="none"/>
              </w:rPr>
            </w:pPr>
          </w:p>
          <w:p w14:paraId="16984F23">
            <w:pPr>
              <w:pStyle w:val="9"/>
              <w:pageBreakBefore w:val="0"/>
              <w:widowControl w:val="0"/>
              <w:wordWrap/>
              <w:overflowPunct/>
              <w:topLinePunct w:val="0"/>
              <w:bidi w:val="0"/>
              <w:spacing w:line="264" w:lineRule="auto"/>
              <w:rPr>
                <w:color w:val="auto"/>
                <w:highlight w:val="none"/>
              </w:rPr>
            </w:pPr>
          </w:p>
          <w:p w14:paraId="14513F98">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14:paraId="5F19CF77">
            <w:pPr>
              <w:pStyle w:val="9"/>
              <w:pageBreakBefore w:val="0"/>
              <w:widowControl w:val="0"/>
              <w:wordWrap/>
              <w:overflowPunct/>
              <w:topLinePunct w:val="0"/>
              <w:bidi w:val="0"/>
              <w:rPr>
                <w:rFonts w:hint="eastAsia" w:asciiTheme="minorEastAsia" w:hAnsiTheme="minorEastAsia" w:eastAsiaTheme="minorEastAsia" w:cstheme="minorEastAsia"/>
                <w:color w:val="auto"/>
                <w:sz w:val="24"/>
                <w:highlight w:val="none"/>
              </w:rPr>
            </w:pPr>
          </w:p>
          <w:p w14:paraId="791AD180">
            <w:pPr>
              <w:pStyle w:val="9"/>
              <w:pageBreakBefore w:val="0"/>
              <w:widowControl w:val="0"/>
              <w:wordWrap/>
              <w:overflowPunct/>
              <w:topLinePunct w:val="0"/>
              <w:bidi w:val="0"/>
              <w:rPr>
                <w:rFonts w:hint="eastAsia" w:asciiTheme="minorEastAsia" w:hAnsiTheme="minorEastAsia" w:eastAsiaTheme="minorEastAsia" w:cstheme="minorEastAsia"/>
                <w:color w:val="auto"/>
                <w:sz w:val="24"/>
                <w:highlight w:val="none"/>
              </w:rPr>
            </w:pPr>
          </w:p>
          <w:p w14:paraId="13A60C5F">
            <w:pPr>
              <w:pStyle w:val="9"/>
              <w:pageBreakBefore w:val="0"/>
              <w:widowControl w:val="0"/>
              <w:wordWrap/>
              <w:overflowPunct/>
              <w:topLinePunct w:val="0"/>
              <w:bidi w:val="0"/>
              <w:rPr>
                <w:rFonts w:hint="eastAsia" w:asciiTheme="minorEastAsia" w:hAnsiTheme="minorEastAsia" w:eastAsiaTheme="minorEastAsia" w:cstheme="minorEastAsia"/>
                <w:color w:val="auto"/>
                <w:sz w:val="24"/>
                <w:highlight w:val="none"/>
              </w:rPr>
            </w:pPr>
          </w:p>
          <w:p w14:paraId="3B945D65">
            <w:pPr>
              <w:pStyle w:val="9"/>
              <w:pageBreakBefore w:val="0"/>
              <w:widowControl w:val="0"/>
              <w:wordWrap/>
              <w:overflowPunct/>
              <w:topLinePunct w:val="0"/>
              <w:bidi w:val="0"/>
              <w:ind w:firstLine="1920" w:firstLineChars="800"/>
              <w:rPr>
                <w:color w:val="auto"/>
                <w:highlight w:val="none"/>
              </w:rPr>
            </w:pPr>
            <w:r>
              <w:rPr>
                <w:rFonts w:hint="eastAsia" w:asciiTheme="minorEastAsia" w:hAnsiTheme="minorEastAsia" w:eastAsiaTheme="minorEastAsia" w:cstheme="minorEastAsia"/>
                <w:color w:val="auto"/>
                <w:sz w:val="24"/>
                <w:highlight w:val="none"/>
              </w:rPr>
              <w:t>详见“第一章</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邀请”</w:t>
            </w:r>
          </w:p>
        </w:tc>
      </w:tr>
      <w:tr w14:paraId="008EAE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2984011C">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shd w:val="clear" w:color="auto" w:fill="auto"/>
            <w:vAlign w:val="center"/>
          </w:tcPr>
          <w:p w14:paraId="288648E6">
            <w:pPr>
              <w:spacing w:line="900" w:lineRule="exact"/>
              <w:jc w:val="center"/>
              <w:rPr>
                <w:rFonts w:asciiTheme="minorEastAsia" w:hAnsiTheme="minorEastAsia" w:eastAsiaTheme="minorEastAsia" w:cstheme="minorEastAsia"/>
                <w:snapToGrid w:val="0"/>
                <w:color w:val="auto"/>
                <w:sz w:val="24"/>
                <w:szCs w:val="21"/>
                <w:highlight w:val="none"/>
                <w:lang w:val="en-US" w:eastAsia="en-US" w:bidi="ar-SA"/>
              </w:rPr>
            </w:pPr>
            <w:r>
              <w:rPr>
                <w:rFonts w:hint="eastAsia" w:asciiTheme="minorEastAsia" w:hAnsiTheme="minorEastAsia" w:eastAsiaTheme="minorEastAsia" w:cstheme="minorEastAsia"/>
                <w:color w:val="auto"/>
                <w:sz w:val="24"/>
                <w:highlight w:val="none"/>
              </w:rPr>
              <w:t>详见第五章中的“采购要求”</w:t>
            </w:r>
          </w:p>
        </w:tc>
      </w:tr>
      <w:tr w14:paraId="4FF43B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080C98A">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shd w:val="clear" w:color="auto" w:fill="auto"/>
            <w:vAlign w:val="center"/>
          </w:tcPr>
          <w:p w14:paraId="6E0F09C3">
            <w:pPr>
              <w:spacing w:line="900" w:lineRule="exact"/>
              <w:jc w:val="center"/>
              <w:rPr>
                <w:rFonts w:asciiTheme="minorEastAsia" w:hAnsiTheme="minorEastAsia" w:eastAsiaTheme="minorEastAsia" w:cstheme="minorEastAsia"/>
                <w:snapToGrid w:val="0"/>
                <w:color w:val="auto"/>
                <w:sz w:val="24"/>
                <w:szCs w:val="21"/>
                <w:highlight w:val="none"/>
                <w:lang w:val="en-US" w:eastAsia="en-US" w:bidi="ar-SA"/>
              </w:rPr>
            </w:pPr>
            <w:r>
              <w:rPr>
                <w:rFonts w:hint="eastAsia" w:asciiTheme="minorEastAsia" w:hAnsiTheme="minorEastAsia" w:eastAsiaTheme="minorEastAsia" w:cstheme="minorEastAsia"/>
                <w:color w:val="auto"/>
                <w:sz w:val="24"/>
                <w:highlight w:val="none"/>
              </w:rPr>
              <w:t>详见第五章中的“商务条款”</w:t>
            </w:r>
          </w:p>
        </w:tc>
      </w:tr>
      <w:tr w14:paraId="1BD6E3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33A54355">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shd w:val="clear" w:color="auto" w:fill="auto"/>
            <w:vAlign w:val="center"/>
          </w:tcPr>
          <w:p w14:paraId="4D8AC5A1">
            <w:pPr>
              <w:spacing w:line="440" w:lineRule="exact"/>
              <w:ind w:left="480" w:leftChars="0" w:hanging="480" w:hangingChars="200"/>
              <w:jc w:val="center"/>
              <w:rPr>
                <w:rFonts w:asciiTheme="minorEastAsia" w:hAnsiTheme="minorEastAsia" w:eastAsiaTheme="minorEastAsia" w:cstheme="minorEastAsia"/>
                <w:bCs/>
                <w:snapToGrid w:val="0"/>
                <w:color w:val="auto"/>
                <w:sz w:val="24"/>
                <w:szCs w:val="24"/>
                <w:highlight w:val="none"/>
                <w:lang w:val="en-US" w:eastAsia="en-US" w:bidi="ar-SA"/>
              </w:rPr>
            </w:pPr>
            <w:r>
              <w:rPr>
                <w:rFonts w:hint="eastAsia" w:asciiTheme="minorEastAsia" w:hAnsiTheme="minorEastAsia" w:eastAsiaTheme="minorEastAsia" w:cstheme="minorEastAsia"/>
                <w:color w:val="auto"/>
                <w:sz w:val="24"/>
                <w:highlight w:val="none"/>
              </w:rPr>
              <w:t>详见第五章中的“商务条款”</w:t>
            </w:r>
          </w:p>
        </w:tc>
      </w:tr>
      <w:tr w14:paraId="0D05BE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50109D9D">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tcPr>
          <w:p w14:paraId="786C5449">
            <w:pPr>
              <w:pStyle w:val="9"/>
              <w:pageBreakBefore w:val="0"/>
              <w:widowControl w:val="0"/>
              <w:wordWrap/>
              <w:overflowPunct/>
              <w:topLinePunct w:val="0"/>
              <w:bidi w:val="0"/>
              <w:rPr>
                <w:color w:val="auto"/>
                <w:highlight w:val="none"/>
              </w:rPr>
            </w:pPr>
          </w:p>
        </w:tc>
      </w:tr>
    </w:tbl>
    <w:p w14:paraId="2760F235">
      <w:pPr>
        <w:pageBreakBefore w:val="0"/>
        <w:widowControl w:val="0"/>
        <w:wordWrap/>
        <w:overflowPunct/>
        <w:topLinePunct w:val="0"/>
        <w:bidi w:val="0"/>
        <w:rPr>
          <w:color w:val="auto"/>
          <w:highlight w:val="none"/>
        </w:rPr>
      </w:pPr>
    </w:p>
    <w:p w14:paraId="34630AF2">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46471DA8">
      <w:pPr>
        <w:pageBreakBefore w:val="0"/>
        <w:widowControl w:val="0"/>
        <w:wordWrap/>
        <w:overflowPunct/>
        <w:topLinePunct w:val="0"/>
        <w:bidi w:val="0"/>
        <w:spacing w:before="47" w:line="219" w:lineRule="auto"/>
        <w:jc w:val="center"/>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6CED580B">
      <w:pPr>
        <w:pageBreakBefore w:val="0"/>
        <w:widowControl w:val="0"/>
        <w:wordWrap/>
        <w:overflowPunct/>
        <w:topLinePunct w:val="0"/>
        <w:bidi w:val="0"/>
        <w:spacing w:line="257" w:lineRule="auto"/>
        <w:rPr>
          <w:color w:val="auto"/>
          <w:highlight w:val="none"/>
        </w:rPr>
      </w:pPr>
    </w:p>
    <w:p w14:paraId="310E2257">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5C4A7BE4">
      <w:pPr>
        <w:pageBreakBefore w:val="0"/>
        <w:widowControl w:val="0"/>
        <w:wordWrap/>
        <w:overflowPunct/>
        <w:topLinePunct w:val="0"/>
        <w:bidi w:val="0"/>
        <w:spacing w:line="242" w:lineRule="auto"/>
        <w:rPr>
          <w:color w:val="auto"/>
          <w:highlight w:val="none"/>
        </w:rPr>
      </w:pP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526"/>
        <w:gridCol w:w="839"/>
        <w:gridCol w:w="886"/>
        <w:gridCol w:w="3125"/>
        <w:gridCol w:w="1006"/>
        <w:gridCol w:w="1044"/>
        <w:gridCol w:w="776"/>
        <w:gridCol w:w="722"/>
        <w:gridCol w:w="2550"/>
        <w:gridCol w:w="712"/>
        <w:gridCol w:w="2817"/>
      </w:tblGrid>
      <w:tr w14:paraId="4F4FC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84" w:hRule="atLeast"/>
          <w:jc w:val="center"/>
        </w:trPr>
        <w:tc>
          <w:tcPr>
            <w:tcW w:w="526" w:type="dxa"/>
            <w:vMerge w:val="restart"/>
            <w:shd w:val="clear" w:color="auto" w:fill="auto"/>
            <w:vAlign w:val="center"/>
          </w:tcPr>
          <w:p w14:paraId="6F13108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序号</w:t>
            </w:r>
          </w:p>
        </w:tc>
        <w:tc>
          <w:tcPr>
            <w:tcW w:w="839" w:type="dxa"/>
            <w:vMerge w:val="restart"/>
            <w:shd w:val="clear" w:color="auto" w:fill="auto"/>
            <w:vAlign w:val="center"/>
          </w:tcPr>
          <w:p w14:paraId="6125A15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桥梁名称</w:t>
            </w:r>
          </w:p>
        </w:tc>
        <w:tc>
          <w:tcPr>
            <w:tcW w:w="886" w:type="dxa"/>
            <w:vMerge w:val="restart"/>
            <w:shd w:val="clear" w:color="auto" w:fill="auto"/>
            <w:vAlign w:val="center"/>
          </w:tcPr>
          <w:p w14:paraId="4CD7A4C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结构类型</w:t>
            </w:r>
          </w:p>
        </w:tc>
        <w:tc>
          <w:tcPr>
            <w:tcW w:w="3125" w:type="dxa"/>
            <w:shd w:val="clear" w:color="auto" w:fill="auto"/>
            <w:vAlign w:val="center"/>
          </w:tcPr>
          <w:p w14:paraId="2ACA63D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跨径布置</w:t>
            </w:r>
          </w:p>
        </w:tc>
        <w:tc>
          <w:tcPr>
            <w:tcW w:w="1006" w:type="dxa"/>
            <w:shd w:val="clear" w:color="auto" w:fill="auto"/>
            <w:vAlign w:val="center"/>
          </w:tcPr>
          <w:p w14:paraId="5EFEA2A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桥梁全长</w:t>
            </w:r>
          </w:p>
        </w:tc>
        <w:tc>
          <w:tcPr>
            <w:tcW w:w="1044" w:type="dxa"/>
            <w:shd w:val="clear" w:color="auto" w:fill="auto"/>
            <w:vAlign w:val="center"/>
          </w:tcPr>
          <w:p w14:paraId="75AC475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桥面全宽</w:t>
            </w:r>
          </w:p>
        </w:tc>
        <w:tc>
          <w:tcPr>
            <w:tcW w:w="776" w:type="dxa"/>
            <w:vMerge w:val="restart"/>
            <w:shd w:val="clear" w:color="auto" w:fill="auto"/>
            <w:vAlign w:val="center"/>
          </w:tcPr>
          <w:p w14:paraId="1234D7F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设计荷载</w:t>
            </w:r>
          </w:p>
        </w:tc>
        <w:tc>
          <w:tcPr>
            <w:tcW w:w="722" w:type="dxa"/>
            <w:vMerge w:val="restart"/>
            <w:shd w:val="clear" w:color="auto" w:fill="auto"/>
            <w:vAlign w:val="center"/>
          </w:tcPr>
          <w:p w14:paraId="2852F9B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建成年份</w:t>
            </w:r>
          </w:p>
        </w:tc>
        <w:tc>
          <w:tcPr>
            <w:tcW w:w="2550" w:type="dxa"/>
            <w:vMerge w:val="restart"/>
            <w:shd w:val="clear" w:color="auto" w:fill="auto"/>
            <w:vAlign w:val="center"/>
          </w:tcPr>
          <w:p w14:paraId="3B13D93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snapToGrid w:val="0"/>
                <w:color w:val="000000"/>
                <w:kern w:val="0"/>
                <w:sz w:val="24"/>
                <w:szCs w:val="24"/>
                <w:u w:val="none"/>
                <w:lang w:val="en-US" w:eastAsia="zh-CN" w:bidi="ar"/>
              </w:rPr>
              <w:t>检测参数</w:t>
            </w:r>
          </w:p>
        </w:tc>
        <w:tc>
          <w:tcPr>
            <w:tcW w:w="712" w:type="dxa"/>
            <w:vMerge w:val="restart"/>
            <w:shd w:val="clear" w:color="auto" w:fill="auto"/>
            <w:noWrap/>
            <w:vAlign w:val="center"/>
          </w:tcPr>
          <w:p w14:paraId="77FCD8A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备注</w:t>
            </w:r>
          </w:p>
        </w:tc>
        <w:tc>
          <w:tcPr>
            <w:tcW w:w="2817" w:type="dxa"/>
            <w:vMerge w:val="restart"/>
            <w:shd w:val="clear" w:color="auto" w:fill="auto"/>
            <w:noWrap/>
            <w:vAlign w:val="center"/>
          </w:tcPr>
          <w:p w14:paraId="52ADA8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检测依据</w:t>
            </w:r>
          </w:p>
        </w:tc>
      </w:tr>
      <w:tr w14:paraId="4E95B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0" w:hRule="atLeast"/>
          <w:jc w:val="center"/>
        </w:trPr>
        <w:tc>
          <w:tcPr>
            <w:tcW w:w="526" w:type="dxa"/>
            <w:vMerge w:val="continue"/>
            <w:shd w:val="clear" w:color="auto" w:fill="auto"/>
            <w:vAlign w:val="center"/>
          </w:tcPr>
          <w:p w14:paraId="78636C95">
            <w:pPr>
              <w:jc w:val="center"/>
              <w:rPr>
                <w:rFonts w:hint="eastAsia" w:ascii="宋体" w:hAnsi="宋体" w:eastAsia="宋体" w:cs="宋体"/>
                <w:b/>
                <w:bCs/>
                <w:i w:val="0"/>
                <w:iCs w:val="0"/>
                <w:color w:val="000000"/>
                <w:sz w:val="24"/>
                <w:szCs w:val="24"/>
                <w:u w:val="none"/>
              </w:rPr>
            </w:pPr>
          </w:p>
        </w:tc>
        <w:tc>
          <w:tcPr>
            <w:tcW w:w="839" w:type="dxa"/>
            <w:vMerge w:val="continue"/>
            <w:shd w:val="clear" w:color="auto" w:fill="auto"/>
            <w:vAlign w:val="center"/>
          </w:tcPr>
          <w:p w14:paraId="3A93E6F9">
            <w:pPr>
              <w:jc w:val="center"/>
              <w:rPr>
                <w:rFonts w:hint="eastAsia" w:ascii="宋体" w:hAnsi="宋体" w:eastAsia="宋体" w:cs="宋体"/>
                <w:b/>
                <w:bCs/>
                <w:i w:val="0"/>
                <w:iCs w:val="0"/>
                <w:color w:val="000000"/>
                <w:sz w:val="24"/>
                <w:szCs w:val="24"/>
                <w:u w:val="none"/>
              </w:rPr>
            </w:pPr>
          </w:p>
        </w:tc>
        <w:tc>
          <w:tcPr>
            <w:tcW w:w="886" w:type="dxa"/>
            <w:vMerge w:val="continue"/>
            <w:shd w:val="clear" w:color="auto" w:fill="auto"/>
            <w:vAlign w:val="center"/>
          </w:tcPr>
          <w:p w14:paraId="25BADAFE">
            <w:pPr>
              <w:jc w:val="center"/>
              <w:rPr>
                <w:rFonts w:hint="eastAsia" w:ascii="宋体" w:hAnsi="宋体" w:eastAsia="宋体" w:cs="宋体"/>
                <w:b/>
                <w:bCs/>
                <w:i w:val="0"/>
                <w:iCs w:val="0"/>
                <w:color w:val="000000"/>
                <w:sz w:val="24"/>
                <w:szCs w:val="24"/>
                <w:u w:val="none"/>
              </w:rPr>
            </w:pPr>
          </w:p>
        </w:tc>
        <w:tc>
          <w:tcPr>
            <w:tcW w:w="3125" w:type="dxa"/>
            <w:shd w:val="clear" w:color="auto" w:fill="auto"/>
            <w:vAlign w:val="center"/>
          </w:tcPr>
          <w:p w14:paraId="60E3984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10"/>
                <w:snapToGrid w:val="0"/>
                <w:color w:val="000000"/>
                <w:lang w:val="en-US" w:eastAsia="zh-CN" w:bidi="ar"/>
              </w:rPr>
              <w:t>（跨数</w:t>
            </w:r>
            <w:r>
              <w:rPr>
                <w:rStyle w:val="11"/>
                <w:rFonts w:eastAsia="宋体"/>
                <w:snapToGrid w:val="0"/>
                <w:color w:val="000000"/>
                <w:lang w:val="en-US" w:eastAsia="zh-CN" w:bidi="ar"/>
              </w:rPr>
              <w:t>×</w:t>
            </w:r>
            <w:r>
              <w:rPr>
                <w:rStyle w:val="10"/>
                <w:snapToGrid w:val="0"/>
                <w:color w:val="000000"/>
                <w:lang w:val="en-US" w:eastAsia="zh-CN" w:bidi="ar"/>
              </w:rPr>
              <w:t>跨径</w:t>
            </w:r>
            <w:r>
              <w:rPr>
                <w:rStyle w:val="11"/>
                <w:rFonts w:eastAsia="宋体"/>
                <w:snapToGrid w:val="0"/>
                <w:color w:val="000000"/>
                <w:lang w:val="en-US" w:eastAsia="zh-CN" w:bidi="ar"/>
              </w:rPr>
              <w:t>m</w:t>
            </w:r>
            <w:r>
              <w:rPr>
                <w:rStyle w:val="10"/>
                <w:snapToGrid w:val="0"/>
                <w:color w:val="000000"/>
                <w:lang w:val="en-US" w:eastAsia="zh-CN" w:bidi="ar"/>
              </w:rPr>
              <w:t>）</w:t>
            </w:r>
          </w:p>
        </w:tc>
        <w:tc>
          <w:tcPr>
            <w:tcW w:w="1006" w:type="dxa"/>
            <w:shd w:val="clear" w:color="auto" w:fill="auto"/>
            <w:vAlign w:val="center"/>
          </w:tcPr>
          <w:p w14:paraId="6F68F76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Style w:val="10"/>
                <w:snapToGrid w:val="0"/>
                <w:color w:val="000000"/>
                <w:lang w:val="en-US" w:eastAsia="zh-CN" w:bidi="ar"/>
              </w:rPr>
              <w:t>（</w:t>
            </w:r>
            <w:r>
              <w:rPr>
                <w:rStyle w:val="11"/>
                <w:rFonts w:eastAsia="宋体"/>
                <w:snapToGrid w:val="0"/>
                <w:color w:val="000000"/>
                <w:lang w:val="en-US" w:eastAsia="zh-CN" w:bidi="ar"/>
              </w:rPr>
              <w:t>m</w:t>
            </w:r>
            <w:r>
              <w:rPr>
                <w:rStyle w:val="10"/>
                <w:snapToGrid w:val="0"/>
                <w:color w:val="000000"/>
                <w:lang w:val="en-US" w:eastAsia="zh-CN" w:bidi="ar"/>
              </w:rPr>
              <w:t>）</w:t>
            </w:r>
          </w:p>
        </w:tc>
        <w:tc>
          <w:tcPr>
            <w:tcW w:w="1044" w:type="dxa"/>
            <w:shd w:val="clear" w:color="auto" w:fill="auto"/>
            <w:vAlign w:val="center"/>
          </w:tcPr>
          <w:p w14:paraId="487CA4AF">
            <w:pPr>
              <w:keepNext w:val="0"/>
              <w:keepLines w:val="0"/>
              <w:widowControl/>
              <w:suppressLineNumbers w:val="0"/>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snapToGrid w:val="0"/>
                <w:color w:val="000000"/>
                <w:kern w:val="0"/>
                <w:sz w:val="24"/>
                <w:szCs w:val="24"/>
                <w:u w:val="none"/>
                <w:lang w:val="en-US" w:eastAsia="zh-CN" w:bidi="ar"/>
              </w:rPr>
              <w:t>(m)</w:t>
            </w:r>
          </w:p>
        </w:tc>
        <w:tc>
          <w:tcPr>
            <w:tcW w:w="776" w:type="dxa"/>
            <w:vMerge w:val="continue"/>
            <w:shd w:val="clear" w:color="auto" w:fill="auto"/>
            <w:vAlign w:val="center"/>
          </w:tcPr>
          <w:p w14:paraId="1F0FD29C">
            <w:pPr>
              <w:jc w:val="center"/>
              <w:rPr>
                <w:rFonts w:hint="eastAsia" w:ascii="宋体" w:hAnsi="宋体" w:eastAsia="宋体" w:cs="宋体"/>
                <w:b/>
                <w:bCs/>
                <w:i w:val="0"/>
                <w:iCs w:val="0"/>
                <w:color w:val="000000"/>
                <w:sz w:val="24"/>
                <w:szCs w:val="24"/>
                <w:u w:val="none"/>
              </w:rPr>
            </w:pPr>
          </w:p>
        </w:tc>
        <w:tc>
          <w:tcPr>
            <w:tcW w:w="722" w:type="dxa"/>
            <w:vMerge w:val="continue"/>
            <w:shd w:val="clear" w:color="auto" w:fill="auto"/>
            <w:vAlign w:val="center"/>
          </w:tcPr>
          <w:p w14:paraId="7C19C876">
            <w:pPr>
              <w:jc w:val="center"/>
              <w:rPr>
                <w:rFonts w:hint="eastAsia" w:ascii="宋体" w:hAnsi="宋体" w:eastAsia="宋体" w:cs="宋体"/>
                <w:b/>
                <w:bCs/>
                <w:i w:val="0"/>
                <w:iCs w:val="0"/>
                <w:color w:val="000000"/>
                <w:sz w:val="24"/>
                <w:szCs w:val="24"/>
                <w:u w:val="none"/>
              </w:rPr>
            </w:pPr>
          </w:p>
        </w:tc>
        <w:tc>
          <w:tcPr>
            <w:tcW w:w="2550" w:type="dxa"/>
            <w:vMerge w:val="continue"/>
            <w:shd w:val="clear" w:color="auto" w:fill="auto"/>
            <w:vAlign w:val="center"/>
          </w:tcPr>
          <w:p w14:paraId="604CD3FD">
            <w:pPr>
              <w:jc w:val="center"/>
              <w:rPr>
                <w:rFonts w:hint="eastAsia" w:ascii="宋体" w:hAnsi="宋体" w:eastAsia="宋体" w:cs="宋体"/>
                <w:b/>
                <w:bCs/>
                <w:i w:val="0"/>
                <w:iCs w:val="0"/>
                <w:color w:val="000000"/>
                <w:sz w:val="24"/>
                <w:szCs w:val="24"/>
                <w:u w:val="none"/>
              </w:rPr>
            </w:pPr>
          </w:p>
        </w:tc>
        <w:tc>
          <w:tcPr>
            <w:tcW w:w="712" w:type="dxa"/>
            <w:vMerge w:val="continue"/>
            <w:shd w:val="clear" w:color="auto" w:fill="auto"/>
            <w:noWrap/>
            <w:vAlign w:val="center"/>
          </w:tcPr>
          <w:p w14:paraId="168902B8">
            <w:pPr>
              <w:jc w:val="center"/>
              <w:rPr>
                <w:rFonts w:hint="eastAsia" w:ascii="宋体" w:hAnsi="宋体" w:eastAsia="宋体" w:cs="宋体"/>
                <w:b/>
                <w:bCs/>
                <w:i w:val="0"/>
                <w:iCs w:val="0"/>
                <w:color w:val="000000"/>
                <w:sz w:val="22"/>
                <w:szCs w:val="22"/>
                <w:u w:val="none"/>
              </w:rPr>
            </w:pPr>
          </w:p>
        </w:tc>
        <w:tc>
          <w:tcPr>
            <w:tcW w:w="2817" w:type="dxa"/>
            <w:vMerge w:val="continue"/>
            <w:shd w:val="clear" w:color="auto" w:fill="auto"/>
            <w:noWrap/>
            <w:vAlign w:val="center"/>
          </w:tcPr>
          <w:p w14:paraId="75DA42DD">
            <w:pPr>
              <w:jc w:val="center"/>
              <w:rPr>
                <w:rFonts w:hint="eastAsia" w:ascii="宋体" w:hAnsi="宋体" w:eastAsia="宋体" w:cs="宋体"/>
                <w:i w:val="0"/>
                <w:iCs w:val="0"/>
                <w:color w:val="000000"/>
                <w:sz w:val="22"/>
                <w:szCs w:val="22"/>
                <w:u w:val="none"/>
              </w:rPr>
            </w:pPr>
          </w:p>
        </w:tc>
      </w:tr>
      <w:tr w14:paraId="36DF3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430" w:hRule="atLeast"/>
          <w:jc w:val="center"/>
        </w:trPr>
        <w:tc>
          <w:tcPr>
            <w:tcW w:w="526" w:type="dxa"/>
            <w:shd w:val="clear" w:color="auto" w:fill="auto"/>
            <w:vAlign w:val="center"/>
          </w:tcPr>
          <w:p w14:paraId="7BAEDC9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 </w:t>
            </w:r>
          </w:p>
        </w:tc>
        <w:tc>
          <w:tcPr>
            <w:tcW w:w="839" w:type="dxa"/>
            <w:shd w:val="clear" w:color="auto" w:fill="auto"/>
            <w:vAlign w:val="center"/>
          </w:tcPr>
          <w:p w14:paraId="60A747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贵溪大桥</w:t>
            </w:r>
          </w:p>
        </w:tc>
        <w:tc>
          <w:tcPr>
            <w:tcW w:w="886" w:type="dxa"/>
            <w:shd w:val="clear" w:color="auto" w:fill="auto"/>
            <w:vAlign w:val="center"/>
          </w:tcPr>
          <w:p w14:paraId="7F2E4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独塔无背索单索面混合梁斜拉桥</w:t>
            </w:r>
          </w:p>
        </w:tc>
        <w:tc>
          <w:tcPr>
            <w:tcW w:w="3125" w:type="dxa"/>
            <w:shd w:val="clear" w:color="auto" w:fill="auto"/>
            <w:vAlign w:val="center"/>
          </w:tcPr>
          <w:p w14:paraId="3D5281D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209.601m+50m+40m+4×30m</w:t>
            </w:r>
          </w:p>
        </w:tc>
        <w:tc>
          <w:tcPr>
            <w:tcW w:w="1006" w:type="dxa"/>
            <w:shd w:val="clear" w:color="auto" w:fill="auto"/>
            <w:vAlign w:val="center"/>
          </w:tcPr>
          <w:p w14:paraId="1753F64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439.057</w:t>
            </w:r>
          </w:p>
        </w:tc>
        <w:tc>
          <w:tcPr>
            <w:tcW w:w="1044" w:type="dxa"/>
            <w:shd w:val="clear" w:color="auto" w:fill="auto"/>
            <w:vAlign w:val="center"/>
          </w:tcPr>
          <w:p w14:paraId="35F6CB65">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34</w:t>
            </w:r>
            <w:r>
              <w:rPr>
                <w:rStyle w:val="13"/>
                <w:snapToGrid w:val="0"/>
                <w:color w:val="000000"/>
                <w:lang w:val="en-US" w:eastAsia="zh-CN" w:bidi="ar"/>
              </w:rPr>
              <w:t>、</w:t>
            </w:r>
            <w:r>
              <w:rPr>
                <w:rStyle w:val="12"/>
                <w:rFonts w:eastAsia="宋体"/>
                <w:snapToGrid w:val="0"/>
                <w:color w:val="000000"/>
                <w:lang w:val="en-US" w:eastAsia="zh-CN" w:bidi="ar"/>
              </w:rPr>
              <w:t>28</w:t>
            </w:r>
            <w:r>
              <w:rPr>
                <w:rStyle w:val="13"/>
                <w:snapToGrid w:val="0"/>
                <w:color w:val="000000"/>
                <w:lang w:val="en-US" w:eastAsia="zh-CN" w:bidi="ar"/>
              </w:rPr>
              <w:t>、</w:t>
            </w:r>
            <w:r>
              <w:rPr>
                <w:rStyle w:val="12"/>
                <w:rFonts w:eastAsia="宋体"/>
                <w:snapToGrid w:val="0"/>
                <w:color w:val="000000"/>
                <w:lang w:val="en-US" w:eastAsia="zh-CN" w:bidi="ar"/>
              </w:rPr>
              <w:t>26.5</w:t>
            </w:r>
          </w:p>
        </w:tc>
        <w:tc>
          <w:tcPr>
            <w:tcW w:w="776" w:type="dxa"/>
            <w:shd w:val="clear" w:color="auto" w:fill="auto"/>
            <w:vAlign w:val="center"/>
          </w:tcPr>
          <w:p w14:paraId="58578B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公路</w:t>
            </w:r>
            <w:r>
              <w:rPr>
                <w:rStyle w:val="12"/>
                <w:rFonts w:eastAsia="宋体"/>
                <w:snapToGrid w:val="0"/>
                <w:color w:val="000000"/>
                <w:lang w:val="en-US" w:eastAsia="zh-CN" w:bidi="ar"/>
              </w:rPr>
              <w:t>-I</w:t>
            </w:r>
            <w:r>
              <w:rPr>
                <w:rStyle w:val="13"/>
                <w:snapToGrid w:val="0"/>
                <w:color w:val="000000"/>
                <w:lang w:val="en-US" w:eastAsia="zh-CN" w:bidi="ar"/>
              </w:rPr>
              <w:t>级</w:t>
            </w:r>
          </w:p>
        </w:tc>
        <w:tc>
          <w:tcPr>
            <w:tcW w:w="722" w:type="dxa"/>
            <w:shd w:val="clear" w:color="auto" w:fill="auto"/>
            <w:vAlign w:val="center"/>
          </w:tcPr>
          <w:p w14:paraId="392CFF6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2008</w:t>
            </w:r>
            <w:r>
              <w:rPr>
                <w:rStyle w:val="13"/>
                <w:snapToGrid w:val="0"/>
                <w:color w:val="000000"/>
                <w:lang w:val="en-US" w:eastAsia="zh-CN" w:bidi="ar"/>
              </w:rPr>
              <w:t>年</w:t>
            </w:r>
          </w:p>
        </w:tc>
        <w:tc>
          <w:tcPr>
            <w:tcW w:w="2550" w:type="dxa"/>
            <w:shd w:val="clear" w:color="auto" w:fill="auto"/>
            <w:vAlign w:val="center"/>
          </w:tcPr>
          <w:p w14:paraId="4095C2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塔、斜拉索系统、主梁等）、下部结构（含水下部分）（支座、盖梁、墩身、台身、台帽、基础、翼墙、护坡及河床冲刷情况等）、桥面系（桥面铺装、排水系统、伸缩装置、人行道、栏杆等）的外观缺陷检测，对桥梁永久观测点进行复核，对桥面高程及线形、索塔偏位，墩台变位等检测指标进行量测，斜拉索索力检测，混凝土碳化深度、钢筋锈蚀检测以及全桥的技术状况评定</w:t>
            </w:r>
          </w:p>
        </w:tc>
        <w:tc>
          <w:tcPr>
            <w:tcW w:w="712" w:type="dxa"/>
            <w:shd w:val="clear" w:color="auto" w:fill="auto"/>
            <w:vAlign w:val="center"/>
          </w:tcPr>
          <w:p w14:paraId="456731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restart"/>
            <w:shd w:val="clear" w:color="auto" w:fill="auto"/>
            <w:vAlign w:val="center"/>
          </w:tcPr>
          <w:p w14:paraId="6BA310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城市桥梁养护技术标准》(CJJ99-2017)、《城市桥梁检测与评定技术规范》(CJJ/T233-2015)、《公路桥梁技术状况评定标准》(JTG/TH21-2011)、《混凝土中钢筋检测技术规程》(JGJ/T152-2008)、《回弹法检测混凝土抗压强度技术规程》(JGJ/T23-2011)、《工程测量标准》（GB50026-2020）等</w:t>
            </w:r>
          </w:p>
        </w:tc>
      </w:tr>
      <w:tr w14:paraId="1374D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620" w:hRule="atLeast"/>
          <w:jc w:val="center"/>
        </w:trPr>
        <w:tc>
          <w:tcPr>
            <w:tcW w:w="526" w:type="dxa"/>
            <w:shd w:val="clear" w:color="auto" w:fill="auto"/>
            <w:vAlign w:val="center"/>
          </w:tcPr>
          <w:p w14:paraId="4CC19F0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2. </w:t>
            </w:r>
          </w:p>
        </w:tc>
        <w:tc>
          <w:tcPr>
            <w:tcW w:w="839" w:type="dxa"/>
            <w:shd w:val="clear" w:color="auto" w:fill="auto"/>
            <w:vAlign w:val="center"/>
          </w:tcPr>
          <w:p w14:paraId="22B0D8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信江大桥</w:t>
            </w:r>
          </w:p>
        </w:tc>
        <w:tc>
          <w:tcPr>
            <w:tcW w:w="886" w:type="dxa"/>
            <w:shd w:val="clear" w:color="auto" w:fill="auto"/>
            <w:vAlign w:val="center"/>
          </w:tcPr>
          <w:p w14:paraId="4A40E7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双曲拱桥、槽形肋拱、</w:t>
            </w:r>
            <w:r>
              <w:rPr>
                <w:rStyle w:val="12"/>
                <w:rFonts w:eastAsia="宋体"/>
                <w:snapToGrid w:val="0"/>
                <w:color w:val="000000"/>
                <w:lang w:val="en-US" w:eastAsia="zh-CN" w:bidi="ar"/>
              </w:rPr>
              <w:t>T</w:t>
            </w:r>
            <w:r>
              <w:rPr>
                <w:rStyle w:val="13"/>
                <w:snapToGrid w:val="0"/>
                <w:color w:val="000000"/>
                <w:lang w:val="en-US" w:eastAsia="zh-CN" w:bidi="ar"/>
              </w:rPr>
              <w:t>梁</w:t>
            </w:r>
          </w:p>
        </w:tc>
        <w:tc>
          <w:tcPr>
            <w:tcW w:w="3125" w:type="dxa"/>
            <w:shd w:val="clear" w:color="auto" w:fill="auto"/>
            <w:vAlign w:val="center"/>
          </w:tcPr>
          <w:p w14:paraId="5DBEC69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2×25+9×40+1×20</w:t>
            </w:r>
          </w:p>
        </w:tc>
        <w:tc>
          <w:tcPr>
            <w:tcW w:w="1006" w:type="dxa"/>
            <w:shd w:val="clear" w:color="auto" w:fill="auto"/>
            <w:vAlign w:val="center"/>
          </w:tcPr>
          <w:p w14:paraId="2CEBA9E6">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514.09</w:t>
            </w:r>
          </w:p>
        </w:tc>
        <w:tc>
          <w:tcPr>
            <w:tcW w:w="1044" w:type="dxa"/>
            <w:shd w:val="clear" w:color="auto" w:fill="auto"/>
            <w:vAlign w:val="center"/>
          </w:tcPr>
          <w:p w14:paraId="44C7468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15.6</w:t>
            </w:r>
          </w:p>
        </w:tc>
        <w:tc>
          <w:tcPr>
            <w:tcW w:w="776" w:type="dxa"/>
            <w:shd w:val="clear" w:color="auto" w:fill="auto"/>
            <w:vAlign w:val="center"/>
          </w:tcPr>
          <w:p w14:paraId="10626E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汽</w:t>
            </w:r>
            <w:r>
              <w:rPr>
                <w:rStyle w:val="12"/>
                <w:rFonts w:eastAsia="宋体"/>
                <w:snapToGrid w:val="0"/>
                <w:color w:val="000000"/>
                <w:lang w:val="en-US" w:eastAsia="zh-CN" w:bidi="ar"/>
              </w:rPr>
              <w:t>-20</w:t>
            </w:r>
            <w:r>
              <w:rPr>
                <w:rStyle w:val="13"/>
                <w:snapToGrid w:val="0"/>
                <w:color w:val="000000"/>
                <w:lang w:val="en-US" w:eastAsia="zh-CN" w:bidi="ar"/>
              </w:rPr>
              <w:t>、挂</w:t>
            </w:r>
            <w:r>
              <w:rPr>
                <w:rStyle w:val="12"/>
                <w:rFonts w:eastAsia="宋体"/>
                <w:snapToGrid w:val="0"/>
                <w:color w:val="000000"/>
                <w:lang w:val="en-US" w:eastAsia="zh-CN" w:bidi="ar"/>
              </w:rPr>
              <w:t>-100</w:t>
            </w:r>
          </w:p>
        </w:tc>
        <w:tc>
          <w:tcPr>
            <w:tcW w:w="722" w:type="dxa"/>
            <w:shd w:val="clear" w:color="auto" w:fill="auto"/>
            <w:vAlign w:val="center"/>
          </w:tcPr>
          <w:p w14:paraId="73237CB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1980</w:t>
            </w:r>
            <w:r>
              <w:rPr>
                <w:rStyle w:val="13"/>
                <w:snapToGrid w:val="0"/>
                <w:color w:val="000000"/>
                <w:lang w:val="en-US" w:eastAsia="zh-CN" w:bidi="ar"/>
              </w:rPr>
              <w:t>年</w:t>
            </w:r>
          </w:p>
        </w:tc>
        <w:tc>
          <w:tcPr>
            <w:tcW w:w="2550" w:type="dxa"/>
            <w:shd w:val="clear" w:color="auto" w:fill="auto"/>
            <w:vAlign w:val="center"/>
          </w:tcPr>
          <w:p w14:paraId="7DC396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拱肋、主梁、横向联系等）、下部结构（含水下部分）（支座、盖梁、墩身、台身、台帽、基础、翼墙、护坡及河床冲刷情况等）、桥面系（桥面铺装、排水系统、伸缩装置、人行道、栏杆等）的外观缺陷检测， 混凝土碳化深度、钢筋锈蚀检测以及全桥的技术状况评定</w:t>
            </w:r>
          </w:p>
        </w:tc>
        <w:tc>
          <w:tcPr>
            <w:tcW w:w="712" w:type="dxa"/>
            <w:shd w:val="clear" w:color="auto" w:fill="auto"/>
            <w:vAlign w:val="center"/>
          </w:tcPr>
          <w:p w14:paraId="26C54F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217738FB">
            <w:pPr>
              <w:jc w:val="center"/>
              <w:rPr>
                <w:rFonts w:hint="eastAsia" w:ascii="宋体" w:hAnsi="宋体" w:eastAsia="宋体" w:cs="宋体"/>
                <w:i w:val="0"/>
                <w:iCs w:val="0"/>
                <w:color w:val="000000"/>
                <w:sz w:val="22"/>
                <w:szCs w:val="22"/>
                <w:u w:val="none"/>
              </w:rPr>
            </w:pPr>
          </w:p>
        </w:tc>
      </w:tr>
      <w:tr w14:paraId="6C91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620" w:hRule="atLeast"/>
          <w:jc w:val="center"/>
        </w:trPr>
        <w:tc>
          <w:tcPr>
            <w:tcW w:w="526" w:type="dxa"/>
            <w:shd w:val="clear" w:color="auto" w:fill="auto"/>
            <w:vAlign w:val="center"/>
          </w:tcPr>
          <w:p w14:paraId="168F6A0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3. </w:t>
            </w:r>
          </w:p>
        </w:tc>
        <w:tc>
          <w:tcPr>
            <w:tcW w:w="839" w:type="dxa"/>
            <w:shd w:val="clear" w:color="auto" w:fill="auto"/>
            <w:vAlign w:val="center"/>
          </w:tcPr>
          <w:p w14:paraId="54D074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左家大桥</w:t>
            </w:r>
          </w:p>
        </w:tc>
        <w:tc>
          <w:tcPr>
            <w:tcW w:w="886" w:type="dxa"/>
            <w:shd w:val="clear" w:color="auto" w:fill="auto"/>
            <w:vAlign w:val="center"/>
          </w:tcPr>
          <w:p w14:paraId="5880D5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连续预应力混凝土小箱梁</w:t>
            </w:r>
          </w:p>
        </w:tc>
        <w:tc>
          <w:tcPr>
            <w:tcW w:w="3125" w:type="dxa"/>
            <w:shd w:val="clear" w:color="auto" w:fill="auto"/>
            <w:vAlign w:val="center"/>
          </w:tcPr>
          <w:p w14:paraId="3B28E31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6×20m+6×20m</w:t>
            </w:r>
          </w:p>
        </w:tc>
        <w:tc>
          <w:tcPr>
            <w:tcW w:w="1006" w:type="dxa"/>
            <w:shd w:val="clear" w:color="auto" w:fill="auto"/>
            <w:vAlign w:val="center"/>
          </w:tcPr>
          <w:p w14:paraId="0CB1265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256</w:t>
            </w:r>
          </w:p>
        </w:tc>
        <w:tc>
          <w:tcPr>
            <w:tcW w:w="1044" w:type="dxa"/>
            <w:shd w:val="clear" w:color="auto" w:fill="auto"/>
            <w:vAlign w:val="center"/>
          </w:tcPr>
          <w:p w14:paraId="68B7C24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2×12.00</w:t>
            </w:r>
          </w:p>
        </w:tc>
        <w:tc>
          <w:tcPr>
            <w:tcW w:w="776" w:type="dxa"/>
            <w:shd w:val="clear" w:color="auto" w:fill="auto"/>
            <w:vAlign w:val="center"/>
          </w:tcPr>
          <w:p w14:paraId="1160449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722" w:type="dxa"/>
            <w:shd w:val="clear" w:color="auto" w:fill="auto"/>
            <w:vAlign w:val="center"/>
          </w:tcPr>
          <w:p w14:paraId="5D15909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550" w:type="dxa"/>
            <w:shd w:val="clear" w:color="auto" w:fill="auto"/>
            <w:vAlign w:val="center"/>
          </w:tcPr>
          <w:p w14:paraId="24C92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含水下部分）（支座、盖梁、墩身、台身、台帽、基础、翼墙、护坡及河床冲刷情况等）、桥面系（桥面铺装、排水系统、伸缩装置、人行道、栏杆等）的外观缺陷检测， 混凝土碳化深度、钢筋锈蚀检测以及全桥的技术状况评定</w:t>
            </w:r>
          </w:p>
        </w:tc>
        <w:tc>
          <w:tcPr>
            <w:tcW w:w="712" w:type="dxa"/>
            <w:shd w:val="clear" w:color="auto" w:fill="auto"/>
            <w:vAlign w:val="center"/>
          </w:tcPr>
          <w:p w14:paraId="56E4ED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672B39B6">
            <w:pPr>
              <w:jc w:val="center"/>
              <w:rPr>
                <w:rFonts w:hint="eastAsia" w:ascii="宋体" w:hAnsi="宋体" w:eastAsia="宋体" w:cs="宋体"/>
                <w:i w:val="0"/>
                <w:iCs w:val="0"/>
                <w:color w:val="000000"/>
                <w:sz w:val="22"/>
                <w:szCs w:val="22"/>
                <w:u w:val="none"/>
              </w:rPr>
            </w:pPr>
          </w:p>
        </w:tc>
      </w:tr>
      <w:tr w14:paraId="0287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890" w:hRule="atLeast"/>
          <w:jc w:val="center"/>
        </w:trPr>
        <w:tc>
          <w:tcPr>
            <w:tcW w:w="526" w:type="dxa"/>
            <w:shd w:val="clear" w:color="auto" w:fill="auto"/>
            <w:vAlign w:val="center"/>
          </w:tcPr>
          <w:p w14:paraId="1FC81BD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4. </w:t>
            </w:r>
          </w:p>
        </w:tc>
        <w:tc>
          <w:tcPr>
            <w:tcW w:w="839" w:type="dxa"/>
            <w:shd w:val="clear" w:color="auto" w:fill="auto"/>
            <w:vAlign w:val="center"/>
          </w:tcPr>
          <w:p w14:paraId="4908C5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铜都大桥</w:t>
            </w:r>
          </w:p>
        </w:tc>
        <w:tc>
          <w:tcPr>
            <w:tcW w:w="886" w:type="dxa"/>
            <w:shd w:val="clear" w:color="auto" w:fill="auto"/>
            <w:vAlign w:val="center"/>
          </w:tcPr>
          <w:p w14:paraId="4385D1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先简支后连续小箱梁</w:t>
            </w:r>
            <w:r>
              <w:rPr>
                <w:rStyle w:val="12"/>
                <w:rFonts w:eastAsia="宋体"/>
                <w:snapToGrid w:val="0"/>
                <w:color w:val="000000"/>
                <w:lang w:val="en-US" w:eastAsia="zh-CN" w:bidi="ar"/>
              </w:rPr>
              <w:t>+</w:t>
            </w:r>
            <w:r>
              <w:rPr>
                <w:rStyle w:val="13"/>
                <w:snapToGrid w:val="0"/>
                <w:color w:val="000000"/>
                <w:lang w:val="en-US" w:eastAsia="zh-CN" w:bidi="ar"/>
              </w:rPr>
              <w:t>变截面连续箱梁</w:t>
            </w:r>
          </w:p>
        </w:tc>
        <w:tc>
          <w:tcPr>
            <w:tcW w:w="3125" w:type="dxa"/>
            <w:shd w:val="clear" w:color="auto" w:fill="auto"/>
            <w:vAlign w:val="center"/>
          </w:tcPr>
          <w:p w14:paraId="790E96C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7×30+40+2×70+40+3×30m</w:t>
            </w:r>
          </w:p>
        </w:tc>
        <w:tc>
          <w:tcPr>
            <w:tcW w:w="1006" w:type="dxa"/>
            <w:shd w:val="clear" w:color="auto" w:fill="auto"/>
            <w:vAlign w:val="center"/>
          </w:tcPr>
          <w:p w14:paraId="413DDEF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540.5</w:t>
            </w:r>
          </w:p>
        </w:tc>
        <w:tc>
          <w:tcPr>
            <w:tcW w:w="1044" w:type="dxa"/>
            <w:shd w:val="clear" w:color="auto" w:fill="auto"/>
            <w:vAlign w:val="center"/>
          </w:tcPr>
          <w:p w14:paraId="6FF2055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26.7</w:t>
            </w:r>
          </w:p>
        </w:tc>
        <w:tc>
          <w:tcPr>
            <w:tcW w:w="776" w:type="dxa"/>
            <w:shd w:val="clear" w:color="auto" w:fill="auto"/>
            <w:vAlign w:val="center"/>
          </w:tcPr>
          <w:p w14:paraId="75DCBC77">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722" w:type="dxa"/>
            <w:shd w:val="clear" w:color="auto" w:fill="auto"/>
            <w:vAlign w:val="center"/>
          </w:tcPr>
          <w:p w14:paraId="42F696C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550" w:type="dxa"/>
            <w:shd w:val="clear" w:color="auto" w:fill="auto"/>
            <w:vAlign w:val="center"/>
          </w:tcPr>
          <w:p w14:paraId="5793DD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含水下部分）（支座、盖梁、墩身、台身、台帽、基础、翼墙、护坡及河床冲刷情况等）、桥面系（桥面铺装、排水系统、伸缩装置、人行道、栏杆等）的外观缺陷检测，对桥梁永久观测点进行复核，桥面线形及墩台变位情况检测，混凝土碳化深度、钢筋锈蚀检测以及全桥的技术状况评定</w:t>
            </w:r>
          </w:p>
        </w:tc>
        <w:tc>
          <w:tcPr>
            <w:tcW w:w="712" w:type="dxa"/>
            <w:shd w:val="clear" w:color="auto" w:fill="auto"/>
            <w:vAlign w:val="center"/>
          </w:tcPr>
          <w:p w14:paraId="2E9E66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644B815D">
            <w:pPr>
              <w:jc w:val="center"/>
              <w:rPr>
                <w:rFonts w:hint="eastAsia" w:ascii="宋体" w:hAnsi="宋体" w:eastAsia="宋体" w:cs="宋体"/>
                <w:i w:val="0"/>
                <w:iCs w:val="0"/>
                <w:color w:val="000000"/>
                <w:sz w:val="22"/>
                <w:szCs w:val="22"/>
                <w:u w:val="none"/>
              </w:rPr>
            </w:pPr>
          </w:p>
        </w:tc>
      </w:tr>
      <w:tr w14:paraId="24CC8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688DBDC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5. </w:t>
            </w:r>
          </w:p>
        </w:tc>
        <w:tc>
          <w:tcPr>
            <w:tcW w:w="839" w:type="dxa"/>
            <w:shd w:val="clear" w:color="auto" w:fill="auto"/>
            <w:vAlign w:val="center"/>
          </w:tcPr>
          <w:p w14:paraId="655CB9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贵溪大道公跨铁路桥</w:t>
            </w:r>
          </w:p>
        </w:tc>
        <w:tc>
          <w:tcPr>
            <w:tcW w:w="886" w:type="dxa"/>
            <w:shd w:val="clear" w:color="auto" w:fill="auto"/>
            <w:vAlign w:val="center"/>
          </w:tcPr>
          <w:p w14:paraId="59DCA7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简支箱梁</w:t>
            </w:r>
          </w:p>
        </w:tc>
        <w:tc>
          <w:tcPr>
            <w:tcW w:w="3125" w:type="dxa"/>
            <w:shd w:val="clear" w:color="auto" w:fill="auto"/>
            <w:vAlign w:val="center"/>
          </w:tcPr>
          <w:p w14:paraId="1547C97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10×40</w:t>
            </w:r>
          </w:p>
        </w:tc>
        <w:tc>
          <w:tcPr>
            <w:tcW w:w="1006" w:type="dxa"/>
            <w:shd w:val="clear" w:color="auto" w:fill="auto"/>
            <w:vAlign w:val="center"/>
          </w:tcPr>
          <w:p w14:paraId="698259D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408.08</w:t>
            </w:r>
          </w:p>
        </w:tc>
        <w:tc>
          <w:tcPr>
            <w:tcW w:w="1044" w:type="dxa"/>
            <w:shd w:val="clear" w:color="auto" w:fill="auto"/>
            <w:vAlign w:val="center"/>
          </w:tcPr>
          <w:p w14:paraId="5AC00A1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26</w:t>
            </w:r>
          </w:p>
        </w:tc>
        <w:tc>
          <w:tcPr>
            <w:tcW w:w="776" w:type="dxa"/>
            <w:shd w:val="clear" w:color="auto" w:fill="auto"/>
            <w:vAlign w:val="center"/>
          </w:tcPr>
          <w:p w14:paraId="11779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汽</w:t>
            </w:r>
            <w:r>
              <w:rPr>
                <w:rStyle w:val="12"/>
                <w:rFonts w:eastAsia="宋体"/>
                <w:snapToGrid w:val="0"/>
                <w:color w:val="000000"/>
                <w:lang w:val="en-US" w:eastAsia="zh-CN" w:bidi="ar"/>
              </w:rPr>
              <w:t>-</w:t>
            </w:r>
            <w:r>
              <w:rPr>
                <w:rStyle w:val="13"/>
                <w:snapToGrid w:val="0"/>
                <w:color w:val="000000"/>
                <w:lang w:val="en-US" w:eastAsia="zh-CN" w:bidi="ar"/>
              </w:rPr>
              <w:t>超</w:t>
            </w:r>
            <w:r>
              <w:rPr>
                <w:rStyle w:val="12"/>
                <w:rFonts w:eastAsia="宋体"/>
                <w:snapToGrid w:val="0"/>
                <w:color w:val="000000"/>
                <w:lang w:val="en-US" w:eastAsia="zh-CN" w:bidi="ar"/>
              </w:rPr>
              <w:t>20</w:t>
            </w:r>
            <w:r>
              <w:rPr>
                <w:rStyle w:val="13"/>
                <w:snapToGrid w:val="0"/>
                <w:color w:val="000000"/>
                <w:lang w:val="en-US" w:eastAsia="zh-CN" w:bidi="ar"/>
              </w:rPr>
              <w:t>、挂</w:t>
            </w:r>
            <w:r>
              <w:rPr>
                <w:rStyle w:val="12"/>
                <w:rFonts w:eastAsia="宋体"/>
                <w:snapToGrid w:val="0"/>
                <w:color w:val="000000"/>
                <w:lang w:val="en-US" w:eastAsia="zh-CN" w:bidi="ar"/>
              </w:rPr>
              <w:t>-120</w:t>
            </w:r>
            <w:r>
              <w:rPr>
                <w:rStyle w:val="13"/>
                <w:snapToGrid w:val="0"/>
                <w:color w:val="000000"/>
                <w:lang w:val="en-US" w:eastAsia="zh-CN" w:bidi="ar"/>
              </w:rPr>
              <w:t>级</w:t>
            </w:r>
          </w:p>
        </w:tc>
        <w:tc>
          <w:tcPr>
            <w:tcW w:w="722" w:type="dxa"/>
            <w:shd w:val="clear" w:color="auto" w:fill="auto"/>
            <w:vAlign w:val="center"/>
          </w:tcPr>
          <w:p w14:paraId="48A8DBD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2008</w:t>
            </w:r>
            <w:r>
              <w:rPr>
                <w:rStyle w:val="13"/>
                <w:snapToGrid w:val="0"/>
                <w:color w:val="000000"/>
                <w:lang w:val="en-US" w:eastAsia="zh-CN" w:bidi="ar"/>
              </w:rPr>
              <w:t>年</w:t>
            </w:r>
          </w:p>
        </w:tc>
        <w:tc>
          <w:tcPr>
            <w:tcW w:w="2550" w:type="dxa"/>
            <w:shd w:val="clear" w:color="auto" w:fill="auto"/>
            <w:vAlign w:val="center"/>
          </w:tcPr>
          <w:p w14:paraId="5F3C8D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35A081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1483DF6D">
            <w:pPr>
              <w:jc w:val="center"/>
              <w:rPr>
                <w:rFonts w:hint="eastAsia" w:ascii="宋体" w:hAnsi="宋体" w:eastAsia="宋体" w:cs="宋体"/>
                <w:i w:val="0"/>
                <w:iCs w:val="0"/>
                <w:color w:val="000000"/>
                <w:sz w:val="22"/>
                <w:szCs w:val="22"/>
                <w:u w:val="none"/>
              </w:rPr>
            </w:pPr>
          </w:p>
        </w:tc>
      </w:tr>
      <w:tr w14:paraId="08A13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7782E9D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6. </w:t>
            </w:r>
          </w:p>
        </w:tc>
        <w:tc>
          <w:tcPr>
            <w:tcW w:w="839" w:type="dxa"/>
            <w:shd w:val="clear" w:color="auto" w:fill="auto"/>
            <w:vAlign w:val="center"/>
          </w:tcPr>
          <w:p w14:paraId="5897C2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柏里大道跨线桥</w:t>
            </w:r>
          </w:p>
        </w:tc>
        <w:tc>
          <w:tcPr>
            <w:tcW w:w="886" w:type="dxa"/>
            <w:shd w:val="clear" w:color="auto" w:fill="auto"/>
            <w:vAlign w:val="center"/>
          </w:tcPr>
          <w:p w14:paraId="39EF58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整体现浇箱梁</w:t>
            </w:r>
          </w:p>
        </w:tc>
        <w:tc>
          <w:tcPr>
            <w:tcW w:w="3125" w:type="dxa"/>
            <w:shd w:val="clear" w:color="auto" w:fill="auto"/>
            <w:vAlign w:val="center"/>
          </w:tcPr>
          <w:p w14:paraId="222C095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1×40</w:t>
            </w:r>
          </w:p>
        </w:tc>
        <w:tc>
          <w:tcPr>
            <w:tcW w:w="1006" w:type="dxa"/>
            <w:shd w:val="clear" w:color="auto" w:fill="auto"/>
            <w:vAlign w:val="center"/>
          </w:tcPr>
          <w:p w14:paraId="1E130D52">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53.54</w:t>
            </w:r>
          </w:p>
        </w:tc>
        <w:tc>
          <w:tcPr>
            <w:tcW w:w="1044" w:type="dxa"/>
            <w:shd w:val="clear" w:color="auto" w:fill="auto"/>
            <w:vAlign w:val="center"/>
          </w:tcPr>
          <w:p w14:paraId="26B6F8F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32</w:t>
            </w:r>
          </w:p>
        </w:tc>
        <w:tc>
          <w:tcPr>
            <w:tcW w:w="776" w:type="dxa"/>
            <w:shd w:val="clear" w:color="auto" w:fill="auto"/>
            <w:vAlign w:val="center"/>
          </w:tcPr>
          <w:p w14:paraId="311F8B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城市</w:t>
            </w:r>
            <w:r>
              <w:rPr>
                <w:rStyle w:val="12"/>
                <w:rFonts w:eastAsia="宋体"/>
                <w:snapToGrid w:val="0"/>
                <w:color w:val="000000"/>
                <w:lang w:val="en-US" w:eastAsia="zh-CN" w:bidi="ar"/>
              </w:rPr>
              <w:t>-A</w:t>
            </w:r>
            <w:r>
              <w:rPr>
                <w:rStyle w:val="13"/>
                <w:snapToGrid w:val="0"/>
                <w:color w:val="000000"/>
                <w:lang w:val="en-US" w:eastAsia="zh-CN" w:bidi="ar"/>
              </w:rPr>
              <w:t>级</w:t>
            </w:r>
          </w:p>
        </w:tc>
        <w:tc>
          <w:tcPr>
            <w:tcW w:w="722" w:type="dxa"/>
            <w:shd w:val="clear" w:color="auto" w:fill="auto"/>
            <w:vAlign w:val="center"/>
          </w:tcPr>
          <w:p w14:paraId="383A8B1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2008</w:t>
            </w:r>
            <w:r>
              <w:rPr>
                <w:rStyle w:val="13"/>
                <w:snapToGrid w:val="0"/>
                <w:color w:val="000000"/>
                <w:lang w:val="en-US" w:eastAsia="zh-CN" w:bidi="ar"/>
              </w:rPr>
              <w:t>年</w:t>
            </w:r>
          </w:p>
        </w:tc>
        <w:tc>
          <w:tcPr>
            <w:tcW w:w="2550" w:type="dxa"/>
            <w:shd w:val="clear" w:color="auto" w:fill="auto"/>
            <w:vAlign w:val="center"/>
          </w:tcPr>
          <w:p w14:paraId="742533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404804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2C8F03E9">
            <w:pPr>
              <w:jc w:val="center"/>
              <w:rPr>
                <w:rFonts w:hint="eastAsia" w:ascii="宋体" w:hAnsi="宋体" w:eastAsia="宋体" w:cs="宋体"/>
                <w:i w:val="0"/>
                <w:iCs w:val="0"/>
                <w:color w:val="000000"/>
                <w:sz w:val="22"/>
                <w:szCs w:val="22"/>
                <w:u w:val="none"/>
              </w:rPr>
            </w:pPr>
          </w:p>
        </w:tc>
      </w:tr>
      <w:tr w14:paraId="486B4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2E56FF2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7. </w:t>
            </w:r>
          </w:p>
        </w:tc>
        <w:tc>
          <w:tcPr>
            <w:tcW w:w="839" w:type="dxa"/>
            <w:shd w:val="clear" w:color="auto" w:fill="auto"/>
            <w:vAlign w:val="center"/>
          </w:tcPr>
          <w:p w14:paraId="7E6830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东门路桥</w:t>
            </w:r>
          </w:p>
        </w:tc>
        <w:tc>
          <w:tcPr>
            <w:tcW w:w="886" w:type="dxa"/>
            <w:shd w:val="clear" w:color="auto" w:fill="auto"/>
            <w:vAlign w:val="center"/>
          </w:tcPr>
          <w:p w14:paraId="054EAE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01EEC43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1×20</w:t>
            </w:r>
          </w:p>
        </w:tc>
        <w:tc>
          <w:tcPr>
            <w:tcW w:w="1006" w:type="dxa"/>
            <w:shd w:val="clear" w:color="auto" w:fill="auto"/>
            <w:vAlign w:val="center"/>
          </w:tcPr>
          <w:p w14:paraId="0E380F3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34.04</w:t>
            </w:r>
          </w:p>
        </w:tc>
        <w:tc>
          <w:tcPr>
            <w:tcW w:w="1044" w:type="dxa"/>
            <w:shd w:val="clear" w:color="auto" w:fill="auto"/>
            <w:vAlign w:val="center"/>
          </w:tcPr>
          <w:p w14:paraId="6F06715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38</w:t>
            </w:r>
          </w:p>
        </w:tc>
        <w:tc>
          <w:tcPr>
            <w:tcW w:w="776" w:type="dxa"/>
            <w:shd w:val="clear" w:color="auto" w:fill="auto"/>
            <w:vAlign w:val="center"/>
          </w:tcPr>
          <w:p w14:paraId="56982F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公路</w:t>
            </w:r>
            <w:r>
              <w:rPr>
                <w:rStyle w:val="12"/>
                <w:rFonts w:eastAsia="宋体"/>
                <w:snapToGrid w:val="0"/>
                <w:color w:val="000000"/>
                <w:lang w:val="en-US" w:eastAsia="zh-CN" w:bidi="ar"/>
              </w:rPr>
              <w:t>-I</w:t>
            </w:r>
            <w:r>
              <w:rPr>
                <w:rStyle w:val="13"/>
                <w:snapToGrid w:val="0"/>
                <w:color w:val="000000"/>
                <w:lang w:val="en-US" w:eastAsia="zh-CN" w:bidi="ar"/>
              </w:rPr>
              <w:t>级</w:t>
            </w:r>
          </w:p>
        </w:tc>
        <w:tc>
          <w:tcPr>
            <w:tcW w:w="722" w:type="dxa"/>
            <w:shd w:val="clear" w:color="auto" w:fill="auto"/>
            <w:vAlign w:val="center"/>
          </w:tcPr>
          <w:p w14:paraId="4FB4942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2011</w:t>
            </w:r>
            <w:r>
              <w:rPr>
                <w:rStyle w:val="13"/>
                <w:snapToGrid w:val="0"/>
                <w:color w:val="000000"/>
                <w:lang w:val="en-US" w:eastAsia="zh-CN" w:bidi="ar"/>
              </w:rPr>
              <w:t>年</w:t>
            </w:r>
          </w:p>
        </w:tc>
        <w:tc>
          <w:tcPr>
            <w:tcW w:w="2550" w:type="dxa"/>
            <w:shd w:val="clear" w:color="auto" w:fill="auto"/>
            <w:vAlign w:val="center"/>
          </w:tcPr>
          <w:p w14:paraId="0B2D51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7176C3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28198E53">
            <w:pPr>
              <w:jc w:val="center"/>
              <w:rPr>
                <w:rFonts w:hint="eastAsia" w:ascii="宋体" w:hAnsi="宋体" w:eastAsia="宋体" w:cs="宋体"/>
                <w:i w:val="0"/>
                <w:iCs w:val="0"/>
                <w:color w:val="000000"/>
                <w:sz w:val="22"/>
                <w:szCs w:val="22"/>
                <w:u w:val="none"/>
              </w:rPr>
            </w:pPr>
          </w:p>
        </w:tc>
      </w:tr>
      <w:tr w14:paraId="3193C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65067AC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8. </w:t>
            </w:r>
          </w:p>
        </w:tc>
        <w:tc>
          <w:tcPr>
            <w:tcW w:w="839" w:type="dxa"/>
            <w:shd w:val="clear" w:color="auto" w:fill="auto"/>
            <w:vAlign w:val="center"/>
          </w:tcPr>
          <w:p w14:paraId="2EB00E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雄石西路桥</w:t>
            </w:r>
          </w:p>
        </w:tc>
        <w:tc>
          <w:tcPr>
            <w:tcW w:w="886" w:type="dxa"/>
            <w:shd w:val="clear" w:color="auto" w:fill="auto"/>
            <w:vAlign w:val="center"/>
          </w:tcPr>
          <w:p w14:paraId="1E94DE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普通钢筋混凝土整体现浇连续箱梁</w:t>
            </w:r>
          </w:p>
        </w:tc>
        <w:tc>
          <w:tcPr>
            <w:tcW w:w="3125" w:type="dxa"/>
            <w:shd w:val="clear" w:color="auto" w:fill="auto"/>
            <w:vAlign w:val="center"/>
          </w:tcPr>
          <w:p w14:paraId="1AFD937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14.5+15+20+15+14.5</w:t>
            </w:r>
          </w:p>
        </w:tc>
        <w:tc>
          <w:tcPr>
            <w:tcW w:w="1006" w:type="dxa"/>
            <w:shd w:val="clear" w:color="auto" w:fill="auto"/>
            <w:vAlign w:val="center"/>
          </w:tcPr>
          <w:p w14:paraId="5386A7A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90</w:t>
            </w:r>
          </w:p>
        </w:tc>
        <w:tc>
          <w:tcPr>
            <w:tcW w:w="1044" w:type="dxa"/>
            <w:shd w:val="clear" w:color="auto" w:fill="auto"/>
            <w:vAlign w:val="center"/>
          </w:tcPr>
          <w:p w14:paraId="25B49BF0">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22</w:t>
            </w:r>
          </w:p>
        </w:tc>
        <w:tc>
          <w:tcPr>
            <w:tcW w:w="776" w:type="dxa"/>
            <w:shd w:val="clear" w:color="auto" w:fill="auto"/>
            <w:vAlign w:val="center"/>
          </w:tcPr>
          <w:p w14:paraId="6322934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722" w:type="dxa"/>
            <w:shd w:val="clear" w:color="auto" w:fill="auto"/>
            <w:vAlign w:val="center"/>
          </w:tcPr>
          <w:p w14:paraId="71A4600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1996</w:t>
            </w:r>
            <w:r>
              <w:rPr>
                <w:rStyle w:val="13"/>
                <w:snapToGrid w:val="0"/>
                <w:color w:val="000000"/>
                <w:lang w:val="en-US" w:eastAsia="zh-CN" w:bidi="ar"/>
              </w:rPr>
              <w:t>年</w:t>
            </w:r>
          </w:p>
        </w:tc>
        <w:tc>
          <w:tcPr>
            <w:tcW w:w="2550" w:type="dxa"/>
            <w:shd w:val="clear" w:color="auto" w:fill="auto"/>
            <w:vAlign w:val="center"/>
          </w:tcPr>
          <w:p w14:paraId="7E0E20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791636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1716A6AC">
            <w:pPr>
              <w:jc w:val="center"/>
              <w:rPr>
                <w:rFonts w:hint="eastAsia" w:ascii="宋体" w:hAnsi="宋体" w:eastAsia="宋体" w:cs="宋体"/>
                <w:i w:val="0"/>
                <w:iCs w:val="0"/>
                <w:color w:val="000000"/>
                <w:sz w:val="22"/>
                <w:szCs w:val="22"/>
                <w:u w:val="none"/>
              </w:rPr>
            </w:pPr>
          </w:p>
        </w:tc>
      </w:tr>
      <w:tr w14:paraId="619CF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793991E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9. </w:t>
            </w:r>
          </w:p>
        </w:tc>
        <w:tc>
          <w:tcPr>
            <w:tcW w:w="839" w:type="dxa"/>
            <w:shd w:val="clear" w:color="auto" w:fill="auto"/>
            <w:vAlign w:val="center"/>
          </w:tcPr>
          <w:p w14:paraId="62EDF6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竹山桥</w:t>
            </w:r>
          </w:p>
        </w:tc>
        <w:tc>
          <w:tcPr>
            <w:tcW w:w="886" w:type="dxa"/>
            <w:shd w:val="clear" w:color="auto" w:fill="auto"/>
            <w:vAlign w:val="center"/>
          </w:tcPr>
          <w:p w14:paraId="47CA6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6916FE7F">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3×16</w:t>
            </w:r>
          </w:p>
        </w:tc>
        <w:tc>
          <w:tcPr>
            <w:tcW w:w="1006" w:type="dxa"/>
            <w:shd w:val="clear" w:color="auto" w:fill="auto"/>
            <w:vAlign w:val="center"/>
          </w:tcPr>
          <w:p w14:paraId="477F6D4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68</w:t>
            </w:r>
          </w:p>
        </w:tc>
        <w:tc>
          <w:tcPr>
            <w:tcW w:w="1044" w:type="dxa"/>
            <w:shd w:val="clear" w:color="auto" w:fill="auto"/>
            <w:vAlign w:val="center"/>
          </w:tcPr>
          <w:p w14:paraId="0004AAB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50</w:t>
            </w:r>
          </w:p>
        </w:tc>
        <w:tc>
          <w:tcPr>
            <w:tcW w:w="776" w:type="dxa"/>
            <w:shd w:val="clear" w:color="auto" w:fill="auto"/>
            <w:vAlign w:val="center"/>
          </w:tcPr>
          <w:p w14:paraId="244974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城市</w:t>
            </w:r>
            <w:r>
              <w:rPr>
                <w:rStyle w:val="12"/>
                <w:rFonts w:eastAsia="宋体"/>
                <w:snapToGrid w:val="0"/>
                <w:color w:val="000000"/>
                <w:lang w:val="en-US" w:eastAsia="zh-CN" w:bidi="ar"/>
              </w:rPr>
              <w:t>-A</w:t>
            </w:r>
            <w:r>
              <w:rPr>
                <w:rStyle w:val="13"/>
                <w:snapToGrid w:val="0"/>
                <w:color w:val="000000"/>
                <w:lang w:val="en-US" w:eastAsia="zh-CN" w:bidi="ar"/>
              </w:rPr>
              <w:t>级</w:t>
            </w:r>
          </w:p>
        </w:tc>
        <w:tc>
          <w:tcPr>
            <w:tcW w:w="722" w:type="dxa"/>
            <w:shd w:val="clear" w:color="auto" w:fill="auto"/>
            <w:vAlign w:val="center"/>
          </w:tcPr>
          <w:p w14:paraId="2F53412E">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2008</w:t>
            </w:r>
            <w:r>
              <w:rPr>
                <w:rStyle w:val="13"/>
                <w:snapToGrid w:val="0"/>
                <w:color w:val="000000"/>
                <w:lang w:val="en-US" w:eastAsia="zh-CN" w:bidi="ar"/>
              </w:rPr>
              <w:t>年</w:t>
            </w:r>
          </w:p>
        </w:tc>
        <w:tc>
          <w:tcPr>
            <w:tcW w:w="2550" w:type="dxa"/>
            <w:shd w:val="clear" w:color="auto" w:fill="auto"/>
            <w:vAlign w:val="center"/>
          </w:tcPr>
          <w:p w14:paraId="793ED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6E1205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7D768E76">
            <w:pPr>
              <w:jc w:val="center"/>
              <w:rPr>
                <w:rFonts w:hint="eastAsia" w:ascii="宋体" w:hAnsi="宋体" w:eastAsia="宋体" w:cs="宋体"/>
                <w:i w:val="0"/>
                <w:iCs w:val="0"/>
                <w:color w:val="000000"/>
                <w:sz w:val="22"/>
                <w:szCs w:val="22"/>
                <w:u w:val="none"/>
              </w:rPr>
            </w:pPr>
          </w:p>
        </w:tc>
      </w:tr>
      <w:tr w14:paraId="43263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231CB59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10. </w:t>
            </w:r>
          </w:p>
        </w:tc>
        <w:tc>
          <w:tcPr>
            <w:tcW w:w="839" w:type="dxa"/>
            <w:shd w:val="clear" w:color="auto" w:fill="auto"/>
            <w:vAlign w:val="center"/>
          </w:tcPr>
          <w:p w14:paraId="0A2FFC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冶金大道公跨铁路桥</w:t>
            </w:r>
          </w:p>
        </w:tc>
        <w:tc>
          <w:tcPr>
            <w:tcW w:w="886" w:type="dxa"/>
            <w:shd w:val="clear" w:color="auto" w:fill="auto"/>
            <w:vAlign w:val="center"/>
          </w:tcPr>
          <w:p w14:paraId="521C55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230D3A2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1×30</w:t>
            </w:r>
          </w:p>
        </w:tc>
        <w:tc>
          <w:tcPr>
            <w:tcW w:w="1006" w:type="dxa"/>
            <w:shd w:val="clear" w:color="auto" w:fill="auto"/>
            <w:vAlign w:val="center"/>
          </w:tcPr>
          <w:p w14:paraId="3FE84B9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47.73</w:t>
            </w:r>
          </w:p>
        </w:tc>
        <w:tc>
          <w:tcPr>
            <w:tcW w:w="1044" w:type="dxa"/>
            <w:shd w:val="clear" w:color="auto" w:fill="auto"/>
            <w:vAlign w:val="center"/>
          </w:tcPr>
          <w:p w14:paraId="61074F3C">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35</w:t>
            </w:r>
          </w:p>
        </w:tc>
        <w:tc>
          <w:tcPr>
            <w:tcW w:w="776" w:type="dxa"/>
            <w:shd w:val="clear" w:color="auto" w:fill="auto"/>
            <w:vAlign w:val="center"/>
          </w:tcPr>
          <w:p w14:paraId="327414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公路</w:t>
            </w:r>
            <w:r>
              <w:rPr>
                <w:rStyle w:val="12"/>
                <w:rFonts w:eastAsia="宋体"/>
                <w:snapToGrid w:val="0"/>
                <w:color w:val="000000"/>
                <w:lang w:val="en-US" w:eastAsia="zh-CN" w:bidi="ar"/>
              </w:rPr>
              <w:t>-I</w:t>
            </w:r>
            <w:r>
              <w:rPr>
                <w:rStyle w:val="13"/>
                <w:snapToGrid w:val="0"/>
                <w:color w:val="000000"/>
                <w:lang w:val="en-US" w:eastAsia="zh-CN" w:bidi="ar"/>
              </w:rPr>
              <w:t>级</w:t>
            </w:r>
          </w:p>
        </w:tc>
        <w:tc>
          <w:tcPr>
            <w:tcW w:w="722" w:type="dxa"/>
            <w:shd w:val="clear" w:color="auto" w:fill="auto"/>
            <w:vAlign w:val="center"/>
          </w:tcPr>
          <w:p w14:paraId="7BFD012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2006</w:t>
            </w:r>
            <w:r>
              <w:rPr>
                <w:rStyle w:val="13"/>
                <w:snapToGrid w:val="0"/>
                <w:color w:val="000000"/>
                <w:lang w:val="en-US" w:eastAsia="zh-CN" w:bidi="ar"/>
              </w:rPr>
              <w:t>年</w:t>
            </w:r>
          </w:p>
        </w:tc>
        <w:tc>
          <w:tcPr>
            <w:tcW w:w="2550" w:type="dxa"/>
            <w:shd w:val="clear" w:color="auto" w:fill="auto"/>
            <w:vAlign w:val="center"/>
          </w:tcPr>
          <w:p w14:paraId="672E5E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78C5C8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3C02E2D0">
            <w:pPr>
              <w:jc w:val="center"/>
              <w:rPr>
                <w:rFonts w:hint="eastAsia" w:ascii="宋体" w:hAnsi="宋体" w:eastAsia="宋体" w:cs="宋体"/>
                <w:i w:val="0"/>
                <w:iCs w:val="0"/>
                <w:color w:val="000000"/>
                <w:sz w:val="22"/>
                <w:szCs w:val="22"/>
                <w:u w:val="none"/>
              </w:rPr>
            </w:pPr>
          </w:p>
        </w:tc>
      </w:tr>
      <w:tr w14:paraId="1D904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5BE05F9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11. </w:t>
            </w:r>
          </w:p>
        </w:tc>
        <w:tc>
          <w:tcPr>
            <w:tcW w:w="839" w:type="dxa"/>
            <w:shd w:val="clear" w:color="auto" w:fill="auto"/>
            <w:vAlign w:val="center"/>
          </w:tcPr>
          <w:p w14:paraId="247DED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鹰雄大道中桥（小阳桥）</w:t>
            </w:r>
          </w:p>
        </w:tc>
        <w:tc>
          <w:tcPr>
            <w:tcW w:w="886" w:type="dxa"/>
            <w:shd w:val="clear" w:color="auto" w:fill="auto"/>
            <w:vAlign w:val="center"/>
          </w:tcPr>
          <w:p w14:paraId="780A5E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普通钢筋混凝土整体现浇连续箱梁</w:t>
            </w:r>
          </w:p>
        </w:tc>
        <w:tc>
          <w:tcPr>
            <w:tcW w:w="3125" w:type="dxa"/>
            <w:shd w:val="clear" w:color="auto" w:fill="auto"/>
            <w:vAlign w:val="center"/>
          </w:tcPr>
          <w:p w14:paraId="6D25B0D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2×16</w:t>
            </w:r>
          </w:p>
        </w:tc>
        <w:tc>
          <w:tcPr>
            <w:tcW w:w="1006" w:type="dxa"/>
            <w:shd w:val="clear" w:color="auto" w:fill="auto"/>
            <w:vAlign w:val="center"/>
          </w:tcPr>
          <w:p w14:paraId="7D8EF3D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43.12</w:t>
            </w:r>
          </w:p>
        </w:tc>
        <w:tc>
          <w:tcPr>
            <w:tcW w:w="1044" w:type="dxa"/>
            <w:shd w:val="clear" w:color="auto" w:fill="auto"/>
            <w:vAlign w:val="center"/>
          </w:tcPr>
          <w:p w14:paraId="17AAF45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34.02</w:t>
            </w:r>
          </w:p>
        </w:tc>
        <w:tc>
          <w:tcPr>
            <w:tcW w:w="776" w:type="dxa"/>
            <w:shd w:val="clear" w:color="auto" w:fill="auto"/>
            <w:vAlign w:val="center"/>
          </w:tcPr>
          <w:p w14:paraId="473EA0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城市</w:t>
            </w:r>
            <w:r>
              <w:rPr>
                <w:rStyle w:val="12"/>
                <w:rFonts w:eastAsia="宋体"/>
                <w:snapToGrid w:val="0"/>
                <w:color w:val="000000"/>
                <w:lang w:val="en-US" w:eastAsia="zh-CN" w:bidi="ar"/>
              </w:rPr>
              <w:t>-A</w:t>
            </w:r>
            <w:r>
              <w:rPr>
                <w:rStyle w:val="13"/>
                <w:snapToGrid w:val="0"/>
                <w:color w:val="000000"/>
                <w:lang w:val="en-US" w:eastAsia="zh-CN" w:bidi="ar"/>
              </w:rPr>
              <w:t>级</w:t>
            </w:r>
          </w:p>
        </w:tc>
        <w:tc>
          <w:tcPr>
            <w:tcW w:w="722" w:type="dxa"/>
            <w:shd w:val="clear" w:color="auto" w:fill="auto"/>
            <w:vAlign w:val="center"/>
          </w:tcPr>
          <w:p w14:paraId="607B067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2008</w:t>
            </w:r>
            <w:r>
              <w:rPr>
                <w:rStyle w:val="13"/>
                <w:snapToGrid w:val="0"/>
                <w:color w:val="000000"/>
                <w:lang w:val="en-US" w:eastAsia="zh-CN" w:bidi="ar"/>
              </w:rPr>
              <w:t>年</w:t>
            </w:r>
          </w:p>
        </w:tc>
        <w:tc>
          <w:tcPr>
            <w:tcW w:w="2550" w:type="dxa"/>
            <w:shd w:val="clear" w:color="auto" w:fill="auto"/>
            <w:vAlign w:val="center"/>
          </w:tcPr>
          <w:p w14:paraId="7A5F79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4D9023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2F77F55A">
            <w:pPr>
              <w:jc w:val="center"/>
              <w:rPr>
                <w:rFonts w:hint="eastAsia" w:ascii="宋体" w:hAnsi="宋体" w:eastAsia="宋体" w:cs="宋体"/>
                <w:i w:val="0"/>
                <w:iCs w:val="0"/>
                <w:color w:val="000000"/>
                <w:sz w:val="22"/>
                <w:szCs w:val="22"/>
                <w:u w:val="none"/>
              </w:rPr>
            </w:pPr>
          </w:p>
        </w:tc>
      </w:tr>
      <w:tr w14:paraId="4B147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79473D5D">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12. </w:t>
            </w:r>
          </w:p>
        </w:tc>
        <w:tc>
          <w:tcPr>
            <w:tcW w:w="839" w:type="dxa"/>
            <w:shd w:val="clear" w:color="auto" w:fill="auto"/>
            <w:vAlign w:val="center"/>
          </w:tcPr>
          <w:p w14:paraId="73A133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建设路立交桥（跨支线铁路）</w:t>
            </w:r>
          </w:p>
        </w:tc>
        <w:tc>
          <w:tcPr>
            <w:tcW w:w="886" w:type="dxa"/>
            <w:shd w:val="clear" w:color="auto" w:fill="auto"/>
            <w:vAlign w:val="center"/>
          </w:tcPr>
          <w:p w14:paraId="434BDC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69F440E9">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1×8/1×13</w:t>
            </w:r>
          </w:p>
        </w:tc>
        <w:tc>
          <w:tcPr>
            <w:tcW w:w="1006" w:type="dxa"/>
            <w:shd w:val="clear" w:color="auto" w:fill="auto"/>
            <w:vAlign w:val="center"/>
          </w:tcPr>
          <w:p w14:paraId="53A55AE8">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19.3</w:t>
            </w:r>
          </w:p>
        </w:tc>
        <w:tc>
          <w:tcPr>
            <w:tcW w:w="1044" w:type="dxa"/>
            <w:shd w:val="clear" w:color="auto" w:fill="auto"/>
            <w:vAlign w:val="center"/>
          </w:tcPr>
          <w:p w14:paraId="30F0BE5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47.5</w:t>
            </w:r>
          </w:p>
        </w:tc>
        <w:tc>
          <w:tcPr>
            <w:tcW w:w="776" w:type="dxa"/>
            <w:shd w:val="clear" w:color="auto" w:fill="auto"/>
            <w:vAlign w:val="center"/>
          </w:tcPr>
          <w:p w14:paraId="6BBD86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汽</w:t>
            </w:r>
            <w:r>
              <w:rPr>
                <w:rStyle w:val="12"/>
                <w:rFonts w:eastAsia="宋体"/>
                <w:snapToGrid w:val="0"/>
                <w:color w:val="000000"/>
                <w:lang w:val="en-US" w:eastAsia="zh-CN" w:bidi="ar"/>
              </w:rPr>
              <w:t>-20</w:t>
            </w:r>
            <w:r>
              <w:rPr>
                <w:rStyle w:val="13"/>
                <w:snapToGrid w:val="0"/>
                <w:color w:val="000000"/>
                <w:lang w:val="en-US" w:eastAsia="zh-CN" w:bidi="ar"/>
              </w:rPr>
              <w:t>，挂</w:t>
            </w:r>
            <w:r>
              <w:rPr>
                <w:rStyle w:val="12"/>
                <w:rFonts w:eastAsia="宋体"/>
                <w:snapToGrid w:val="0"/>
                <w:color w:val="000000"/>
                <w:lang w:val="en-US" w:eastAsia="zh-CN" w:bidi="ar"/>
              </w:rPr>
              <w:t>-100</w:t>
            </w:r>
          </w:p>
        </w:tc>
        <w:tc>
          <w:tcPr>
            <w:tcW w:w="722" w:type="dxa"/>
            <w:shd w:val="clear" w:color="auto" w:fill="auto"/>
            <w:vAlign w:val="center"/>
          </w:tcPr>
          <w:p w14:paraId="12F4FE71">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1982</w:t>
            </w:r>
            <w:r>
              <w:rPr>
                <w:rStyle w:val="13"/>
                <w:snapToGrid w:val="0"/>
                <w:color w:val="000000"/>
                <w:lang w:val="en-US" w:eastAsia="zh-CN" w:bidi="ar"/>
              </w:rPr>
              <w:t>年</w:t>
            </w:r>
          </w:p>
        </w:tc>
        <w:tc>
          <w:tcPr>
            <w:tcW w:w="2550" w:type="dxa"/>
            <w:shd w:val="clear" w:color="auto" w:fill="auto"/>
            <w:vAlign w:val="center"/>
          </w:tcPr>
          <w:p w14:paraId="2BA983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6E39CA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15465E09">
            <w:pPr>
              <w:jc w:val="center"/>
              <w:rPr>
                <w:rFonts w:hint="eastAsia" w:ascii="宋体" w:hAnsi="宋体" w:eastAsia="宋体" w:cs="宋体"/>
                <w:i w:val="0"/>
                <w:iCs w:val="0"/>
                <w:color w:val="000000"/>
                <w:sz w:val="22"/>
                <w:szCs w:val="22"/>
                <w:u w:val="none"/>
              </w:rPr>
            </w:pPr>
          </w:p>
        </w:tc>
      </w:tr>
      <w:tr w14:paraId="15F07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350" w:hRule="atLeast"/>
          <w:jc w:val="center"/>
        </w:trPr>
        <w:tc>
          <w:tcPr>
            <w:tcW w:w="526" w:type="dxa"/>
            <w:shd w:val="clear" w:color="auto" w:fill="auto"/>
            <w:vAlign w:val="center"/>
          </w:tcPr>
          <w:p w14:paraId="01AFB45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 xml:space="preserve">13. </w:t>
            </w:r>
          </w:p>
        </w:tc>
        <w:tc>
          <w:tcPr>
            <w:tcW w:w="839" w:type="dxa"/>
            <w:shd w:val="clear" w:color="auto" w:fill="auto"/>
            <w:vAlign w:val="center"/>
          </w:tcPr>
          <w:p w14:paraId="11156F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九牛岗陈家公跨铁路桥</w:t>
            </w:r>
          </w:p>
        </w:tc>
        <w:tc>
          <w:tcPr>
            <w:tcW w:w="886" w:type="dxa"/>
            <w:shd w:val="clear" w:color="auto" w:fill="auto"/>
            <w:vAlign w:val="center"/>
          </w:tcPr>
          <w:p w14:paraId="717CE4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简支空心板</w:t>
            </w:r>
          </w:p>
        </w:tc>
        <w:tc>
          <w:tcPr>
            <w:tcW w:w="3125" w:type="dxa"/>
            <w:shd w:val="clear" w:color="auto" w:fill="auto"/>
            <w:vAlign w:val="center"/>
          </w:tcPr>
          <w:p w14:paraId="3C4CBD23">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Style w:val="12"/>
                <w:rFonts w:eastAsia="宋体"/>
                <w:snapToGrid w:val="0"/>
                <w:color w:val="000000"/>
                <w:lang w:val="en-US" w:eastAsia="zh-CN" w:bidi="ar"/>
              </w:rPr>
              <w:t>1×25.00</w:t>
            </w:r>
          </w:p>
        </w:tc>
        <w:tc>
          <w:tcPr>
            <w:tcW w:w="1006" w:type="dxa"/>
            <w:shd w:val="clear" w:color="auto" w:fill="auto"/>
            <w:vAlign w:val="center"/>
          </w:tcPr>
          <w:p w14:paraId="30FF946A">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32</w:t>
            </w:r>
          </w:p>
        </w:tc>
        <w:tc>
          <w:tcPr>
            <w:tcW w:w="1044" w:type="dxa"/>
            <w:shd w:val="clear" w:color="auto" w:fill="auto"/>
            <w:vAlign w:val="center"/>
          </w:tcPr>
          <w:p w14:paraId="1CE7E324">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12.5</w:t>
            </w:r>
          </w:p>
        </w:tc>
        <w:tc>
          <w:tcPr>
            <w:tcW w:w="776" w:type="dxa"/>
            <w:shd w:val="clear" w:color="auto" w:fill="auto"/>
            <w:vAlign w:val="center"/>
          </w:tcPr>
          <w:p w14:paraId="5F6C1E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13"/>
                <w:snapToGrid w:val="0"/>
                <w:color w:val="000000"/>
                <w:lang w:val="en-US" w:eastAsia="zh-CN" w:bidi="ar"/>
              </w:rPr>
              <w:t>城</w:t>
            </w:r>
            <w:r>
              <w:rPr>
                <w:rStyle w:val="12"/>
                <w:rFonts w:eastAsia="宋体"/>
                <w:snapToGrid w:val="0"/>
                <w:color w:val="000000"/>
                <w:lang w:val="en-US" w:eastAsia="zh-CN" w:bidi="ar"/>
              </w:rPr>
              <w:t>-A</w:t>
            </w:r>
            <w:r>
              <w:rPr>
                <w:rStyle w:val="13"/>
                <w:snapToGrid w:val="0"/>
                <w:color w:val="000000"/>
                <w:lang w:val="en-US" w:eastAsia="zh-CN" w:bidi="ar"/>
              </w:rPr>
              <w:t>级</w:t>
            </w:r>
          </w:p>
        </w:tc>
        <w:tc>
          <w:tcPr>
            <w:tcW w:w="722" w:type="dxa"/>
            <w:shd w:val="clear" w:color="auto" w:fill="auto"/>
            <w:vAlign w:val="center"/>
          </w:tcPr>
          <w:p w14:paraId="415FC6BB">
            <w:pPr>
              <w:keepNext w:val="0"/>
              <w:keepLines w:val="0"/>
              <w:widowControl/>
              <w:suppressLineNumbers w:val="0"/>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snapToGrid w:val="0"/>
                <w:color w:val="000000"/>
                <w:kern w:val="0"/>
                <w:sz w:val="24"/>
                <w:szCs w:val="24"/>
                <w:u w:val="none"/>
                <w:lang w:val="en-US" w:eastAsia="zh-CN" w:bidi="ar"/>
              </w:rPr>
              <w:t>/</w:t>
            </w:r>
          </w:p>
        </w:tc>
        <w:tc>
          <w:tcPr>
            <w:tcW w:w="2550" w:type="dxa"/>
            <w:shd w:val="clear" w:color="auto" w:fill="auto"/>
            <w:vAlign w:val="center"/>
          </w:tcPr>
          <w:p w14:paraId="334ABF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上部结构（主梁、横向联系）、下部结构（支座、盖梁、墩身、台身、台帽、基础、翼墙等）、桥面系（桥面铺装、排水系统、伸缩装置、人行道、栏杆等）的外观缺陷检测， 混凝土碳化深度、钢筋锈蚀检测以及全桥的技术状况评定</w:t>
            </w:r>
          </w:p>
        </w:tc>
        <w:tc>
          <w:tcPr>
            <w:tcW w:w="712" w:type="dxa"/>
            <w:shd w:val="clear" w:color="auto" w:fill="auto"/>
            <w:vAlign w:val="center"/>
          </w:tcPr>
          <w:p w14:paraId="222FEA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常规定期检测</w:t>
            </w:r>
          </w:p>
        </w:tc>
        <w:tc>
          <w:tcPr>
            <w:tcW w:w="2817" w:type="dxa"/>
            <w:vMerge w:val="continue"/>
            <w:shd w:val="clear" w:color="auto" w:fill="auto"/>
            <w:vAlign w:val="center"/>
          </w:tcPr>
          <w:p w14:paraId="5151C804">
            <w:pPr>
              <w:jc w:val="center"/>
              <w:rPr>
                <w:rFonts w:hint="eastAsia" w:ascii="宋体" w:hAnsi="宋体" w:eastAsia="宋体" w:cs="宋体"/>
                <w:i w:val="0"/>
                <w:iCs w:val="0"/>
                <w:color w:val="000000"/>
                <w:sz w:val="22"/>
                <w:szCs w:val="22"/>
                <w:u w:val="none"/>
              </w:rPr>
            </w:pPr>
          </w:p>
        </w:tc>
      </w:tr>
    </w:tbl>
    <w:p w14:paraId="42DC9B6C">
      <w:pPr>
        <w:pageBreakBefore w:val="0"/>
        <w:widowControl w:val="0"/>
        <w:wordWrap/>
        <w:overflowPunct/>
        <w:topLinePunct w:val="0"/>
        <w:bidi w:val="0"/>
        <w:spacing w:line="242" w:lineRule="auto"/>
        <w:rPr>
          <w:color w:val="auto"/>
          <w:highlight w:val="none"/>
        </w:rPr>
      </w:pPr>
    </w:p>
    <w:p w14:paraId="2EEAEB8F">
      <w:pPr>
        <w:pageBreakBefore w:val="0"/>
        <w:widowControl w:val="0"/>
        <w:wordWrap/>
        <w:overflowPunct/>
        <w:topLinePunct w:val="0"/>
        <w:bidi w:val="0"/>
        <w:spacing w:before="78" w:line="219" w:lineRule="auto"/>
        <w:rPr>
          <w:rFonts w:hint="eastAsia" w:ascii="宋体" w:hAnsi="宋体" w:eastAsia="宋体" w:cs="宋体"/>
          <w:b/>
          <w:bCs/>
          <w:spacing w:val="-6"/>
          <w:sz w:val="24"/>
          <w:szCs w:val="24"/>
        </w:rPr>
      </w:pPr>
      <w:r>
        <w:rPr>
          <w:rFonts w:hint="eastAsia" w:ascii="宋体" w:hAnsi="宋体" w:eastAsia="宋体" w:cs="宋体"/>
          <w:b/>
          <w:bCs/>
          <w:spacing w:val="-6"/>
          <w:sz w:val="24"/>
          <w:szCs w:val="24"/>
        </w:rPr>
        <w:t>注：投标人在投标前，请自行踏勘现场，费用自理。了解标的现状， 并仔细阅读本次招标所提供的相关资料及特别规定。投标人参加投标， 即表明投标人对标的的情况和特别规定的认可，投标成功后不得以未咨询或对标的不了解而提出异议或反悔。</w:t>
      </w:r>
    </w:p>
    <w:p w14:paraId="38904478">
      <w:pPr>
        <w:pageBreakBefore w:val="0"/>
        <w:widowControl w:val="0"/>
        <w:wordWrap/>
        <w:overflowPunct/>
        <w:topLinePunct w:val="0"/>
        <w:bidi w:val="0"/>
        <w:spacing w:before="78" w:line="219" w:lineRule="auto"/>
        <w:rPr>
          <w:rFonts w:hint="eastAsia" w:ascii="宋体" w:hAnsi="宋体" w:eastAsia="宋体" w:cs="宋体"/>
          <w:b/>
          <w:bCs/>
          <w:spacing w:val="-6"/>
          <w:sz w:val="24"/>
          <w:szCs w:val="24"/>
        </w:rPr>
      </w:pPr>
      <w:r>
        <w:rPr>
          <w:rFonts w:hint="eastAsia" w:ascii="宋体" w:hAnsi="宋体" w:eastAsia="宋体" w:cs="宋体"/>
          <w:b/>
          <w:bCs/>
          <w:spacing w:val="-6"/>
          <w:sz w:val="24"/>
          <w:szCs w:val="24"/>
        </w:rPr>
        <w:t>以上技术服务要求为基本要求，供应商必须全部响应（满足或优于基本技术要求）， 否则其响应文件无效。</w:t>
      </w:r>
    </w:p>
    <w:p w14:paraId="2456FDEE">
      <w:pPr>
        <w:pageBreakBefore w:val="0"/>
        <w:widowControl w:val="0"/>
        <w:wordWrap/>
        <w:overflowPunct/>
        <w:topLinePunct w:val="0"/>
        <w:bidi w:val="0"/>
        <w:spacing w:before="78" w:line="360" w:lineRule="auto"/>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hint="eastAsia" w:ascii="宋体" w:hAnsi="宋体" w:eastAsia="宋体" w:cs="宋体"/>
          <w:b/>
          <w:bCs/>
          <w:color w:val="auto"/>
          <w:spacing w:val="-6"/>
          <w:sz w:val="24"/>
          <w:szCs w:val="24"/>
          <w:highlight w:val="none"/>
          <w:lang w:val="en-US" w:eastAsia="zh-CN"/>
        </w:rPr>
        <w:t>人员要求</w:t>
      </w:r>
    </w:p>
    <w:p w14:paraId="5EF8F241">
      <w:pPr>
        <w:ind w:firstLine="470" w:firstLineChars="200"/>
        <w:rPr>
          <w:rFonts w:hint="eastAsia"/>
          <w:b/>
          <w:bCs/>
          <w:highlight w:val="none"/>
        </w:rPr>
      </w:pPr>
      <w:r>
        <w:rPr>
          <w:rFonts w:hint="eastAsia" w:ascii="宋体" w:hAnsi="宋体" w:eastAsia="宋体" w:cs="宋体"/>
          <w:b/>
          <w:bCs/>
          <w:snapToGrid w:val="0"/>
          <w:color w:val="auto"/>
          <w:spacing w:val="-3"/>
          <w:sz w:val="24"/>
          <w:szCs w:val="24"/>
          <w:highlight w:val="none"/>
          <w:lang w:val="en-US" w:eastAsia="zh-CN" w:bidi="ar-SA"/>
        </w:rPr>
        <w:t>项目负责人、技术负责人：同时具有交通运输部颁发的桥梁或桥梁隧道工程专业试验检测师证书、桥梁类专业中级工程师职称，供应商自有人员，且驻点现场实施全过程，年龄不超过60周岁，投标文件提供检测师证、职称证、身份证证明文件，不满足以上任何一条，投标无效。</w:t>
      </w:r>
    </w:p>
    <w:p w14:paraId="092C63BB">
      <w:pPr>
        <w:pageBreakBefore w:val="0"/>
        <w:widowControl w:val="0"/>
        <w:wordWrap/>
        <w:overflowPunct/>
        <w:topLinePunct w:val="0"/>
        <w:bidi w:val="0"/>
        <w:spacing w:before="78" w:line="360" w:lineRule="auto"/>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w:t>
      </w:r>
      <w:r>
        <w:rPr>
          <w:rFonts w:hint="eastAsia" w:ascii="宋体" w:hAnsi="宋体" w:eastAsia="宋体" w:cs="宋体"/>
          <w:b/>
          <w:bCs/>
          <w:color w:val="auto"/>
          <w:spacing w:val="-6"/>
          <w:sz w:val="24"/>
          <w:szCs w:val="24"/>
          <w:highlight w:val="none"/>
          <w:lang w:val="en-US" w:eastAsia="zh-CN"/>
        </w:rPr>
        <w:t>三</w:t>
      </w:r>
      <w:r>
        <w:rPr>
          <w:rFonts w:ascii="宋体" w:hAnsi="宋体" w:eastAsia="宋体" w:cs="宋体"/>
          <w:b/>
          <w:bCs/>
          <w:color w:val="auto"/>
          <w:spacing w:val="-6"/>
          <w:sz w:val="24"/>
          <w:szCs w:val="24"/>
          <w:highlight w:val="none"/>
          <w:lang w:eastAsia="zh-CN"/>
        </w:rPr>
        <w:t>）</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p>
    <w:p w14:paraId="7A9FA9C5">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pacing w:val="-2"/>
          <w:sz w:val="24"/>
          <w:szCs w:val="24"/>
        </w:rPr>
      </w:pPr>
      <w:r>
        <w:rPr>
          <w:rFonts w:hint="eastAsia" w:ascii="宋体" w:hAnsi="宋体" w:eastAsia="宋体" w:cs="宋体"/>
          <w:b/>
          <w:bCs/>
          <w:color w:val="0000FF"/>
          <w:spacing w:val="-3"/>
          <w:sz w:val="24"/>
          <w:szCs w:val="24"/>
        </w:rPr>
        <w:t>1、合同履行期限：</w:t>
      </w:r>
      <w:r>
        <w:rPr>
          <w:rFonts w:hint="eastAsia" w:ascii="宋体" w:hAnsi="宋体" w:eastAsia="宋体" w:cs="宋体"/>
          <w:color w:val="0000FF"/>
          <w:spacing w:val="-3"/>
          <w:sz w:val="24"/>
          <w:szCs w:val="24"/>
        </w:rPr>
        <w:t>合同签订后</w:t>
      </w:r>
      <w:r>
        <w:rPr>
          <w:rFonts w:hint="eastAsia" w:ascii="宋体" w:hAnsi="宋体" w:eastAsia="宋体" w:cs="宋体"/>
          <w:color w:val="0000FF"/>
          <w:spacing w:val="-41"/>
          <w:sz w:val="24"/>
          <w:szCs w:val="24"/>
        </w:rPr>
        <w:t xml:space="preserve"> </w:t>
      </w:r>
      <w:r>
        <w:rPr>
          <w:rFonts w:hint="eastAsia" w:ascii="宋体" w:hAnsi="宋体" w:eastAsia="宋体" w:cs="宋体"/>
          <w:color w:val="0000FF"/>
          <w:spacing w:val="-3"/>
          <w:sz w:val="24"/>
          <w:szCs w:val="24"/>
          <w:lang w:val="en-US" w:eastAsia="zh-CN"/>
        </w:rPr>
        <w:t>6</w:t>
      </w:r>
      <w:r>
        <w:rPr>
          <w:rFonts w:hint="eastAsia" w:ascii="宋体" w:hAnsi="宋体" w:eastAsia="宋体" w:cs="宋体"/>
          <w:color w:val="0000FF"/>
          <w:spacing w:val="-3"/>
          <w:sz w:val="24"/>
          <w:szCs w:val="24"/>
        </w:rPr>
        <w:t>0</w:t>
      </w:r>
      <w:r>
        <w:rPr>
          <w:rFonts w:hint="eastAsia" w:ascii="宋体" w:hAnsi="宋体" w:eastAsia="宋体" w:cs="宋体"/>
          <w:color w:val="0000FF"/>
          <w:spacing w:val="-55"/>
          <w:sz w:val="24"/>
          <w:szCs w:val="24"/>
        </w:rPr>
        <w:t xml:space="preserve"> </w:t>
      </w:r>
      <w:r>
        <w:rPr>
          <w:rFonts w:hint="eastAsia" w:ascii="宋体" w:hAnsi="宋体" w:eastAsia="宋体" w:cs="宋体"/>
          <w:color w:val="0000FF"/>
          <w:spacing w:val="-3"/>
          <w:sz w:val="24"/>
          <w:szCs w:val="24"/>
        </w:rPr>
        <w:t>个日历天内完成桥梁现场检测及报告撰写工作，</w:t>
      </w:r>
      <w:r>
        <w:rPr>
          <w:rFonts w:hint="eastAsia" w:ascii="宋体" w:hAnsi="宋体" w:eastAsia="宋体" w:cs="宋体"/>
          <w:color w:val="0000FF"/>
          <w:spacing w:val="-2"/>
          <w:sz w:val="24"/>
          <w:szCs w:val="24"/>
        </w:rPr>
        <w:t>并提交正式检测报告。其他技术服务期限为一年。</w:t>
      </w:r>
    </w:p>
    <w:p w14:paraId="5E724819">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z w:val="24"/>
          <w:szCs w:val="24"/>
        </w:rPr>
      </w:pPr>
      <w:r>
        <w:rPr>
          <w:rFonts w:hint="eastAsia" w:ascii="宋体" w:hAnsi="宋体" w:eastAsia="宋体" w:cs="宋体"/>
          <w:b/>
          <w:bCs/>
          <w:color w:val="0000FF"/>
          <w:spacing w:val="-3"/>
          <w:sz w:val="24"/>
          <w:szCs w:val="24"/>
        </w:rPr>
        <w:t>2、服务地点：</w:t>
      </w:r>
      <w:r>
        <w:rPr>
          <w:rFonts w:hint="eastAsia" w:ascii="宋体" w:hAnsi="宋体" w:eastAsia="宋体" w:cs="宋体"/>
          <w:color w:val="0000FF"/>
          <w:spacing w:val="-3"/>
          <w:sz w:val="24"/>
          <w:szCs w:val="24"/>
        </w:rPr>
        <w:t>采购人指定地点。</w:t>
      </w:r>
    </w:p>
    <w:p w14:paraId="48EAA617">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z w:val="24"/>
          <w:szCs w:val="24"/>
        </w:rPr>
      </w:pPr>
      <w:r>
        <w:rPr>
          <w:rFonts w:hint="eastAsia" w:ascii="宋体" w:hAnsi="宋体" w:eastAsia="宋体" w:cs="宋体"/>
          <w:b/>
          <w:bCs/>
          <w:color w:val="0000FF"/>
          <w:spacing w:val="-1"/>
          <w:sz w:val="24"/>
          <w:szCs w:val="24"/>
        </w:rPr>
        <w:t>3、付款方式：</w:t>
      </w:r>
      <w:r>
        <w:rPr>
          <w:rFonts w:hint="eastAsia" w:ascii="宋体" w:hAnsi="宋体" w:eastAsia="宋体" w:cs="宋体"/>
          <w:color w:val="0000FF"/>
          <w:spacing w:val="-1"/>
          <w:sz w:val="24"/>
          <w:szCs w:val="24"/>
        </w:rPr>
        <w:t>供应商完成桥梁现场检测并提交正式检测报告后支付本项目成交金</w:t>
      </w:r>
      <w:r>
        <w:rPr>
          <w:rFonts w:hint="eastAsia" w:ascii="宋体" w:hAnsi="宋体" w:eastAsia="宋体" w:cs="宋体"/>
          <w:color w:val="0000FF"/>
          <w:spacing w:val="1"/>
          <w:sz w:val="24"/>
          <w:szCs w:val="24"/>
        </w:rPr>
        <w:t>额的</w:t>
      </w:r>
      <w:r>
        <w:rPr>
          <w:rFonts w:hint="eastAsia" w:ascii="宋体" w:hAnsi="宋体" w:eastAsia="宋体" w:cs="宋体"/>
          <w:color w:val="0000FF"/>
          <w:spacing w:val="-39"/>
          <w:sz w:val="24"/>
          <w:szCs w:val="24"/>
        </w:rPr>
        <w:t xml:space="preserve"> </w:t>
      </w:r>
      <w:r>
        <w:rPr>
          <w:rFonts w:hint="eastAsia" w:ascii="宋体" w:hAnsi="宋体" w:eastAsia="宋体" w:cs="宋体"/>
          <w:color w:val="0000FF"/>
          <w:spacing w:val="1"/>
          <w:sz w:val="24"/>
          <w:szCs w:val="24"/>
        </w:rPr>
        <w:t>30%；待项目验收合格且技术服务满一年后支付</w:t>
      </w:r>
      <w:r>
        <w:rPr>
          <w:rFonts w:hint="eastAsia" w:ascii="宋体" w:hAnsi="宋体" w:eastAsia="宋体" w:cs="宋体"/>
          <w:color w:val="0000FF"/>
          <w:spacing w:val="1"/>
          <w:sz w:val="24"/>
          <w:szCs w:val="24"/>
          <w:lang w:val="en-US" w:eastAsia="zh-CN"/>
        </w:rPr>
        <w:t>余款</w:t>
      </w:r>
      <w:r>
        <w:rPr>
          <w:rFonts w:hint="eastAsia" w:ascii="宋体" w:hAnsi="宋体" w:eastAsia="宋体" w:cs="宋体"/>
          <w:color w:val="0000FF"/>
          <w:spacing w:val="1"/>
          <w:sz w:val="24"/>
          <w:szCs w:val="24"/>
        </w:rPr>
        <w:t>。</w:t>
      </w:r>
    </w:p>
    <w:p w14:paraId="3F8AE112">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jc w:val="both"/>
        <w:textAlignment w:val="auto"/>
        <w:rPr>
          <w:rFonts w:hint="eastAsia" w:ascii="宋体" w:hAnsi="宋体" w:eastAsia="宋体" w:cs="宋体"/>
          <w:color w:val="0000FF"/>
          <w:spacing w:val="-4"/>
          <w:sz w:val="24"/>
          <w:szCs w:val="24"/>
        </w:rPr>
      </w:pPr>
      <w:r>
        <w:rPr>
          <w:rFonts w:hint="eastAsia" w:ascii="宋体" w:hAnsi="宋体" w:eastAsia="宋体" w:cs="宋体"/>
          <w:color w:val="0000FF"/>
          <w:spacing w:val="-6"/>
          <w:sz w:val="24"/>
          <w:szCs w:val="24"/>
        </w:rPr>
        <w:t>注：成交价即为合同价，包含税金、检测（检验、测试）、</w:t>
      </w:r>
      <w:r>
        <w:rPr>
          <w:rFonts w:hint="eastAsia" w:ascii="宋体" w:hAnsi="宋体" w:eastAsia="宋体" w:cs="宋体"/>
          <w:color w:val="0000FF"/>
          <w:spacing w:val="-7"/>
          <w:sz w:val="24"/>
          <w:szCs w:val="24"/>
        </w:rPr>
        <w:t>验收及完成项目所需的</w:t>
      </w:r>
      <w:r>
        <w:rPr>
          <w:rFonts w:hint="eastAsia" w:ascii="宋体" w:hAnsi="宋体" w:eastAsia="宋体" w:cs="宋体"/>
          <w:color w:val="0000FF"/>
          <w:spacing w:val="-3"/>
          <w:sz w:val="24"/>
          <w:szCs w:val="24"/>
        </w:rPr>
        <w:t>一切直接或间接费用及利润的总和。成交供应商须按国家有关财税规定在检测费用支付</w:t>
      </w:r>
      <w:r>
        <w:rPr>
          <w:rFonts w:hint="eastAsia" w:ascii="宋体" w:hAnsi="宋体" w:eastAsia="宋体" w:cs="宋体"/>
          <w:color w:val="0000FF"/>
          <w:spacing w:val="-4"/>
          <w:sz w:val="24"/>
          <w:szCs w:val="24"/>
        </w:rPr>
        <w:t>前开具正式发票给采购人。</w:t>
      </w:r>
    </w:p>
    <w:p w14:paraId="169389A0">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jc w:val="both"/>
        <w:textAlignment w:val="auto"/>
        <w:rPr>
          <w:rFonts w:hint="eastAsia" w:ascii="宋体" w:hAnsi="宋体" w:eastAsia="宋体" w:cs="宋体"/>
          <w:color w:val="0000FF"/>
          <w:sz w:val="24"/>
          <w:szCs w:val="24"/>
        </w:rPr>
      </w:pPr>
      <w:r>
        <w:rPr>
          <w:rFonts w:hint="eastAsia" w:ascii="宋体" w:hAnsi="宋体" w:eastAsia="宋体" w:cs="宋体"/>
          <w:b/>
          <w:bCs/>
          <w:color w:val="0000FF"/>
          <w:spacing w:val="-1"/>
          <w:sz w:val="24"/>
          <w:szCs w:val="24"/>
        </w:rPr>
        <w:t>4、维护服</w:t>
      </w:r>
      <w:r>
        <w:rPr>
          <w:rFonts w:hint="eastAsia" w:ascii="宋体" w:hAnsi="宋体" w:eastAsia="宋体" w:cs="宋体"/>
          <w:b/>
          <w:bCs/>
          <w:color w:val="0000FF"/>
          <w:sz w:val="24"/>
          <w:szCs w:val="24"/>
        </w:rPr>
        <w:t>务：</w:t>
      </w:r>
      <w:r>
        <w:rPr>
          <w:rFonts w:hint="eastAsia" w:ascii="宋体" w:hAnsi="宋体" w:eastAsia="宋体" w:cs="宋体"/>
          <w:color w:val="0000FF"/>
          <w:sz w:val="24"/>
          <w:szCs w:val="24"/>
        </w:rPr>
        <w:t>成交供应商在接到采购人服务通知后，</w:t>
      </w:r>
      <w:r>
        <w:rPr>
          <w:rFonts w:hint="eastAsia" w:ascii="宋体" w:hAnsi="宋体" w:eastAsia="宋体" w:cs="宋体"/>
          <w:color w:val="0000FF"/>
          <w:spacing w:val="-1"/>
          <w:sz w:val="24"/>
          <w:szCs w:val="24"/>
        </w:rPr>
        <w:t>技术服务人员携带设备能在</w:t>
      </w:r>
      <w:r>
        <w:rPr>
          <w:rFonts w:hint="eastAsia" w:ascii="宋体" w:hAnsi="宋体" w:eastAsia="宋体" w:cs="宋体"/>
          <w:color w:val="0000FF"/>
          <w:sz w:val="24"/>
          <w:szCs w:val="24"/>
        </w:rPr>
        <w:t>48 小时内到达现场进行现场服务。成交供应商能够在检测工作完成后，根据</w:t>
      </w:r>
      <w:r>
        <w:rPr>
          <w:rFonts w:hint="eastAsia" w:ascii="宋体" w:hAnsi="宋体" w:eastAsia="宋体" w:cs="宋体"/>
          <w:color w:val="0000FF"/>
          <w:spacing w:val="-1"/>
          <w:sz w:val="24"/>
          <w:szCs w:val="24"/>
        </w:rPr>
        <w:t>检测成果</w:t>
      </w:r>
      <w:r>
        <w:rPr>
          <w:rFonts w:hint="eastAsia" w:ascii="宋体" w:hAnsi="宋体" w:eastAsia="宋体" w:cs="宋体"/>
          <w:color w:val="0000FF"/>
          <w:spacing w:val="-8"/>
          <w:sz w:val="24"/>
          <w:szCs w:val="24"/>
        </w:rPr>
        <w:t>给出建设性的建议，对每座桥梁提出详实、规范，</w:t>
      </w:r>
      <w:r>
        <w:rPr>
          <w:rFonts w:hint="eastAsia" w:ascii="宋体" w:hAnsi="宋体" w:eastAsia="宋体" w:cs="宋体"/>
          <w:color w:val="0000FF"/>
          <w:spacing w:val="-66"/>
          <w:sz w:val="24"/>
          <w:szCs w:val="24"/>
        </w:rPr>
        <w:t xml:space="preserve"> </w:t>
      </w:r>
      <w:r>
        <w:rPr>
          <w:rFonts w:hint="eastAsia" w:ascii="宋体" w:hAnsi="宋体" w:eastAsia="宋体" w:cs="宋体"/>
          <w:color w:val="0000FF"/>
          <w:spacing w:val="-8"/>
          <w:sz w:val="24"/>
          <w:szCs w:val="24"/>
        </w:rPr>
        <w:t>合理、针对性强的桥梁养护建议方</w:t>
      </w:r>
      <w:r>
        <w:rPr>
          <w:rFonts w:hint="eastAsia" w:ascii="宋体" w:hAnsi="宋体" w:eastAsia="宋体" w:cs="宋体"/>
          <w:color w:val="0000FF"/>
          <w:spacing w:val="-9"/>
          <w:sz w:val="24"/>
          <w:szCs w:val="24"/>
        </w:rPr>
        <w:t>案。</w:t>
      </w:r>
    </w:p>
    <w:p w14:paraId="7041F297">
      <w:pPr>
        <w:pStyle w:val="3"/>
        <w:keepNext w:val="0"/>
        <w:keepLines w:val="0"/>
        <w:pageBreakBefore w:val="0"/>
        <w:widowControl w:val="0"/>
        <w:tabs>
          <w:tab w:val="left" w:pos="567"/>
        </w:tabs>
        <w:kinsoku/>
        <w:wordWrap/>
        <w:overflowPunct/>
        <w:topLinePunct w:val="0"/>
        <w:autoSpaceDE/>
        <w:autoSpaceDN/>
        <w:bidi w:val="0"/>
        <w:adjustRightInd/>
        <w:snapToGrid/>
        <w:spacing w:line="360" w:lineRule="auto"/>
        <w:ind w:left="0" w:right="0" w:firstLine="0"/>
        <w:textAlignment w:val="auto"/>
        <w:rPr>
          <w:rFonts w:hint="eastAsia" w:ascii="宋体" w:hAnsi="宋体" w:eastAsia="宋体" w:cs="宋体"/>
          <w:color w:val="0000FF"/>
          <w:sz w:val="24"/>
          <w:szCs w:val="24"/>
        </w:rPr>
      </w:pPr>
      <w:r>
        <w:rPr>
          <w:rFonts w:hint="eastAsia" w:ascii="宋体" w:hAnsi="宋体" w:eastAsia="宋体" w:cs="宋体"/>
          <w:b/>
          <w:bCs/>
          <w:color w:val="0000FF"/>
          <w:sz w:val="24"/>
          <w:szCs w:val="24"/>
        </w:rPr>
        <w:t>5、验收要求：</w:t>
      </w:r>
      <w:r>
        <w:rPr>
          <w:rFonts w:hint="eastAsia" w:ascii="宋体" w:hAnsi="宋体" w:eastAsia="宋体" w:cs="宋体"/>
          <w:color w:val="0000FF"/>
          <w:sz w:val="24"/>
          <w:szCs w:val="24"/>
        </w:rPr>
        <w:t>中标人按采购人要求完成全部检测</w:t>
      </w:r>
      <w:r>
        <w:rPr>
          <w:rFonts w:hint="eastAsia" w:ascii="宋体" w:hAnsi="宋体" w:eastAsia="宋体" w:cs="宋体"/>
          <w:color w:val="0000FF"/>
          <w:spacing w:val="-1"/>
          <w:sz w:val="24"/>
          <w:szCs w:val="24"/>
        </w:rPr>
        <w:t>工作，出具检测报告后，应配合</w:t>
      </w:r>
      <w:r>
        <w:rPr>
          <w:rFonts w:hint="eastAsia" w:ascii="宋体" w:hAnsi="宋体" w:eastAsia="宋体" w:cs="宋体"/>
          <w:color w:val="0000FF"/>
          <w:spacing w:val="-2"/>
          <w:sz w:val="24"/>
          <w:szCs w:val="24"/>
        </w:rPr>
        <w:t>甲方在 1 周之内组织 3 名以上的桥梁</w:t>
      </w:r>
      <w:r>
        <w:rPr>
          <w:rFonts w:hint="eastAsia" w:ascii="宋体" w:hAnsi="宋体" w:eastAsia="宋体" w:cs="宋体"/>
          <w:color w:val="0000FF"/>
          <w:spacing w:val="-2"/>
          <w:sz w:val="24"/>
          <w:szCs w:val="24"/>
        </w:rPr>
        <w:fldChar w:fldCharType="begin"/>
      </w:r>
      <w:r>
        <w:rPr>
          <w:rFonts w:hint="eastAsia" w:ascii="宋体" w:hAnsi="宋体" w:eastAsia="宋体" w:cs="宋体"/>
          <w:color w:val="0000FF"/>
          <w:spacing w:val="-2"/>
          <w:sz w:val="24"/>
          <w:szCs w:val="24"/>
        </w:rPr>
        <w:instrText xml:space="preserve"> HYPERLINK "https://www.kdocs.cn/l/cpFnOd20BdKX" </w:instrText>
      </w:r>
      <w:r>
        <w:rPr>
          <w:rFonts w:hint="eastAsia" w:ascii="宋体" w:hAnsi="宋体" w:eastAsia="宋体" w:cs="宋体"/>
          <w:color w:val="0000FF"/>
          <w:spacing w:val="-2"/>
          <w:sz w:val="24"/>
          <w:szCs w:val="24"/>
        </w:rPr>
        <w:fldChar w:fldCharType="separate"/>
      </w:r>
      <w:r>
        <w:rPr>
          <w:rStyle w:val="7"/>
          <w:rFonts w:hint="eastAsia" w:ascii="宋体" w:hAnsi="宋体" w:eastAsia="宋体" w:cs="宋体"/>
          <w:color w:val="0000FF"/>
          <w:spacing w:val="-2"/>
          <w:sz w:val="24"/>
          <w:szCs w:val="24"/>
        </w:rPr>
        <w:t>专家</w:t>
      </w:r>
      <w:r>
        <w:rPr>
          <w:rFonts w:hint="eastAsia" w:ascii="宋体" w:hAnsi="宋体" w:eastAsia="宋体" w:cs="宋体"/>
          <w:color w:val="0000FF"/>
          <w:spacing w:val="-2"/>
          <w:sz w:val="24"/>
          <w:szCs w:val="24"/>
        </w:rPr>
        <w:fldChar w:fldCharType="end"/>
      </w:r>
      <w:r>
        <w:rPr>
          <w:rFonts w:hint="eastAsia" w:ascii="宋体" w:hAnsi="宋体" w:eastAsia="宋体" w:cs="宋体"/>
          <w:color w:val="0000FF"/>
          <w:spacing w:val="-3"/>
          <w:sz w:val="24"/>
          <w:szCs w:val="24"/>
        </w:rPr>
        <w:t>对检测报告进行评审，成交供应商依据专家</w:t>
      </w:r>
      <w:r>
        <w:rPr>
          <w:rFonts w:hint="eastAsia" w:ascii="宋体" w:hAnsi="宋体" w:eastAsia="宋体" w:cs="宋体"/>
          <w:color w:val="0000FF"/>
          <w:spacing w:val="-1"/>
          <w:sz w:val="24"/>
          <w:szCs w:val="24"/>
        </w:rPr>
        <w:t>评审意见修改完善的规范文件为正式成果。验收费</w:t>
      </w:r>
      <w:r>
        <w:rPr>
          <w:rFonts w:hint="eastAsia" w:ascii="宋体" w:hAnsi="宋体" w:eastAsia="宋体" w:cs="宋体"/>
          <w:color w:val="0000FF"/>
          <w:spacing w:val="-2"/>
          <w:sz w:val="24"/>
          <w:szCs w:val="24"/>
        </w:rPr>
        <w:t>用由成交供应商支付。</w:t>
      </w:r>
    </w:p>
    <w:p w14:paraId="77BBD481">
      <w:pPr>
        <w:rPr>
          <w:rFonts w:hint="eastAsia" w:ascii="宋体" w:hAnsi="宋体" w:eastAsia="宋体" w:cs="宋体"/>
          <w:color w:val="0000FF"/>
          <w:spacing w:val="-4"/>
          <w:sz w:val="24"/>
          <w:szCs w:val="24"/>
          <w:lang w:eastAsia="zh-CN"/>
        </w:rPr>
      </w:pPr>
      <w:r>
        <w:rPr>
          <w:rFonts w:hint="eastAsia" w:ascii="宋体" w:hAnsi="宋体" w:eastAsia="宋体" w:cs="宋体"/>
          <w:b/>
          <w:bCs/>
          <w:color w:val="0000FF"/>
          <w:spacing w:val="-1"/>
          <w:sz w:val="24"/>
          <w:szCs w:val="24"/>
        </w:rPr>
        <w:t>6</w:t>
      </w:r>
      <w:r>
        <w:rPr>
          <w:rFonts w:hint="eastAsia" w:ascii="宋体" w:hAnsi="宋体" w:eastAsia="宋体" w:cs="宋体"/>
          <w:b/>
          <w:bCs/>
          <w:color w:val="0000FF"/>
          <w:spacing w:val="-1"/>
          <w:sz w:val="24"/>
          <w:szCs w:val="24"/>
          <w:lang w:eastAsia="zh-CN"/>
        </w:rPr>
        <w:t>、</w:t>
      </w:r>
      <w:r>
        <w:rPr>
          <w:rFonts w:hint="eastAsia" w:ascii="宋体" w:hAnsi="宋体" w:eastAsia="宋体" w:cs="宋体"/>
          <w:b/>
          <w:bCs/>
          <w:color w:val="0000FF"/>
          <w:spacing w:val="-1"/>
          <w:sz w:val="24"/>
          <w:szCs w:val="24"/>
        </w:rPr>
        <w:t>其他：</w:t>
      </w:r>
      <w:r>
        <w:rPr>
          <w:rFonts w:hint="eastAsia" w:ascii="宋体" w:hAnsi="宋体" w:eastAsia="宋体" w:cs="宋体"/>
          <w:color w:val="0000FF"/>
          <w:spacing w:val="-1"/>
          <w:sz w:val="24"/>
          <w:szCs w:val="24"/>
        </w:rPr>
        <w:t>在满足国家相关规范和采购人具体</w:t>
      </w:r>
      <w:r>
        <w:rPr>
          <w:rFonts w:hint="eastAsia" w:ascii="宋体" w:hAnsi="宋体" w:eastAsia="宋体" w:cs="宋体"/>
          <w:color w:val="0000FF"/>
          <w:spacing w:val="-2"/>
          <w:sz w:val="24"/>
          <w:szCs w:val="24"/>
        </w:rPr>
        <w:t>要求前提下，按时保质完成合同要求的</w:t>
      </w:r>
      <w:r>
        <w:rPr>
          <w:rFonts w:hint="eastAsia" w:ascii="宋体" w:hAnsi="宋体" w:eastAsia="宋体" w:cs="宋体"/>
          <w:color w:val="0000FF"/>
          <w:spacing w:val="-4"/>
          <w:sz w:val="24"/>
          <w:szCs w:val="24"/>
        </w:rPr>
        <w:t>检测服务工作。</w:t>
      </w:r>
      <w:bookmarkStart w:id="1" w:name="_GoBack"/>
      <w:bookmarkEnd w:id="1"/>
    </w:p>
    <w:sectPr>
      <w:footerReference r:id="rId4" w:type="default"/>
      <w:pgSz w:w="16838" w:h="11906" w:orient="landscape"/>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35C047">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BE91B7">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0CBE91B7">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C17A4">
    <w:pPr>
      <w:pStyle w:val="4"/>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F15292">
                          <w:pPr>
                            <w:pStyle w:val="4"/>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0F15292">
                    <w:pPr>
                      <w:pStyle w:val="4"/>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B05B5F"/>
    <w:rsid w:val="10B05B5F"/>
    <w:rsid w:val="2F3E6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character" w:styleId="7">
    <w:name w:val="Hyperlink"/>
    <w:basedOn w:val="6"/>
    <w:qFormat/>
    <w:uiPriority w:val="0"/>
    <w:rPr>
      <w:color w:val="0000FF"/>
      <w:u w:val="single"/>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 w:type="character" w:customStyle="1" w:styleId="10">
    <w:name w:val="font11"/>
    <w:basedOn w:val="6"/>
    <w:qFormat/>
    <w:uiPriority w:val="0"/>
    <w:rPr>
      <w:rFonts w:hint="eastAsia" w:ascii="宋体" w:hAnsi="宋体" w:eastAsia="宋体" w:cs="宋体"/>
      <w:b/>
      <w:bCs/>
      <w:color w:val="000000"/>
      <w:sz w:val="24"/>
      <w:szCs w:val="24"/>
      <w:u w:val="none"/>
    </w:rPr>
  </w:style>
  <w:style w:type="character" w:customStyle="1" w:styleId="11">
    <w:name w:val="font41"/>
    <w:basedOn w:val="6"/>
    <w:qFormat/>
    <w:uiPriority w:val="0"/>
    <w:rPr>
      <w:rFonts w:hint="default" w:ascii="Times New Roman" w:hAnsi="Times New Roman" w:cs="Times New Roman"/>
      <w:b/>
      <w:bCs/>
      <w:color w:val="000000"/>
      <w:sz w:val="24"/>
      <w:szCs w:val="24"/>
      <w:u w:val="none"/>
    </w:rPr>
  </w:style>
  <w:style w:type="character" w:customStyle="1" w:styleId="12">
    <w:name w:val="font51"/>
    <w:basedOn w:val="6"/>
    <w:qFormat/>
    <w:uiPriority w:val="0"/>
    <w:rPr>
      <w:rFonts w:hint="default" w:ascii="Times New Roman" w:hAnsi="Times New Roman" w:cs="Times New Roman"/>
      <w:color w:val="000000"/>
      <w:sz w:val="24"/>
      <w:szCs w:val="24"/>
      <w:u w:val="none"/>
    </w:rPr>
  </w:style>
  <w:style w:type="character" w:customStyle="1" w:styleId="13">
    <w:name w:val="font6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1</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2026-06-12T10:24:00Z</dcterms:created>
  <dc:creator>Administrator</dc:creator>
  <cp:lastModifiedBy>Administrator</cp:lastModifiedBy>
  <dcterms:modified xsi:type="dcterms:W3CDTF">2026-06-12T10:27:08Z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8F7CB02C17424C25B497166CAD5C42FB_11</vt:lpwstr>
  </property>
  <property fmtid="{D5CDD505-2E9C-101B-9397-08002B2CF9AE}" pid="4" name="KSOTemplateDocerSaveRecord">
    <vt:lpwstr>eyJoZGlkIjoiYTVmOGE0ZGJkZTdjZDMzOGMxNDNmYzQ1MGEyMzBhZDUiLCJ1c2VySWQiOiIzMzkzNzkzNTEifQ==</vt:lpwstr>
  </property>
</Properties>
</file>