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7867E">
      <w:pPr>
        <w:pStyle w:val="23"/>
        <w:rPr>
          <w:rFonts w:ascii="宋体" w:hAnsi="宋体" w:cs="宋体"/>
          <w:b/>
          <w:bCs/>
          <w:sz w:val="32"/>
        </w:rPr>
      </w:pPr>
      <w:bookmarkStart w:id="0" w:name="OLE_LINK51"/>
    </w:p>
    <w:p w14:paraId="53409141"/>
    <w:p w14:paraId="1BBC01DA">
      <w:pPr>
        <w:pStyle w:val="3"/>
        <w:jc w:val="center"/>
        <w:rPr>
          <w:rFonts w:hAnsi="宋体" w:cs="宋体"/>
          <w:b/>
          <w:bCs/>
          <w:sz w:val="32"/>
        </w:rPr>
      </w:pPr>
      <w:bookmarkStart w:id="1" w:name="_Toc13339"/>
      <w:r>
        <w:rPr>
          <w:rFonts w:hint="eastAsia" w:hAnsi="宋体" w:cs="宋体"/>
          <w:b/>
          <w:bCs/>
          <w:sz w:val="32"/>
        </w:rPr>
        <w:t>※第五章  采购需求一览表及采购要求</w:t>
      </w:r>
      <w:bookmarkEnd w:id="1"/>
    </w:p>
    <w:p w14:paraId="106AF13A">
      <w:pPr>
        <w:rPr>
          <w:rFonts w:ascii="宋体" w:hAnsi="宋体" w:cs="宋体"/>
          <w:spacing w:val="-6"/>
          <w:sz w:val="52"/>
        </w:rPr>
      </w:pPr>
    </w:p>
    <w:p w14:paraId="6067351E">
      <w:pPr>
        <w:pStyle w:val="4"/>
        <w:spacing w:before="0" w:after="0" w:line="460" w:lineRule="exact"/>
        <w:jc w:val="center"/>
        <w:rPr>
          <w:rFonts w:ascii="宋体" w:hAnsi="宋体" w:eastAsia="宋体" w:cs="宋体"/>
          <w:sz w:val="28"/>
          <w:szCs w:val="28"/>
        </w:rPr>
      </w:pPr>
      <w:bookmarkStart w:id="2" w:name="_Toc25589"/>
      <w:r>
        <w:rPr>
          <w:rFonts w:hint="eastAsia" w:ascii="宋体" w:hAnsi="宋体" w:eastAsia="宋体" w:cs="宋体"/>
          <w:sz w:val="28"/>
          <w:szCs w:val="28"/>
        </w:rPr>
        <w:t>一、采购需求一览表</w:t>
      </w:r>
      <w:bookmarkEnd w:id="2"/>
    </w:p>
    <w:p w14:paraId="34B1D578">
      <w:pPr>
        <w:adjustRightInd w:val="0"/>
        <w:snapToGrid w:val="0"/>
        <w:spacing w:line="432" w:lineRule="auto"/>
        <w:ind w:left="-8" w:leftChars="-4" w:firstLine="6" w:firstLineChars="3"/>
        <w:rPr>
          <w:rFonts w:ascii="宋体" w:hAnsi="宋体" w:cs="宋体"/>
          <w:b/>
          <w:sz w:val="24"/>
        </w:rPr>
      </w:pPr>
      <w:r>
        <mc:AlternateContent>
          <mc:Choice Requires="wpg">
            <w:drawing>
              <wp:anchor distT="0" distB="0" distL="0" distR="0" simplePos="0" relativeHeight="251659264" behindDoc="0" locked="0" layoutInCell="1" allowOverlap="1">
                <wp:simplePos x="0" y="0"/>
                <wp:positionH relativeFrom="column">
                  <wp:posOffset>-42545</wp:posOffset>
                </wp:positionH>
                <wp:positionV relativeFrom="paragraph">
                  <wp:posOffset>349250</wp:posOffset>
                </wp:positionV>
                <wp:extent cx="1771015" cy="1153160"/>
                <wp:effectExtent l="0" t="0" r="0" b="0"/>
                <wp:wrapNone/>
                <wp:docPr id="1026" name="组合 25"/>
                <wp:cNvGraphicFramePr/>
                <a:graphic xmlns:a="http://schemas.openxmlformats.org/drawingml/2006/main">
                  <a:graphicData uri="http://schemas.microsoft.com/office/word/2010/wordprocessingGroup">
                    <wpg:wgp>
                      <wpg:cNvGrpSpPr/>
                      <wpg:grpSpPr>
                        <a:xfrm rot="0">
                          <a:off x="0" y="0"/>
                          <a:ext cx="1771014" cy="1153160"/>
                          <a:chOff x="17" y="30"/>
                          <a:chExt cx="28" cy="23302"/>
                        </a:xfrm>
                      </wpg:grpSpPr>
                      <wps:wsp>
                        <wps:cNvPr id="1" name="直接连接符 1"/>
                        <wps:cNvCnPr/>
                        <wps:spPr>
                          <a:xfrm>
                            <a:off x="17" y="30"/>
                            <a:ext cx="28" cy="23"/>
                          </a:xfrm>
                          <a:prstGeom prst="line">
                            <a:avLst/>
                          </a:prstGeom>
                          <a:ln w="6350" cap="flat" cmpd="sng">
                            <a:solidFill>
                              <a:srgbClr val="000000"/>
                            </a:solidFill>
                            <a:prstDash val="solid"/>
                            <a:round/>
                            <a:headEnd type="none" w="med" len="med"/>
                            <a:tailEnd type="none" w="med" len="med"/>
                          </a:ln>
                        </wps:spPr>
                        <wps:bodyPr/>
                      </wps:wsp>
                      <wps:wsp>
                        <wps:cNvPr id="2" name="矩形 2"/>
                        <wps:cNvSpPr/>
                        <wps:spPr>
                          <a:xfrm>
                            <a:off x="27" y="31"/>
                            <a:ext cx="3" cy="3"/>
                          </a:xfrm>
                          <a:prstGeom prst="rect">
                            <a:avLst/>
                          </a:prstGeom>
                          <a:ln>
                            <a:noFill/>
                          </a:ln>
                        </wps:spPr>
                        <wps:txbx>
                          <w:txbxContent>
                            <w:p w14:paraId="0DEB7D01">
                              <w:pPr>
                                <w:snapToGrid w:val="0"/>
                                <w:rPr>
                                  <w:sz w:val="24"/>
                                </w:rPr>
                              </w:pPr>
                              <w:r>
                                <w:rPr>
                                  <w:rFonts w:hint="eastAsia"/>
                                  <w:sz w:val="24"/>
                                </w:rPr>
                                <w:t>采</w:t>
                              </w:r>
                            </w:p>
                          </w:txbxContent>
                        </wps:txbx>
                        <wps:bodyPr vert="horz" wrap="square" lIns="0" tIns="0" rIns="0" bIns="0" anchor="t" upright="1"/>
                      </wps:wsp>
                      <wps:wsp>
                        <wps:cNvPr id="3" name="矩形 3"/>
                        <wps:cNvSpPr/>
                        <wps:spPr>
                          <a:xfrm>
                            <a:off x="31" y="35"/>
                            <a:ext cx="3" cy="3"/>
                          </a:xfrm>
                          <a:prstGeom prst="rect">
                            <a:avLst/>
                          </a:prstGeom>
                          <a:ln>
                            <a:noFill/>
                          </a:ln>
                        </wps:spPr>
                        <wps:txbx>
                          <w:txbxContent>
                            <w:p w14:paraId="5627F270">
                              <w:pPr>
                                <w:snapToGrid w:val="0"/>
                                <w:rPr>
                                  <w:sz w:val="24"/>
                                </w:rPr>
                              </w:pPr>
                              <w:r>
                                <w:rPr>
                                  <w:rFonts w:hint="eastAsia"/>
                                  <w:sz w:val="24"/>
                                </w:rPr>
                                <w:t>购</w:t>
                              </w:r>
                            </w:p>
                          </w:txbxContent>
                        </wps:txbx>
                        <wps:bodyPr vert="horz" wrap="square" lIns="0" tIns="0" rIns="0" bIns="0" anchor="t" upright="1"/>
                      </wps:wsp>
                      <wps:wsp>
                        <wps:cNvPr id="4" name="矩形 4"/>
                        <wps:cNvSpPr/>
                        <wps:spPr>
                          <a:xfrm>
                            <a:off x="35" y="38"/>
                            <a:ext cx="3" cy="3"/>
                          </a:xfrm>
                          <a:prstGeom prst="rect">
                            <a:avLst/>
                          </a:prstGeom>
                          <a:ln>
                            <a:noFill/>
                          </a:ln>
                        </wps:spPr>
                        <wps:txbx>
                          <w:txbxContent>
                            <w:p w14:paraId="76F7FCB3">
                              <w:pPr>
                                <w:snapToGrid w:val="0"/>
                                <w:rPr>
                                  <w:sz w:val="24"/>
                                </w:rPr>
                              </w:pPr>
                              <w:r>
                                <w:rPr>
                                  <w:rFonts w:hint="eastAsia"/>
                                  <w:sz w:val="24"/>
                                </w:rPr>
                                <w:t>名</w:t>
                              </w:r>
                            </w:p>
                          </w:txbxContent>
                        </wps:txbx>
                        <wps:bodyPr vert="horz" wrap="square" lIns="0" tIns="0" rIns="0" bIns="0" anchor="t" upright="1"/>
                      </wps:wsp>
                      <wps:wsp>
                        <wps:cNvPr id="5" name="矩形 5"/>
                        <wps:cNvSpPr/>
                        <wps:spPr>
                          <a:xfrm>
                            <a:off x="40" y="42"/>
                            <a:ext cx="3" cy="3"/>
                          </a:xfrm>
                          <a:prstGeom prst="rect">
                            <a:avLst/>
                          </a:prstGeom>
                          <a:ln>
                            <a:noFill/>
                          </a:ln>
                        </wps:spPr>
                        <wps:txbx>
                          <w:txbxContent>
                            <w:p w14:paraId="09826F13">
                              <w:pPr>
                                <w:snapToGrid w:val="0"/>
                                <w:rPr>
                                  <w:sz w:val="24"/>
                                </w:rPr>
                              </w:pPr>
                              <w:r>
                                <w:rPr>
                                  <w:rFonts w:hint="eastAsia"/>
                                  <w:sz w:val="24"/>
                                </w:rPr>
                                <w:t>称</w:t>
                              </w:r>
                            </w:p>
                          </w:txbxContent>
                        </wps:txbx>
                        <wps:bodyPr vert="horz" wrap="square" lIns="0" tIns="0" rIns="0" bIns="0" anchor="t" upright="1"/>
                      </wps:wsp>
                      <wps:wsp>
                        <wps:cNvPr id="6" name="矩形 6"/>
                        <wps:cNvSpPr/>
                        <wps:spPr>
                          <a:xfrm>
                            <a:off x="21" y="40"/>
                            <a:ext cx="3" cy="3"/>
                          </a:xfrm>
                          <a:prstGeom prst="rect">
                            <a:avLst/>
                          </a:prstGeom>
                          <a:ln>
                            <a:noFill/>
                          </a:ln>
                        </wps:spPr>
                        <wps:txbx>
                          <w:txbxContent>
                            <w:p w14:paraId="16CA9618">
                              <w:pPr>
                                <w:snapToGrid w:val="0"/>
                                <w:rPr>
                                  <w:sz w:val="24"/>
                                </w:rPr>
                              </w:pPr>
                              <w:r>
                                <w:rPr>
                                  <w:rFonts w:hint="eastAsia"/>
                                  <w:sz w:val="24"/>
                                </w:rPr>
                                <w:t>内</w:t>
                              </w:r>
                            </w:p>
                          </w:txbxContent>
                        </wps:txbx>
                        <wps:bodyPr vert="horz" wrap="square" lIns="0" tIns="0" rIns="0" bIns="0" anchor="t" upright="1"/>
                      </wps:wsp>
                      <wps:wsp>
                        <wps:cNvPr id="7" name="矩形 7"/>
                        <wps:cNvSpPr/>
                        <wps:spPr>
                          <a:xfrm>
                            <a:off x="29" y="47"/>
                            <a:ext cx="3" cy="3"/>
                          </a:xfrm>
                          <a:prstGeom prst="rect">
                            <a:avLst/>
                          </a:prstGeom>
                          <a:ln>
                            <a:noFill/>
                          </a:ln>
                        </wps:spPr>
                        <wps:txbx>
                          <w:txbxContent>
                            <w:p w14:paraId="3CD39958">
                              <w:pPr>
                                <w:snapToGrid w:val="0"/>
                                <w:rPr>
                                  <w:sz w:val="24"/>
                                </w:rPr>
                              </w:pPr>
                              <w:r>
                                <w:rPr>
                                  <w:rFonts w:hint="eastAsia"/>
                                  <w:sz w:val="24"/>
                                </w:rPr>
                                <w:t>容</w:t>
                              </w:r>
                            </w:p>
                          </w:txbxContent>
                        </wps:txbx>
                        <wps:bodyPr vert="horz" wrap="square" lIns="0" tIns="0" rIns="0" bIns="0" anchor="t" upright="1"/>
                      </wps:wsp>
                    </wpg:wgp>
                  </a:graphicData>
                </a:graphic>
              </wp:anchor>
            </w:drawing>
          </mc:Choice>
          <mc:Fallback>
            <w:pict>
              <v:group id="组合 25" o:spid="_x0000_s1026" o:spt="203" style="position:absolute;left:0pt;margin-left:-3.35pt;margin-top:27.5pt;height:90.8pt;width:139.45pt;z-index:251659264;mso-width-relative:page;mso-height-relative:page;" coordorigin="17,30" coordsize="28,23302" o:gfxdata="UEsDBAoAAAAAAIdO4kAAAAAAAAAAAAAAAAAEAAAAZHJzL1BLAwQUAAAACACHTuJAjykHZtkAAAAJ&#10;AQAADwAAAGRycy9kb3ducmV2LnhtbE2PQWvCQBCF74X+h2UKvekmkURJs5EibU9SqBaKtzE7JsHs&#10;bsiuif77Tk/1No/3ePO9Yn01nRhp8K2zCuJ5BIJs5XRrawXf+/fZCoQPaDV2zpKCG3lYl48PBeba&#10;TfaLxl2oBZdYn6OCJoQ+l9JXDRn0c9eTZe/kBoOB5VBLPeDE5aaTSRRl0mBr+UODPW0aqs67i1Hw&#10;MeH0uojfxu35tLkd9unnzzYmpZ6f4ugFRKBr+A/DHz6jQ8lMR3ex2otOwSxbclJBmvIk9pNlkoA4&#10;8rHIMpBlIe8XlL9QSwMEFAAAAAgAh07iQLzA/QNZAwAAqA4AAA4AAABkcnMvZTJvRG9jLnhtbO1X&#10;y27UMBTdI/EPlvc0k8yjJepMF51SISGoVPgAT+I8pMQ2tmcyw5oFK8QeCSQkkJBYskOIrynlM7i2&#10;k0xnqKopVN0wWUSOH9f3nnPutbN/MC8LNKNS5ZwNsb/TwYiyiMc5S4f42dMH9/YwUpqwmBSc0SFe&#10;UIUPRnfv7FcipAHPeBFTicAIU2ElhjjTWoSep6KMlkTtcEEZDCZclkTDp0y9WJIKrJeFF3Q6A6/i&#10;MhaSR1Qp6B27QVxblJsY5EmSR3TMo2lJmXZWJS2IhpBUlguFR9bbJKGRfpIkimpUDDFEqu0bNoH2&#10;xLy90T4JU0lElke1C2QTF9ZiKknOYNPW1JhogqYy/8NUmUeSK57onYiXngvEIgJR+J01bI4lnwob&#10;SxpWqWhBB6LWUP9rs9Hj2YlEeQxK6AQDjBgpgfPzby/P3rxCQd/gU4k0hGnHUpyKE1l3pO7LhDxP&#10;ZIkkt9CabwgKzS3CixZhOtcogk5/d9fv+D2MIhjz/X7XH9QcRBkQZdb5uxjBYLftP6rXBiBMsyzo&#10;djuBccxze0PDuNh6VAkQplqipf4NrdOMCGpJUAaGBq0Wqrdff77++OvHO3iff/mEfAeZnXvIarxU&#10;qAC6BqwLIK0F28C0DHUlThIKqfQx5SUyjSEucmZcIyGZPVLaQdJMMd0FQ9UQD7p9kHtEIFkTSBJo&#10;lgIIVyy1axUv8vhBXhRmhZLp5LCQaEZMwtindmFlmtlkTFTm5tkhM42EoFgW21ZGSXzEYqQXAhTF&#10;oJZg40xJY4wKCqXHtOxMTfJik5nAd8Es2w2ehuoJjxcWZlCBJd4o9hYUELQKeP/57PsHZCVpdgaR&#10;tInSONootc2OoFa5lQsJG+K7TuLdq2mXUNaupt1Qwbgh1YniEtz0fDKHwSWE5lAATWVcvgCmoCSC&#10;RJ5PiQTeiocMssjUz6Yhm8akaRAWwdIhBn1NhczTDGzZ6G6ZF4CwLmKOF4vlxrx0fVd9bOXb8tKc&#10;6tc6Xy6vmFD0V3jpGY1vzkvf8bLnSsY2X9xt6wZ4AWBXeKnP/A3rWA+KApzJPVv9tvlyg/myvIy5&#10;Oja4Vr4Ero4BPfaI3ebLjeULHNwr+bJ7PV7uu3yxq/6XfLH3c/iBsVf2+mfL/CFd/Lb3uuUP5ug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ywUA&#10;AFtDb250ZW50X1R5cGVzXS54bWxQSwECFAAKAAAAAACHTuJAAAAAAAAAAAAAAAAABgAAAAAAAAAA&#10;ABAAAACtBAAAX3JlbHMvUEsBAhQAFAAAAAgAh07iQIoUZjzRAAAAlAEAAAsAAAAAAAAAAQAgAAAA&#10;0QQAAF9yZWxzLy5yZWxzUEsBAhQACgAAAAAAh07iQAAAAAAAAAAAAAAAAAQAAAAAAAAAAAAQAAAA&#10;AAAAAGRycy9QSwECFAAUAAAACACHTuJAjykHZtkAAAAJAQAADwAAAAAAAAABACAAAAAiAAAAZHJz&#10;L2Rvd25yZXYueG1sUEsBAhQAFAAAAAgAh07iQLzA/QNZAwAAqA4AAA4AAAAAAAAAAQAgAAAAKAEA&#10;AGRycy9lMm9Eb2MueG1sUEsFBgAAAAAGAAYAWQEAAPMGAAAAAA==&#10;">
                <o:lock v:ext="edit" aspectratio="f"/>
                <v:line id="_x0000_s1026" o:spid="_x0000_s1026" o:spt="20" style="position:absolute;left:17;top:30;height:23;width:28;" filled="f" stroked="t" coordsize="21600,21600" o:gfxdata="UEsDBAoAAAAAAIdO4kAAAAAAAAAAAAAAAAAEAAAAZHJzL1BLAwQUAAAACACHTuJA2wcIfbgAAADa&#10;AAAADwAAAGRycy9kb3ducmV2LnhtbEVPTUsDMRC9C/0PYQrebLLCiqxNexC29OLBKp6Hzbi7uJks&#10;yXRT/fWmIHgaHu9ztvuLn9RCMY2BLVQbA4q4C27k3sL7W3v3CCoJssMpMFn4pgT73epmi40LmV9p&#10;OUmvSginBi0MInOjdeoG8pg2YSYu3GeIHqXA2GsXMZdwP+l7Yx60x5FLw4AzPQ/UfZ3O3gJX8jHl&#10;LHmJP/Whrur2aF5aa2/XlXkCJXSRf/Gf++jKfLi+cr169w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wcIfbgAAADaAAAA&#10;DwAAAAAAAAABACAAAAAiAAAAZHJzL2Rvd25yZXYueG1sUEsBAhQAFAAAAAgAh07iQDMvBZ47AAAA&#10;OQAAABAAAAAAAAAAAQAgAAAABwEAAGRycy9zaGFwZXhtbC54bWxQSwUGAAAAAAYABgBbAQAAsQMA&#10;AAAA&#10;">
                  <v:fill on="f" focussize="0,0"/>
                  <v:stroke weight="0.5pt" color="#000000" joinstyle="round"/>
                  <v:imagedata o:title=""/>
                  <o:lock v:ext="edit" aspectratio="f"/>
                </v:line>
                <v:rect id="_x0000_s1026" o:spid="_x0000_s1026" o:spt="1" style="position:absolute;left:27;top:31;height:3;width:3;" filled="f" stroked="f" coordsize="21600,21600" o:gfxdata="UEsDBAoAAAAAAIdO4kAAAAAAAAAAAAAAAAAEAAAAZHJzL1BLAwQUAAAACACHTuJA77nE5b4AAADa&#10;AAAADwAAAGRycy9kb3ducmV2LnhtbEWPQWvCQBSE7wX/w/KE3upGDyVGN0G0xRxbI8TeHtnXJJh9&#10;G7LbxPbXdwsFj8PMfMNss5vpxEiDay0rWC4iEMSV1S3XCs7F61MMwnlkjZ1lUvBNDrJ09rDFRNuJ&#10;32k8+VoECLsEFTTe94mUrmrIoFvYnjh4n3Yw6IMcaqkHnALcdHIVRc/SYMthocGe9g1V19OXUXCM&#10;+90ltz9T3b18HMu3cn0o1l6px/ky2oDwdPP38H871wpW8Hcl3ACZ/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7nE5b4A&#10;AADa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DEB7D01">
                        <w:pPr>
                          <w:snapToGrid w:val="0"/>
                          <w:rPr>
                            <w:sz w:val="24"/>
                          </w:rPr>
                        </w:pPr>
                        <w:r>
                          <w:rPr>
                            <w:rFonts w:hint="eastAsia"/>
                            <w:sz w:val="24"/>
                          </w:rPr>
                          <w:t>采</w:t>
                        </w:r>
                      </w:p>
                    </w:txbxContent>
                  </v:textbox>
                </v:rect>
                <v:rect id="_x0000_s1026" o:spid="_x0000_s1026" o:spt="1" style="position:absolute;left:31;top:35;height:3;width:3;" filled="f" stroked="f" coordsize="21600,21600" o:gfxdata="UEsDBAoAAAAAAIdO4kAAAAAAAAAAAAAAAAAEAAAAZHJzL1BLAwQUAAAACACHTuJAgPVhfr0AAADa&#10;AAAADwAAAGRycy9kb3ducmV2LnhtbEWPT4vCMBTE78J+h/AWvGmqC6LVVJbVRY/+WXC9PZpnW2xe&#10;ShNb9dMbQfA4zMxvmNn8akrRUO0KywoG/QgEcWp1wZmCv/1vbwzCeWSNpWVScCMH8+SjM8NY25a3&#10;1Ox8JgKEXYwKcu+rWEqX5mTQ9W1FHLyTrQ36IOtM6hrbADelHEbRSBosOCzkWNFPTul5dzEKVuPq&#10;+39t721WLo+rw+YwWewnXqnu5yCagvB09e/wq73WCr7geSXcAJk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9WF+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627F270">
                        <w:pPr>
                          <w:snapToGrid w:val="0"/>
                          <w:rPr>
                            <w:sz w:val="24"/>
                          </w:rPr>
                        </w:pPr>
                        <w:r>
                          <w:rPr>
                            <w:rFonts w:hint="eastAsia"/>
                            <w:sz w:val="24"/>
                          </w:rPr>
                          <w:t>购</w:t>
                        </w:r>
                      </w:p>
                    </w:txbxContent>
                  </v:textbox>
                </v:rect>
                <v:rect id="_x0000_s1026" o:spid="_x0000_s1026" o:spt="1" style="position:absolute;left:35;top:38;height:3;width:3;" filled="f" stroked="f" coordsize="21600,21600" o:gfxdata="UEsDBAoAAAAAAIdO4kAAAAAAAAAAAAAAAAAEAAAAZHJzL1BLAwQUAAAACACHTuJADxz5Cr0AAADa&#10;AAAADwAAAGRycy9kb3ducmV2LnhtbEWPT4vCMBTE78J+h/AWvGmqLKLVVJbVRY/+WXC9PZpnW2xe&#10;ShNb9dMbQfA4zMxvmNn8akrRUO0KywoG/QgEcWp1wZmCv/1vbwzCeWSNpWVScCMH8+SjM8NY25a3&#10;1Ox8JgKEXYwKcu+rWEqX5mTQ9W1FHLyTrQ36IOtM6hrbADelHEbRSBosOCzkWNFPTul5dzEKVuPq&#10;+39t721WLo+rw+YwWewnXqnu5yCagvB09e/wq73WCr7geSXcAJk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HPkK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6F7FCB3">
                        <w:pPr>
                          <w:snapToGrid w:val="0"/>
                          <w:rPr>
                            <w:sz w:val="24"/>
                          </w:rPr>
                        </w:pPr>
                        <w:r>
                          <w:rPr>
                            <w:rFonts w:hint="eastAsia"/>
                            <w:sz w:val="24"/>
                          </w:rPr>
                          <w:t>名</w:t>
                        </w:r>
                      </w:p>
                    </w:txbxContent>
                  </v:textbox>
                </v:rect>
                <v:rect id="_x0000_s1026" o:spid="_x0000_s1026" o:spt="1" style="position:absolute;left:40;top:42;height:3;width:3;" filled="f" stroked="f" coordsize="21600,21600" o:gfxdata="UEsDBAoAAAAAAIdO4kAAAAAAAAAAAAAAAAAEAAAAZHJzL1BLAwQUAAAACACHTuJAYFBckb0AAADa&#10;AAAADwAAAGRycy9kb3ducmV2LnhtbEWPT4vCMBTE78J+h/AWvGmqsKLVVJbVRY/+WXC9PZpnW2xe&#10;ShNb9dMbQfA4zMxvmNn8akrRUO0KywoG/QgEcWp1wZmCv/1vbwzCeWSNpWVScCMH8+SjM8NY25a3&#10;1Ox8JgKEXYwKcu+rWEqX5mTQ9W1FHLyTrQ36IOtM6hrbADelHEbRSBosOCzkWNFPTul5dzEKVuPq&#10;+39t721WLo+rw+YwWewnXqnu5yCagvB09e/wq73WCr7geSXcAJk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UFyR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9826F13">
                        <w:pPr>
                          <w:snapToGrid w:val="0"/>
                          <w:rPr>
                            <w:sz w:val="24"/>
                          </w:rPr>
                        </w:pPr>
                        <w:r>
                          <w:rPr>
                            <w:rFonts w:hint="eastAsia"/>
                            <w:sz w:val="24"/>
                          </w:rPr>
                          <w:t>称</w:t>
                        </w:r>
                      </w:p>
                    </w:txbxContent>
                  </v:textbox>
                </v:rect>
                <v:rect id="_x0000_s1026" o:spid="_x0000_s1026" o:spt="1" style="position:absolute;left:21;top:40;height:3;width:3;" filled="f" stroked="f" coordsize="21600,21600" o:gfxdata="UEsDBAoAAAAAAIdO4kAAAAAAAAAAAAAAAAAEAAAAZHJzL1BLAwQUAAAACACHTuJAkILC5r4AAADa&#10;AAAADwAAAGRycy9kb3ducmV2LnhtbEWPQWvCQBSE7wX/w/KE3urGHkKMboJoizm2Roi9PbKvSTD7&#10;NmS3xvbXdwsFj8PMfMNs8pvpxZVG11lWsFxEIIhrqztuFJzK16cEhPPIGnvLpOCbHOTZ7GGDqbYT&#10;v9P16BsRIOxSVNB6P6RSurolg25hB+LgfdrRoA9ybKQecQpw08vnKIqlwY7DQosD7VqqL8cvo+CQ&#10;DNtzYX+mpn/5OFRv1WpfrrxSj/NltAbh6ebv4f92oRXE8Hcl3ACZ/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ILC5r4A&#10;AADa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16CA9618">
                        <w:pPr>
                          <w:snapToGrid w:val="0"/>
                          <w:rPr>
                            <w:sz w:val="24"/>
                          </w:rPr>
                        </w:pPr>
                        <w:r>
                          <w:rPr>
                            <w:rFonts w:hint="eastAsia"/>
                            <w:sz w:val="24"/>
                          </w:rPr>
                          <w:t>内</w:t>
                        </w:r>
                      </w:p>
                    </w:txbxContent>
                  </v:textbox>
                </v:rect>
                <v:rect id="_x0000_s1026" o:spid="_x0000_s1026" o:spt="1" style="position:absolute;left:29;top:47;height:3;width:3;" filled="f" stroked="f" coordsize="21600,21600" o:gfxdata="UEsDBAoAAAAAAIdO4kAAAAAAAAAAAAAAAAAEAAAAZHJzL1BLAwQUAAAACACHTuJA/85nfb0AAADa&#10;AAAADwAAAGRycy9kb3ducmV2LnhtbEWPT4vCMBTE78J+h/AWvGmqh1WrqSyrix79s+B6ezTPtti8&#10;lCa26qc3guBxmJnfMLP51ZSiodoVlhUM+hEI4tTqgjMFf/vf3hiE88gaS8uk4EYO5slHZ4axti1v&#10;qdn5TAQIuxgV5N5XsZQuzcmg69uKOHgnWxv0QdaZ1DW2AW5KOYyiL2mw4LCQY0U/OaXn3cUoWI2r&#10;7/+1vbdZuTyuDpvDZLGfeKW6n4NoCsLT1b/Dr/ZaKxjB80q4ATJ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md9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3CD39958">
                        <w:pPr>
                          <w:snapToGrid w:val="0"/>
                          <w:rPr>
                            <w:sz w:val="24"/>
                          </w:rPr>
                        </w:pPr>
                        <w:r>
                          <w:rPr>
                            <w:rFonts w:hint="eastAsia"/>
                            <w:sz w:val="24"/>
                          </w:rPr>
                          <w:t>容</w:t>
                        </w:r>
                      </w:p>
                    </w:txbxContent>
                  </v:textbox>
                </v:rect>
              </v:group>
            </w:pict>
          </mc:Fallback>
        </mc:AlternateContent>
      </w:r>
    </w:p>
    <w:tbl>
      <w:tblPr>
        <w:tblStyle w:val="31"/>
        <w:tblpPr w:leftFromText="180" w:rightFromText="180" w:vertAnchor="text" w:tblpXSpec="left" w:tblpY="1"/>
        <w:tblOverlap w:val="never"/>
        <w:tblW w:w="87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906"/>
      </w:tblGrid>
      <w:tr w14:paraId="32C92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8" w:hRule="atLeast"/>
        </w:trPr>
        <w:tc>
          <w:tcPr>
            <w:tcW w:w="2835" w:type="dxa"/>
            <w:tcBorders>
              <w:top w:val="single" w:color="auto" w:sz="12" w:space="0"/>
              <w:left w:val="single" w:color="auto" w:sz="12" w:space="0"/>
            </w:tcBorders>
            <w:shd w:val="clear" w:color="auto" w:fill="auto"/>
          </w:tcPr>
          <w:p w14:paraId="1430AB2D">
            <w:pPr>
              <w:spacing w:line="500" w:lineRule="atLeast"/>
              <w:rPr>
                <w:rFonts w:ascii="宋体" w:hAnsi="宋体" w:cs="仿宋"/>
                <w:sz w:val="24"/>
              </w:rPr>
            </w:pPr>
            <w:r>
              <w:rPr>
                <w:sz w:val="24"/>
              </w:rPr>
              <mc:AlternateContent>
                <mc:Choice Requires="wps">
                  <w:drawing>
                    <wp:anchor distT="0" distB="0" distL="0" distR="0" simplePos="0" relativeHeight="251659264" behindDoc="0" locked="0" layoutInCell="1" allowOverlap="1">
                      <wp:simplePos x="0" y="0"/>
                      <wp:positionH relativeFrom="column">
                        <wp:posOffset>-59055</wp:posOffset>
                      </wp:positionH>
                      <wp:positionV relativeFrom="paragraph">
                        <wp:posOffset>-3175</wp:posOffset>
                      </wp:positionV>
                      <wp:extent cx="1800225" cy="1257300"/>
                      <wp:effectExtent l="2540" t="3810" r="6985" b="15240"/>
                      <wp:wrapNone/>
                      <wp:docPr id="1034" name="直线 20"/>
                      <wp:cNvGraphicFramePr/>
                      <a:graphic xmlns:a="http://schemas.openxmlformats.org/drawingml/2006/main">
                        <a:graphicData uri="http://schemas.microsoft.com/office/word/2010/wordprocessingShape">
                          <wps:wsp>
                            <wps:cNvCnPr/>
                            <wps:spPr>
                              <a:xfrm>
                                <a:off x="0" y="0"/>
                                <a:ext cx="1800225" cy="1257300"/>
                              </a:xfrm>
                              <a:prstGeom prst="line">
                                <a:avLst/>
                              </a:prstGeom>
                              <a:ln w="9525" cap="flat" cmpd="sng">
                                <a:solidFill>
                                  <a:srgbClr val="000000"/>
                                </a:solidFill>
                                <a:prstDash val="solid"/>
                                <a:round/>
                                <a:headEnd type="none" w="med" len="med"/>
                                <a:tailEnd type="none" w="med" len="med"/>
                              </a:ln>
                            </wps:spPr>
                            <wps:bodyPr/>
                          </wps:wsp>
                        </a:graphicData>
                      </a:graphic>
                    </wp:anchor>
                  </w:drawing>
                </mc:Choice>
                <mc:Fallback>
                  <w:pict>
                    <v:line id="直线 20" o:spid="_x0000_s1026" o:spt="20" style="position:absolute;left:0pt;margin-left:-4.65pt;margin-top:-0.25pt;height:99pt;width:141.75pt;z-index:251659264;mso-width-relative:page;mso-height-relative:page;" filled="f" stroked="t" coordsize="21600,21600" o:gfxdata="UEsDBAoAAAAAAIdO4kAAAAAAAAAAAAAAAAAEAAAAZHJzL1BLAwQUAAAACACHTuJAjnkCatgAAAAI&#10;AQAADwAAAGRycy9kb3ducmV2LnhtbE2PPU/DQAyGdyT+w8lILFV715S2NOTSAcjG0kLF6iYmicj5&#10;0tz1A349ZoLJst5Hrx9n64vr1ImG0Hq2MJ0YUMSlr1quLby9FuN7UCEiV9h5JgtfFGCdX19lmFb+&#10;zBs6bWOtpIRDihaaGPtU61A25DBMfE8s2YcfHEZZh1pXA56l3HU6MWahHbYsFxrs6bGh8nN7dBZC&#10;saND8T0qR+Z9VntKDk8vz2jt7c3UPICKdIl/MPzqizrk4rT3R66C6iyMVzMhZc5BSZws7xJQe+FW&#10;yznoPNP/H8h/AFBLAwQUAAAACACHTuJAZFj0YOwBAADjAwAADgAAAGRycy9lMm9Eb2MueG1srVNL&#10;jhMxEN0jcQfLe9KdHgJDK51ZTBg2CCINHKBiu9OW/JPLSSdn4Rqs2HCcuQZlJyQwbLKgF+5yuepV&#10;vefy/G5vDdupiNq7jk8nNWfKCS+123T865eHV7ecYQInwXinOn5QyO8WL1/Mx9Cqxg/eSBUZgThs&#10;x9DxIaXQVhWKQVnAiQ/K0WHvo4VE27ipZISR0K2pmrp+U40+yhC9UIjkXR4P+QkxXgPo+14LtfRi&#10;a5VLR9SoDCSihIMOyBel275XIn3ue1SJmY4T01RWKkL2Oq/VYg7tJkIYtDi1ANe08IyTBe2o6Blq&#10;CQnYNup/oKwW0aPv00R4Wx2JFEWIxbR+ps3jAEEVLiQ1hrPo+P9gxafdKjItaRLqm9ecObB050/f&#10;vj/9+Mmaos8YsKWwe7eKpFbeYVjFTHbfR5v/RIPti6aHs6Zqn5gg5/S2rptmxpmgs2kze3tTF9Tq&#10;kh4ipg/KW5aNjhvtMmloYfcRE5Wk0N8h2W0cGzv+blZAgSawp5snfBuIBbpNyUVvtHzQxuQMjJv1&#10;vYlsB3kKypcvnnD/CstFloDDMa4cHecj+q2TZVIGBfK9kywdAsnk6IHw3IxVkjOj6D1lq0Qm0Oaa&#10;SGrCOOrlomu21l4eitzFT3dfuj3NaR6uP/cl+/I2F7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jnkCatgAAAAIAQAADwAAAAAAAAABACAAAAAiAAAAZHJzL2Rvd25yZXYueG1sUEsBAhQAFAAAAAgA&#10;h07iQGRY9GDsAQAA4wMAAA4AAAAAAAAAAQAgAAAAJwEAAGRycy9lMm9Eb2MueG1sUEsFBgAAAAAG&#10;AAYAWQEAAIUFAAAAAA==&#10;">
                      <v:fill on="f" focussize="0,0"/>
                      <v:stroke color="#000000" joinstyle="round"/>
                      <v:imagedata o:title=""/>
                      <o:lock v:ext="edit" aspectratio="f"/>
                    </v:line>
                  </w:pict>
                </mc:Fallback>
              </mc:AlternateContent>
            </w:r>
            <w:r>
              <w:rPr>
                <w:rFonts w:hint="eastAsia" w:ascii="宋体" w:hAnsi="宋体" w:cs="仿宋"/>
                <w:sz w:val="24"/>
              </w:rPr>
              <w:t xml:space="preserve">      </w:t>
            </w:r>
          </w:p>
          <w:p w14:paraId="2E4C9886">
            <w:pPr>
              <w:spacing w:line="500" w:lineRule="atLeast"/>
              <w:rPr>
                <w:rFonts w:ascii="宋体" w:hAnsi="宋体" w:cs="仿宋"/>
                <w:sz w:val="24"/>
                <w:szCs w:val="24"/>
              </w:rPr>
            </w:pPr>
            <w:r>
              <w:rPr>
                <w:rFonts w:hint="eastAsia" w:ascii="宋体" w:hAnsi="宋体" w:cs="仿宋"/>
                <w:sz w:val="24"/>
              </w:rPr>
              <w:t xml:space="preserve">         </w:t>
            </w:r>
            <w:r>
              <w:rPr>
                <w:rFonts w:hint="eastAsia" w:ascii="宋体" w:hAnsi="宋体" w:cs="仿宋"/>
                <w:sz w:val="24"/>
                <w:szCs w:val="24"/>
              </w:rPr>
              <w:t>采购条目名称</w:t>
            </w:r>
          </w:p>
          <w:p w14:paraId="3C321551">
            <w:pPr>
              <w:pStyle w:val="4"/>
              <w:spacing w:before="0" w:after="0" w:line="500" w:lineRule="atLeast"/>
              <w:rPr>
                <w:rFonts w:ascii="宋体" w:hAnsi="宋体" w:eastAsia="宋体"/>
                <w:b w:val="0"/>
                <w:sz w:val="24"/>
                <w:szCs w:val="24"/>
              </w:rPr>
            </w:pPr>
            <w:r>
              <w:rPr>
                <w:rFonts w:hint="eastAsia" w:ascii="宋体" w:hAnsi="宋体" w:eastAsia="宋体"/>
                <w:b w:val="0"/>
                <w:sz w:val="24"/>
                <w:szCs w:val="24"/>
              </w:rPr>
              <w:t xml:space="preserve">   </w:t>
            </w:r>
          </w:p>
          <w:p w14:paraId="5B5F6AA2">
            <w:pPr>
              <w:spacing w:line="500" w:lineRule="atLeast"/>
              <w:rPr>
                <w:rFonts w:ascii="Arial" w:hAnsi="Arial" w:eastAsia="黑体"/>
                <w:b/>
                <w:bCs/>
                <w:sz w:val="32"/>
                <w:szCs w:val="32"/>
              </w:rPr>
            </w:pPr>
            <w:r>
              <w:rPr>
                <w:rFonts w:hint="eastAsia" w:ascii="宋体" w:hAnsi="宋体"/>
                <w:sz w:val="24"/>
                <w:szCs w:val="24"/>
              </w:rPr>
              <w:t xml:space="preserve"> 内容</w:t>
            </w:r>
          </w:p>
        </w:tc>
        <w:tc>
          <w:tcPr>
            <w:tcW w:w="5906" w:type="dxa"/>
            <w:tcBorders>
              <w:top w:val="single" w:color="auto" w:sz="12" w:space="0"/>
              <w:right w:val="single" w:color="auto" w:sz="12" w:space="0"/>
            </w:tcBorders>
            <w:vAlign w:val="center"/>
          </w:tcPr>
          <w:p w14:paraId="24D717B0">
            <w:pPr>
              <w:jc w:val="center"/>
              <w:rPr>
                <w:sz w:val="24"/>
              </w:rPr>
            </w:pPr>
            <w:r>
              <w:rPr>
                <w:rFonts w:hint="eastAsia"/>
                <w:sz w:val="24"/>
              </w:rPr>
              <w:t>详见“第一章磋商邀请”</w:t>
            </w:r>
          </w:p>
        </w:tc>
      </w:tr>
      <w:tr w14:paraId="4B240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2835" w:type="dxa"/>
            <w:tcBorders>
              <w:left w:val="single" w:color="auto" w:sz="12" w:space="0"/>
            </w:tcBorders>
            <w:vAlign w:val="center"/>
          </w:tcPr>
          <w:p w14:paraId="2099B562">
            <w:pPr>
              <w:spacing w:line="900" w:lineRule="exact"/>
              <w:jc w:val="center"/>
              <w:rPr>
                <w:rFonts w:ascii="宋体" w:hAnsi="宋体"/>
                <w:sz w:val="24"/>
              </w:rPr>
            </w:pPr>
            <w:r>
              <w:rPr>
                <w:rFonts w:hint="eastAsia" w:ascii="宋体" w:hAnsi="宋体"/>
                <w:sz w:val="24"/>
              </w:rPr>
              <w:t>数量</w:t>
            </w:r>
          </w:p>
        </w:tc>
        <w:tc>
          <w:tcPr>
            <w:tcW w:w="5906" w:type="dxa"/>
            <w:tcBorders>
              <w:right w:val="single" w:color="auto" w:sz="12" w:space="0"/>
            </w:tcBorders>
            <w:vAlign w:val="center"/>
          </w:tcPr>
          <w:p w14:paraId="6EC5A831">
            <w:pPr>
              <w:pStyle w:val="2"/>
              <w:jc w:val="center"/>
              <w:rPr>
                <w:sz w:val="24"/>
                <w:szCs w:val="24"/>
              </w:rPr>
            </w:pPr>
            <w:r>
              <w:rPr>
                <w:rFonts w:hint="eastAsia"/>
                <w:sz w:val="24"/>
                <w:szCs w:val="24"/>
              </w:rPr>
              <w:t>详见第五章采购要求</w:t>
            </w:r>
          </w:p>
        </w:tc>
      </w:tr>
      <w:tr w14:paraId="6BAB1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115F1513">
            <w:pPr>
              <w:spacing w:line="900" w:lineRule="exact"/>
              <w:jc w:val="center"/>
              <w:rPr>
                <w:rFonts w:ascii="宋体" w:hAnsi="宋体"/>
                <w:sz w:val="24"/>
              </w:rPr>
            </w:pPr>
            <w:r>
              <w:rPr>
                <w:rFonts w:hint="eastAsia" w:ascii="宋体" w:hAnsi="宋体"/>
                <w:sz w:val="24"/>
              </w:rPr>
              <w:t>交货期</w:t>
            </w:r>
          </w:p>
        </w:tc>
        <w:tc>
          <w:tcPr>
            <w:tcW w:w="5906" w:type="dxa"/>
            <w:tcBorders>
              <w:right w:val="single" w:color="auto" w:sz="12" w:space="0"/>
            </w:tcBorders>
            <w:vAlign w:val="center"/>
          </w:tcPr>
          <w:p w14:paraId="5A2C045D">
            <w:pPr>
              <w:spacing w:line="900" w:lineRule="exact"/>
              <w:jc w:val="center"/>
              <w:rPr>
                <w:rFonts w:ascii="宋体" w:hAnsi="宋体"/>
                <w:sz w:val="24"/>
              </w:rPr>
            </w:pPr>
            <w:r>
              <w:rPr>
                <w:rFonts w:hint="eastAsia" w:ascii="宋体" w:hAnsi="宋体" w:cs="宋体"/>
                <w:sz w:val="24"/>
                <w:szCs w:val="24"/>
              </w:rPr>
              <w:t>详见商务条款</w:t>
            </w:r>
          </w:p>
        </w:tc>
      </w:tr>
      <w:tr w14:paraId="45BA2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54B80515">
            <w:pPr>
              <w:spacing w:line="900" w:lineRule="exact"/>
              <w:jc w:val="center"/>
              <w:rPr>
                <w:rFonts w:ascii="宋体" w:hAnsi="宋体"/>
                <w:sz w:val="24"/>
              </w:rPr>
            </w:pPr>
            <w:r>
              <w:rPr>
                <w:rFonts w:hint="eastAsia" w:ascii="宋体" w:hAnsi="宋体"/>
                <w:sz w:val="24"/>
              </w:rPr>
              <w:t>交货地点</w:t>
            </w:r>
          </w:p>
        </w:tc>
        <w:tc>
          <w:tcPr>
            <w:tcW w:w="5906" w:type="dxa"/>
            <w:tcBorders>
              <w:right w:val="single" w:color="auto" w:sz="12" w:space="0"/>
            </w:tcBorders>
            <w:vAlign w:val="center"/>
          </w:tcPr>
          <w:p w14:paraId="44DD947A">
            <w:pPr>
              <w:spacing w:line="900" w:lineRule="exact"/>
              <w:jc w:val="center"/>
              <w:rPr>
                <w:rFonts w:ascii="宋体" w:hAnsi="宋体"/>
                <w:sz w:val="24"/>
              </w:rPr>
            </w:pPr>
            <w:r>
              <w:rPr>
                <w:rFonts w:hint="eastAsia" w:ascii="宋体" w:hAnsi="宋体" w:cs="宋体"/>
                <w:bCs/>
                <w:sz w:val="24"/>
                <w:szCs w:val="24"/>
              </w:rPr>
              <w:t>采购人指定指点</w:t>
            </w:r>
          </w:p>
        </w:tc>
      </w:tr>
      <w:tr w14:paraId="34122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7F67F82E">
            <w:pPr>
              <w:spacing w:line="900" w:lineRule="exact"/>
              <w:jc w:val="center"/>
              <w:rPr>
                <w:rFonts w:ascii="宋体" w:hAnsi="宋体"/>
                <w:sz w:val="24"/>
                <w:highlight w:val="yellow"/>
              </w:rPr>
            </w:pPr>
            <w:r>
              <w:rPr>
                <w:rFonts w:hint="eastAsia" w:ascii="宋体" w:hAnsi="宋体"/>
                <w:sz w:val="24"/>
              </w:rPr>
              <w:t>备注</w:t>
            </w:r>
          </w:p>
        </w:tc>
        <w:tc>
          <w:tcPr>
            <w:tcW w:w="5906" w:type="dxa"/>
            <w:tcBorders>
              <w:right w:val="single" w:color="auto" w:sz="12" w:space="0"/>
            </w:tcBorders>
            <w:vAlign w:val="center"/>
          </w:tcPr>
          <w:p w14:paraId="00FF4AA2">
            <w:pPr>
              <w:spacing w:line="460" w:lineRule="exact"/>
              <w:jc w:val="left"/>
              <w:rPr>
                <w:rFonts w:ascii="宋体" w:hAnsi="宋体"/>
                <w:sz w:val="24"/>
                <w:szCs w:val="24"/>
                <w:highlight w:val="yellow"/>
              </w:rPr>
            </w:pPr>
          </w:p>
        </w:tc>
      </w:tr>
    </w:tbl>
    <w:p w14:paraId="3B02FA5B">
      <w:pPr>
        <w:jc w:val="center"/>
        <w:rPr>
          <w:rFonts w:ascii="宋体" w:hAnsi="宋体" w:cs="宋体"/>
          <w:spacing w:val="-6"/>
          <w:sz w:val="52"/>
        </w:rPr>
      </w:pPr>
    </w:p>
    <w:p w14:paraId="647E54F4">
      <w:pPr>
        <w:pStyle w:val="2"/>
      </w:pPr>
    </w:p>
    <w:p w14:paraId="43663980">
      <w:pPr>
        <w:jc w:val="center"/>
        <w:rPr>
          <w:rFonts w:ascii="宋体" w:hAnsi="宋体" w:cs="宋体"/>
          <w:spacing w:val="-6"/>
          <w:sz w:val="52"/>
        </w:rPr>
        <w:sectPr>
          <w:headerReference r:id="rId3" w:type="default"/>
          <w:footerReference r:id="rId4" w:type="default"/>
          <w:pgSz w:w="11906" w:h="16838"/>
          <w:pgMar w:top="1440" w:right="1028" w:bottom="1440" w:left="1418" w:header="851" w:footer="851" w:gutter="0"/>
          <w:cols w:space="720" w:num="1"/>
          <w:docGrid w:linePitch="312" w:charSpace="0"/>
        </w:sectPr>
      </w:pPr>
    </w:p>
    <w:p w14:paraId="327C9382">
      <w:pPr>
        <w:numPr>
          <w:numId w:val="0"/>
        </w:numPr>
        <w:spacing w:line="440" w:lineRule="exact"/>
        <w:ind w:leftChars="0"/>
        <w:jc w:val="both"/>
        <w:outlineLvl w:val="1"/>
        <w:rPr>
          <w:rFonts w:ascii="宋体" w:hAnsi="宋体" w:cs="宋体"/>
          <w:b/>
          <w:sz w:val="24"/>
          <w:szCs w:val="24"/>
        </w:rPr>
      </w:pPr>
      <w:bookmarkStart w:id="3" w:name="_Toc11252"/>
      <w:r>
        <w:rPr>
          <w:rFonts w:hint="eastAsia" w:ascii="宋体" w:hAnsi="宋体" w:cs="宋体"/>
          <w:b/>
          <w:sz w:val="24"/>
          <w:szCs w:val="24"/>
          <w:lang w:val="en-US" w:eastAsia="zh-CN"/>
        </w:rPr>
        <w:t xml:space="preserve">                                   二、</w:t>
      </w:r>
      <w:r>
        <w:rPr>
          <w:rFonts w:hint="eastAsia" w:ascii="宋体" w:hAnsi="宋体" w:cs="宋体"/>
          <w:b/>
          <w:sz w:val="24"/>
          <w:szCs w:val="24"/>
        </w:rPr>
        <w:t>技术要求</w:t>
      </w:r>
      <w:bookmarkEnd w:id="3"/>
    </w:p>
    <w:p w14:paraId="44FDA3A0">
      <w:pPr>
        <w:spacing w:line="500" w:lineRule="exact"/>
        <w:rPr>
          <w:rFonts w:hint="eastAsia" w:ascii="宋体" w:hAnsi="宋体" w:cs="宋体"/>
          <w:b/>
          <w:bCs/>
          <w:kern w:val="44"/>
          <w:sz w:val="24"/>
          <w:szCs w:val="24"/>
        </w:rPr>
      </w:pPr>
      <w:bookmarkStart w:id="4" w:name="bookmark102"/>
      <w:bookmarkEnd w:id="4"/>
      <w:bookmarkStart w:id="5" w:name="bookmark103"/>
      <w:bookmarkEnd w:id="5"/>
      <w:bookmarkStart w:id="6" w:name="_Toc39661457"/>
      <w:r>
        <w:rPr>
          <w:rFonts w:hint="eastAsia" w:ascii="宋体" w:hAnsi="宋体" w:cs="宋体"/>
          <w:b/>
          <w:bCs/>
          <w:kern w:val="44"/>
          <w:sz w:val="24"/>
          <w:szCs w:val="24"/>
        </w:rPr>
        <w:t>服务</w:t>
      </w:r>
      <w:r>
        <w:rPr>
          <w:rFonts w:ascii="宋体" w:hAnsi="宋体" w:cs="宋体"/>
          <w:b/>
          <w:bCs/>
          <w:kern w:val="44"/>
          <w:sz w:val="24"/>
          <w:szCs w:val="24"/>
        </w:rPr>
        <w:t>标准及要求</w:t>
      </w:r>
      <w:bookmarkEnd w:id="6"/>
      <w:r>
        <w:rPr>
          <w:rFonts w:hint="eastAsia" w:ascii="宋体" w:hAnsi="宋体" w:cs="宋体"/>
          <w:b/>
          <w:bCs/>
          <w:kern w:val="44"/>
          <w:sz w:val="24"/>
          <w:szCs w:val="24"/>
        </w:rPr>
        <w:t>：</w:t>
      </w:r>
    </w:p>
    <w:p w14:paraId="2157C4FA">
      <w:pPr>
        <w:keepNext w:val="0"/>
        <w:keepLines w:val="0"/>
        <w:pageBreakBefore w:val="0"/>
        <w:numPr>
          <w:ilvl w:val="0"/>
          <w:numId w:val="0"/>
        </w:numPr>
        <w:kinsoku/>
        <w:wordWrap/>
        <w:overflowPunct/>
        <w:topLinePunct w:val="0"/>
        <w:autoSpaceDE/>
        <w:autoSpaceDN/>
        <w:bidi w:val="0"/>
        <w:adjustRightInd/>
        <w:snapToGrid/>
        <w:spacing w:line="400" w:lineRule="exact"/>
        <w:textAlignment w:val="auto"/>
        <w:outlineLvl w:val="3"/>
        <w:rPr>
          <w:rFonts w:hint="eastAsia" w:ascii="宋体" w:cs="宋体"/>
          <w:b/>
          <w:bCs/>
          <w:sz w:val="24"/>
        </w:rPr>
      </w:pPr>
      <w:r>
        <w:rPr>
          <w:rFonts w:hint="eastAsia" w:ascii="宋体" w:cs="宋体"/>
          <w:b/>
          <w:bCs/>
          <w:sz w:val="24"/>
          <w:lang w:val="en-US" w:eastAsia="zh-CN"/>
        </w:rPr>
        <w:t>一、</w:t>
      </w:r>
      <w:r>
        <w:rPr>
          <w:rFonts w:hint="eastAsia" w:ascii="宋体" w:cs="宋体"/>
          <w:b/>
          <w:bCs/>
          <w:sz w:val="24"/>
        </w:rPr>
        <w:t>项目服务概况</w:t>
      </w:r>
    </w:p>
    <w:p w14:paraId="3B00A758">
      <w:pPr>
        <w:keepNext w:val="0"/>
        <w:keepLines w:val="0"/>
        <w:pageBreakBefore w:val="0"/>
        <w:numPr>
          <w:ilvl w:val="0"/>
          <w:numId w:val="0"/>
        </w:numPr>
        <w:kinsoku/>
        <w:wordWrap/>
        <w:overflowPunct/>
        <w:topLinePunct w:val="0"/>
        <w:autoSpaceDE/>
        <w:autoSpaceDN/>
        <w:bidi w:val="0"/>
        <w:adjustRightInd/>
        <w:snapToGrid/>
        <w:spacing w:line="400" w:lineRule="exact"/>
        <w:ind w:firstLine="480" w:firstLineChars="200"/>
        <w:textAlignment w:val="auto"/>
        <w:outlineLvl w:val="3"/>
        <w:rPr>
          <w:rFonts w:hint="eastAsia" w:ascii="宋体" w:cs="宋体"/>
          <w:b w:val="0"/>
          <w:bCs w:val="0"/>
          <w:sz w:val="24"/>
        </w:rPr>
      </w:pPr>
      <w:r>
        <w:rPr>
          <w:rFonts w:hint="eastAsia" w:ascii="宋体" w:cs="宋体"/>
          <w:b w:val="0"/>
          <w:bCs w:val="0"/>
          <w:sz w:val="24"/>
        </w:rPr>
        <w:t>南昌市第</w:t>
      </w:r>
      <w:r>
        <w:rPr>
          <w:rFonts w:hint="eastAsia" w:ascii="宋体" w:cs="宋体"/>
          <w:b w:val="0"/>
          <w:bCs w:val="0"/>
          <w:sz w:val="24"/>
          <w:lang w:val="en-US" w:eastAsia="zh-CN"/>
        </w:rPr>
        <w:t>二十三</w:t>
      </w:r>
      <w:r>
        <w:rPr>
          <w:rFonts w:hint="eastAsia" w:ascii="宋体" w:cs="宋体"/>
          <w:b w:val="0"/>
          <w:bCs w:val="0"/>
          <w:sz w:val="24"/>
          <w:lang w:eastAsia="zh-CN"/>
        </w:rPr>
        <w:t>中学，</w:t>
      </w:r>
      <w:r>
        <w:rPr>
          <w:rFonts w:hint="eastAsia" w:ascii="宋体" w:cs="宋体"/>
          <w:b w:val="0"/>
          <w:bCs w:val="0"/>
          <w:sz w:val="24"/>
        </w:rPr>
        <w:t>坐落</w:t>
      </w:r>
      <w:r>
        <w:rPr>
          <w:rFonts w:hint="eastAsia" w:ascii="宋体" w:cs="宋体"/>
          <w:b w:val="0"/>
          <w:bCs w:val="0"/>
          <w:sz w:val="24"/>
          <w:lang w:val="en-US" w:eastAsia="zh-CN"/>
        </w:rPr>
        <w:t>于</w:t>
      </w:r>
      <w:r>
        <w:rPr>
          <w:rFonts w:hint="eastAsia" w:ascii="宋体" w:cs="宋体"/>
          <w:b w:val="0"/>
          <w:bCs w:val="0"/>
          <w:sz w:val="24"/>
        </w:rPr>
        <w:t>江西省南昌市</w:t>
      </w:r>
      <w:r>
        <w:rPr>
          <w:rFonts w:hint="eastAsia" w:ascii="宋体" w:cs="宋体"/>
          <w:b w:val="0"/>
          <w:bCs w:val="0"/>
          <w:sz w:val="24"/>
          <w:lang w:val="en-US" w:eastAsia="zh-CN"/>
        </w:rPr>
        <w:t>青山湖南京东路116号</w:t>
      </w:r>
      <w:r>
        <w:rPr>
          <w:rFonts w:hint="eastAsia" w:ascii="宋体" w:cs="宋体"/>
          <w:b w:val="0"/>
          <w:bCs w:val="0"/>
          <w:sz w:val="24"/>
        </w:rPr>
        <w:t>。供应商需要为学校提供物业服务，营造洁净优美舒适的学习与教学环境，帮助学校塑造良好的单位形象。</w:t>
      </w:r>
    </w:p>
    <w:p w14:paraId="22F49DE6">
      <w:pPr>
        <w:keepNext w:val="0"/>
        <w:keepLines w:val="0"/>
        <w:pageBreakBefore w:val="0"/>
        <w:numPr>
          <w:ilvl w:val="0"/>
          <w:numId w:val="0"/>
        </w:numPr>
        <w:kinsoku/>
        <w:wordWrap/>
        <w:overflowPunct/>
        <w:topLinePunct w:val="0"/>
        <w:autoSpaceDE/>
        <w:autoSpaceDN/>
        <w:bidi w:val="0"/>
        <w:adjustRightInd/>
        <w:snapToGrid/>
        <w:spacing w:line="400" w:lineRule="exact"/>
        <w:textAlignment w:val="auto"/>
        <w:outlineLvl w:val="3"/>
        <w:rPr>
          <w:rFonts w:hint="eastAsia" w:ascii="宋体" w:hAnsi="Times New Roman" w:eastAsia="宋体" w:cs="宋体"/>
          <w:b/>
          <w:bCs/>
          <w:sz w:val="24"/>
        </w:rPr>
      </w:pPr>
      <w:r>
        <w:rPr>
          <w:rFonts w:hint="eastAsia" w:ascii="宋体" w:hAnsi="Times New Roman" w:eastAsia="宋体" w:cs="宋体"/>
          <w:b/>
          <w:bCs/>
          <w:sz w:val="24"/>
          <w:lang w:val="en-US" w:eastAsia="zh-CN"/>
        </w:rPr>
        <w:t>二、</w:t>
      </w:r>
      <w:r>
        <w:rPr>
          <w:rFonts w:hint="eastAsia" w:ascii="宋体" w:hAnsi="Times New Roman" w:eastAsia="宋体" w:cs="宋体"/>
          <w:b/>
          <w:bCs/>
          <w:sz w:val="24"/>
        </w:rPr>
        <w:t>物业服务内容和标准</w:t>
      </w:r>
    </w:p>
    <w:p w14:paraId="64D3B1F4">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（一）物业管理范围：</w:t>
      </w:r>
    </w:p>
    <w:p w14:paraId="28872FC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本项目共用部位和相关场地的环境治理、卫生清扫、水电维修、蚊虫及卫生消杀及安保管理。</w:t>
      </w:r>
    </w:p>
    <w:p w14:paraId="456FA78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（1）校园、室外的环境卫生保洁。</w:t>
      </w:r>
    </w:p>
    <w:p w14:paraId="7FF682D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（2）办公楼、实验楼、教学楼、体艺楼内楼梯、走廊、公共场所门窗保洁；楼内公共厕所保洁；图书阁、知黍园、地下车库打扫。</w:t>
      </w:r>
    </w:p>
    <w:p w14:paraId="5845C2D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（3）校园内部分办公室、会议室、接待室、专用教室卫生保洁。</w:t>
      </w:r>
    </w:p>
    <w:p w14:paraId="1D7E4078">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（4）管理好楼内外公共消防设备设施，确保消防安全，保证楼内外下水管道畅通。</w:t>
      </w:r>
    </w:p>
    <w:p w14:paraId="04A9C872">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（5）校园用电开关管理。</w:t>
      </w:r>
    </w:p>
    <w:p w14:paraId="3FCD8FE3">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（6）校园内水电、门窗桌椅及地面的零星维护、维修。</w:t>
      </w:r>
    </w:p>
    <w:p w14:paraId="04F2839E">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（7）学校垃圾定时清运。</w:t>
      </w:r>
    </w:p>
    <w:p w14:paraId="600662A8">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（8）校园内其他临时性杂事，如：水池清洗、活动布置等。</w:t>
      </w:r>
    </w:p>
    <w:p w14:paraId="7BA38A3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夜班值守：夜间校区安全巡查、安全监控、门岗执勤等；工作热情，坚持原则，礼貌待人。严格校门秩序管理，严格外来车辆出入管理，严禁学校门前停放车辆。</w:t>
      </w:r>
    </w:p>
    <w:p w14:paraId="11A6BD7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物业公司应对全体物业服务人员进行岗前相关专业技能及消防安全知识培训，掌握物业管理基本法律法规，熟悉校园的基本情况，能正确使用相关专用设备。</w:t>
      </w:r>
    </w:p>
    <w:p w14:paraId="22DD4212">
      <w:pPr>
        <w:pStyle w:val="14"/>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具体要求如下：</w:t>
      </w:r>
    </w:p>
    <w:p w14:paraId="50808C2B">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（二）环境保洁要求及标准</w:t>
      </w:r>
    </w:p>
    <w:p w14:paraId="7057D04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1、保洁要求及标准</w:t>
      </w:r>
    </w:p>
    <w:p w14:paraId="1942346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（1）道路环境应整洁，清扫要及时，做到无杂物、废纸、烟头、果皮、痰迹、积水等；</w:t>
      </w:r>
    </w:p>
    <w:p w14:paraId="19839E0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（2）阴井、排水设施应通畅，无污水外溢，排水口处无淤泥和杂物。各井口盖完好，化粪池应定期清理，无粪便外溢。</w:t>
      </w:r>
    </w:p>
    <w:p w14:paraId="4A45B63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（3）卫生间的地面、蹲坑，每天冲洗；及时保洁保持洗手间空气无异味，清洁洗手间工具材料应专用，清洁完毕，清洁工具应清洗干净。</w:t>
      </w:r>
    </w:p>
    <w:p w14:paraId="63AF565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（4）每周清洗垃圾桶1次，每月喷洒消毒灭害药剂2次。垃圾桶整洁、干净、无异味，灭害措施完善。垃圾桶外侧表面光洁、无灰尘；学校特殊情况需要消杀时要安排人员。</w:t>
      </w:r>
    </w:p>
    <w:p w14:paraId="0DB1A57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（5）外围垃圾桶垃圾不能有溢出，垃圾及时清运到学校指定的垃圾转运站。</w:t>
      </w:r>
    </w:p>
    <w:p w14:paraId="0E079A8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（6）建筑物内外无乱写、乱划、乱粘贴，无残标；公共设施、牌匾、路标、雕塑、亭廊、石桌椅应定期擦拭，保持清洁；地面瓷砖小破损进行修补。</w:t>
      </w:r>
    </w:p>
    <w:p w14:paraId="3239DCE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2、校园室外保洁标准</w:t>
      </w:r>
    </w:p>
    <w:p w14:paraId="526B7FC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（1）校园室外地面：包括操场、路面、亭子、景观带和绿化带中的小路、绿化带裸露面以及边角、死角；</w:t>
      </w:r>
    </w:p>
    <w:p w14:paraId="435BD1F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（2）地面标准：一日两扫，全天维护。地面无垃圾、烟头、杂物和积水，无明显污渍、泥沙；果皮箱、垃圾桶外表无明显污渍，无垃圾粘附物；明沟内无杂物，路沿无杂草；</w:t>
      </w:r>
    </w:p>
    <w:p w14:paraId="58D50D0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（3）保洁员及时清倒果皮箱、垃圾桶内的垃圾，清干净垃圾桶边散落的垃圾及杂物并定期清理垃圾桶果皮箱外壳；</w:t>
      </w:r>
    </w:p>
    <w:p w14:paraId="2523ADD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（4）校园主要干道的地面卫生应在每日早8：10以前清扫完毕。公共场所应定期清扫，保持清洁。上课期间不得有任何影响授课的清扫活动。</w:t>
      </w:r>
    </w:p>
    <w:p w14:paraId="19E5E36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（5）地下车库每周拖洗一次；水池里的垃圾要每日打捞，水池每个月定期清洗一次。</w:t>
      </w:r>
    </w:p>
    <w:p w14:paraId="0F7CC7C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（6）门前三包工作应符合门前三包的标准和要求。</w:t>
      </w:r>
    </w:p>
    <w:p w14:paraId="0041BF0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（7）冬天应及时清理院内主要干道的积雪，保证道路通畅和安全。如洒盐水除雪，不得将积雪清扫堆放到绿篱和绿地内。</w:t>
      </w:r>
    </w:p>
    <w:p w14:paraId="0CCE235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（8）根据节假日的要求及时挂收国旗、彩旗、灯笼；开关大门彩灯、射灯。</w:t>
      </w:r>
    </w:p>
    <w:p w14:paraId="0F3E613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（9）做好卫生防疫工作，定期喷洒药物，灭鼠除害。正确使用各种灭虫药物，防止事故发生。</w:t>
      </w:r>
    </w:p>
    <w:p w14:paraId="1649AD2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（10）完成学校领导交给的临时性任务。</w:t>
      </w:r>
    </w:p>
    <w:p w14:paraId="1918E00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3、卫生间服务标准</w:t>
      </w:r>
    </w:p>
    <w:p w14:paraId="17CE4F7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（1）保洁标准：一日两扫（拖），全天维护。卫生间地面无烟头、污渍、纸屑、果皮：天花板、墙角、灯具目视无灰尘、无蜘蛛网；目视墙壁干净；便器洁净无黄渍；室内无异味臭味；</w:t>
      </w:r>
    </w:p>
    <w:p w14:paraId="03A1168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（2）公共卫生间早、中两次冲洗，冲洗大、小便池，及时夹出小便池里烟头等杂物，定期消毒；</w:t>
      </w:r>
    </w:p>
    <w:p w14:paraId="7C20E84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（3）擦拭面盆、大理石台面，全天维护，每周擦抹一次磁砖腰墙面以及门窗；</w:t>
      </w:r>
    </w:p>
    <w:p w14:paraId="7EFDEA6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（4）卫生间垃圾桶套垃圾袋，垃圾不超过2/3。</w:t>
      </w:r>
    </w:p>
    <w:p w14:paraId="16FC56F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4、会议室服务标准</w:t>
      </w:r>
    </w:p>
    <w:p w14:paraId="2A19F54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（1）保持地面无烟头、纸屑及其他杂物；</w:t>
      </w:r>
    </w:p>
    <w:p w14:paraId="341ACF9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（2）每次开完会后，整理会议桌面，并将杂物清除干净，清洗烟灰缸，拖洗地面；</w:t>
      </w:r>
    </w:p>
    <w:p w14:paraId="4E0768F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（3）会议室门窗明亮，无积灰、无蜘蛛网；</w:t>
      </w:r>
    </w:p>
    <w:p w14:paraId="72DF389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（4）清洁时不得翻动各类文件，不可扔掉写有字迹的纸张，办公用品轻拿轻放。</w:t>
      </w:r>
    </w:p>
    <w:p w14:paraId="7879BDA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5、垃圾桶与垃圾转运标准</w:t>
      </w:r>
    </w:p>
    <w:p w14:paraId="02D0CC6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（1）外观无污染，桶内垃圾不满溢，室内垃圾桶配置垃圾袋；</w:t>
      </w:r>
    </w:p>
    <w:p w14:paraId="0D39B46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（2）垃圾清运按照垃圾分类标准、做到分类、分车日产日清，定期冲洗垃圾桶；</w:t>
      </w:r>
    </w:p>
    <w:p w14:paraId="07C7CB6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（3）监督建筑垃圾定点堆放，防止流质性垃圾溢流污染路面；</w:t>
      </w:r>
    </w:p>
    <w:p w14:paraId="617C554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（4）垃圾清运车需张贴垃圾分类标识，表面洁净、外观无污染，无垃圾洒落、气味四散。</w:t>
      </w:r>
    </w:p>
    <w:p w14:paraId="7703CC04">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（三）水电工程服务要求</w:t>
      </w:r>
    </w:p>
    <w:p w14:paraId="1D2574A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1、确保学校安全用电、防患于未然。精通安全用电知识，熟练掌握用电设备维护保养技能，工作责任心强。</w:t>
      </w:r>
    </w:p>
    <w:p w14:paraId="4CB1464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2、对违反安全用电的部门和个人有进行批评、教育、制止的权利和义务。</w:t>
      </w:r>
    </w:p>
    <w:p w14:paraId="3EF7BE8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3、对用电设备要经常维护和保养，决不准带电维修和安装，在使用过程中，如发现问题应立即停止使用，断电维修。</w:t>
      </w:r>
    </w:p>
    <w:p w14:paraId="17EC148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4、及时检修供电系统，消除用电隐患。</w:t>
      </w:r>
    </w:p>
    <w:p w14:paraId="05F2EAA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5、负责全校照明、动力用电、公共用电、专项用电的安全检查。每季度系统进行一次全校用电安全检查，经常对用电设备进行巡视，发现问题及时解决，确保安全。</w:t>
      </w:r>
    </w:p>
    <w:p w14:paraId="5B3FD3E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6、做好雨季等特殊天气环境中的用电安全检查工作。</w:t>
      </w:r>
    </w:p>
    <w:p w14:paraId="7BE38EC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7、做好配电室、配电柜、配电箱等保养工作。</w:t>
      </w:r>
    </w:p>
    <w:p w14:paraId="5FFA1AE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8、配合公安、电力部门工作，做好安全用电管理工作和宣传工作。</w:t>
      </w:r>
    </w:p>
    <w:p w14:paraId="49255E2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9、一旦发生用电和消防事故，要立即切断电源，防止事故蔓延扩大。</w:t>
      </w:r>
    </w:p>
    <w:p w14:paraId="61922A8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10、完成学校交办的其他安全任务。</w:t>
      </w:r>
    </w:p>
    <w:p w14:paraId="509362F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11、完成全校自来水维修工作，做到接通知一天内完成。</w:t>
      </w:r>
    </w:p>
    <w:p w14:paraId="695EF40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12、节约用水、电，经常查看水、电总表情况，并给予记录。公共场所水龙头若坏，自接报告或自己发现，应在半天之内解决。</w:t>
      </w:r>
    </w:p>
    <w:p w14:paraId="6D6D29A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13、按规定做好直饮水机的卫生防疫和日常管理工作，要定期进行检查、检测，确保饮用水安全。</w:t>
      </w:r>
    </w:p>
    <w:p w14:paraId="3557E2C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14、服务热情。周到。接受全校教工批评和建议，完成校领导及总务处交办的其它工作。</w:t>
      </w:r>
    </w:p>
    <w:p w14:paraId="249192B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15、做好学校课桌、椅、凳、门、窗、地板修理工作。</w:t>
      </w:r>
    </w:p>
    <w:p w14:paraId="68A8D27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16、做好学校教师办公桌、椅、门窗的修理工作。</w:t>
      </w:r>
    </w:p>
    <w:p w14:paraId="4076709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17、每周下到班上检查两次课桌椅、凳使用情况。若发现问题及时登记处理。</w:t>
      </w:r>
    </w:p>
    <w:p w14:paraId="6AF4B08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18、严格执行损坏课桌椅、凳赔偿制度，做好表格登记。</w:t>
      </w:r>
    </w:p>
    <w:p w14:paraId="1A488F6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19、做好临时性的木工工作。</w:t>
      </w:r>
    </w:p>
    <w:p w14:paraId="5B6AE4E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20、组织好临时安排工作。</w:t>
      </w:r>
    </w:p>
    <w:p w14:paraId="30035E70">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（四）园林绿化员要求</w:t>
      </w:r>
    </w:p>
    <w:p w14:paraId="38B987C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（1）身体健康，能吃苦耐劳，勤恳老实，保质保量完成绿化任务。</w:t>
      </w:r>
    </w:p>
    <w:p w14:paraId="5E2966C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（2）负责校内花卉的种植、绿化、美化校园和草圃花圃树木队杂草、施肥、浇水等工作，提高花草树木成活率，保证学校四季有花。</w:t>
      </w:r>
    </w:p>
    <w:p w14:paraId="7317435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 积极培育新花种，供应学校搞大型活动所需的盆花。节假日校门和花坛等植草的摆放、布置，保证环境的美丽。</w:t>
      </w:r>
    </w:p>
    <w:p w14:paraId="4635CC5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（4）一年两次播种草籽，保障校园草皮完好和绿色效果。</w:t>
      </w:r>
    </w:p>
    <w:p w14:paraId="0307645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（5）冬季要搞好防虫保温措施，定期修剪植物，做好植物造型。</w:t>
      </w:r>
    </w:p>
    <w:p w14:paraId="35567E9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（6）保管好有关工具，做到帐物相符，未经领导同意，工具不得外借。</w:t>
      </w:r>
    </w:p>
    <w:p w14:paraId="30BF9EA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（7）凡是修剪的残枝，树叶要及时清理干净。</w:t>
      </w:r>
    </w:p>
    <w:p w14:paraId="373C863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（8）完成学校领导交给的临时性任务。</w:t>
      </w:r>
    </w:p>
    <w:p w14:paraId="34BC98B1">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（五）服务人员配置</w:t>
      </w:r>
    </w:p>
    <w:p w14:paraId="12A4AAC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b w:val="0"/>
          <w:bCs/>
          <w:sz w:val="24"/>
          <w:szCs w:val="24"/>
          <w:highlight w:val="none"/>
          <w:lang w:val="en-US" w:eastAsia="zh-CN"/>
        </w:rPr>
      </w:pPr>
      <w:r>
        <w:rPr>
          <w:rFonts w:hint="eastAsia" w:ascii="宋体" w:hAnsi="宋体" w:eastAsia="宋体" w:cs="宋体"/>
          <w:b w:val="0"/>
          <w:bCs/>
          <w:sz w:val="24"/>
          <w:szCs w:val="24"/>
          <w:highlight w:val="none"/>
          <w:lang w:val="en-US" w:eastAsia="zh-CN"/>
        </w:rPr>
        <w:t>最低人数要求：10人（所有服务人员上岗前须提供无犯罪记录证明）</w:t>
      </w:r>
    </w:p>
    <w:tbl>
      <w:tblPr>
        <w:tblStyle w:val="75"/>
        <w:tblW w:w="96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44"/>
        <w:gridCol w:w="1464"/>
        <w:gridCol w:w="1354"/>
        <w:gridCol w:w="5940"/>
      </w:tblGrid>
      <w:tr w14:paraId="6A14C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7D70C755">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pacing w:val="9"/>
                <w:sz w:val="24"/>
                <w:szCs w:val="24"/>
              </w:rPr>
              <w:t>序号</w:t>
            </w:r>
          </w:p>
        </w:tc>
        <w:tc>
          <w:tcPr>
            <w:tcW w:w="1464" w:type="dxa"/>
            <w:vAlign w:val="center"/>
          </w:tcPr>
          <w:p w14:paraId="78ECEC43">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pacing w:val="3"/>
                <w:sz w:val="24"/>
                <w:szCs w:val="24"/>
              </w:rPr>
              <w:t>岗位名称</w:t>
            </w:r>
          </w:p>
        </w:tc>
        <w:tc>
          <w:tcPr>
            <w:tcW w:w="1354" w:type="dxa"/>
            <w:vAlign w:val="center"/>
          </w:tcPr>
          <w:p w14:paraId="4AEA828D">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pacing w:val="3"/>
                <w:sz w:val="24"/>
                <w:szCs w:val="24"/>
              </w:rPr>
              <w:t>岗位人数</w:t>
            </w:r>
          </w:p>
        </w:tc>
        <w:tc>
          <w:tcPr>
            <w:tcW w:w="5940" w:type="dxa"/>
            <w:vAlign w:val="center"/>
          </w:tcPr>
          <w:p w14:paraId="46EF74F9">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szCs w:val="24"/>
              </w:rPr>
            </w:pPr>
            <w:r>
              <w:rPr>
                <w:rFonts w:hint="eastAsia" w:ascii="宋体" w:hAnsi="宋体" w:eastAsia="宋体" w:cs="宋体"/>
                <w:b/>
                <w:bCs/>
                <w:color w:val="auto"/>
                <w:spacing w:val="5"/>
                <w:sz w:val="24"/>
                <w:szCs w:val="24"/>
              </w:rPr>
              <w:t>工作职责</w:t>
            </w:r>
          </w:p>
        </w:tc>
      </w:tr>
      <w:tr w14:paraId="3B61AD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54CF5B9A">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64" w:type="dxa"/>
            <w:vAlign w:val="center"/>
          </w:tcPr>
          <w:p w14:paraId="5DA5559C">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4"/>
                <w:sz w:val="24"/>
                <w:szCs w:val="24"/>
              </w:rPr>
              <w:t>项目主管</w:t>
            </w:r>
          </w:p>
        </w:tc>
        <w:tc>
          <w:tcPr>
            <w:tcW w:w="1354" w:type="dxa"/>
            <w:vAlign w:val="center"/>
          </w:tcPr>
          <w:p w14:paraId="1708EED3">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5940" w:type="dxa"/>
            <w:vAlign w:val="center"/>
          </w:tcPr>
          <w:p w14:paraId="3CB7DF98">
            <w:pPr>
              <w:pStyle w:val="76"/>
              <w:keepNext w:val="0"/>
              <w:keepLines w:val="0"/>
              <w:pageBreakBefore w:val="0"/>
              <w:widowControl w:val="0"/>
              <w:kinsoku/>
              <w:wordWrap/>
              <w:overflowPunct/>
              <w:topLinePunct w:val="0"/>
              <w:autoSpaceDE/>
              <w:autoSpaceDN/>
              <w:bidi w:val="0"/>
              <w:adjustRightInd/>
              <w:snapToGrid/>
              <w:spacing w:line="360" w:lineRule="auto"/>
              <w:ind w:left="14"/>
              <w:jc w:val="left"/>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50</w:t>
            </w:r>
            <w:r>
              <w:rPr>
                <w:rFonts w:hint="eastAsia" w:ascii="宋体" w:hAnsi="宋体" w:eastAsia="宋体" w:cs="宋体"/>
                <w:color w:val="auto"/>
                <w:spacing w:val="-2"/>
                <w:sz w:val="24"/>
                <w:szCs w:val="24"/>
                <w:lang w:val="en-US" w:eastAsia="zh-CN"/>
              </w:rPr>
              <w:t>周</w:t>
            </w:r>
            <w:r>
              <w:rPr>
                <w:rFonts w:hint="eastAsia" w:ascii="宋体" w:hAnsi="宋体" w:eastAsia="宋体" w:cs="宋体"/>
                <w:color w:val="auto"/>
                <w:spacing w:val="-2"/>
                <w:sz w:val="24"/>
                <w:szCs w:val="24"/>
              </w:rPr>
              <w:t>岁</w:t>
            </w:r>
            <w:r>
              <w:rPr>
                <w:rFonts w:hint="eastAsia" w:ascii="宋体" w:hAnsi="宋体" w:eastAsia="宋体" w:cs="宋体"/>
                <w:color w:val="auto"/>
                <w:spacing w:val="-2"/>
                <w:sz w:val="24"/>
                <w:szCs w:val="24"/>
                <w:lang w:val="en-US" w:eastAsia="zh-CN"/>
              </w:rPr>
              <w:t>及</w:t>
            </w:r>
            <w:r>
              <w:rPr>
                <w:rFonts w:hint="eastAsia" w:ascii="宋体" w:hAnsi="宋体" w:eastAsia="宋体" w:cs="宋体"/>
                <w:color w:val="auto"/>
                <w:spacing w:val="-2"/>
                <w:sz w:val="24"/>
                <w:szCs w:val="24"/>
              </w:rPr>
              <w:t>以下</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val="en-US" w:eastAsia="zh-CN"/>
              </w:rPr>
              <w:t>含50周岁</w:t>
            </w:r>
            <w:r>
              <w:rPr>
                <w:rFonts w:hint="eastAsia" w:ascii="宋体" w:hAnsi="宋体" w:eastAsia="宋体" w:cs="宋体"/>
                <w:color w:val="auto"/>
                <w:spacing w:val="-2"/>
                <w:sz w:val="24"/>
                <w:szCs w:val="24"/>
                <w:lang w:eastAsia="zh-CN"/>
              </w:rPr>
              <w:t>）</w:t>
            </w:r>
            <w:r>
              <w:rPr>
                <w:rFonts w:hint="eastAsia" w:ascii="宋体" w:hAnsi="宋体" w:eastAsia="宋体" w:cs="宋体"/>
                <w:bCs/>
                <w:color w:val="auto"/>
                <w:kern w:val="2"/>
                <w:sz w:val="24"/>
                <w:szCs w:val="24"/>
                <w:highlight w:val="none"/>
                <w:vertAlign w:val="baseline"/>
                <w:lang w:val="en-US" w:eastAsia="zh-CN" w:bidi="ar-SA"/>
              </w:rPr>
              <w:t>。</w:t>
            </w:r>
            <w:r>
              <w:rPr>
                <w:rFonts w:hint="eastAsia" w:cs="宋体"/>
                <w:bCs/>
                <w:color w:val="auto"/>
                <w:kern w:val="2"/>
                <w:sz w:val="24"/>
                <w:szCs w:val="24"/>
                <w:highlight w:val="none"/>
                <w:vertAlign w:val="baseline"/>
                <w:lang w:val="en-US" w:eastAsia="zh-CN" w:bidi="ar-SA"/>
              </w:rPr>
              <w:t>至少</w:t>
            </w:r>
            <w:r>
              <w:rPr>
                <w:rFonts w:hint="eastAsia" w:ascii="宋体" w:hAnsi="宋体" w:eastAsia="宋体" w:cs="宋体"/>
                <w:color w:val="auto"/>
                <w:spacing w:val="-2"/>
                <w:sz w:val="24"/>
                <w:szCs w:val="24"/>
                <w:lang w:val="en-US" w:eastAsia="zh-CN"/>
              </w:rPr>
              <w:t>具有</w:t>
            </w:r>
            <w:r>
              <w:rPr>
                <w:rFonts w:hint="eastAsia" w:cs="宋体"/>
                <w:color w:val="auto"/>
                <w:spacing w:val="-2"/>
                <w:sz w:val="24"/>
                <w:szCs w:val="24"/>
                <w:lang w:val="en-US" w:eastAsia="zh-CN"/>
              </w:rPr>
              <w:t>1年</w:t>
            </w:r>
            <w:r>
              <w:rPr>
                <w:rFonts w:hint="eastAsia" w:ascii="宋体" w:hAnsi="宋体" w:eastAsia="宋体" w:cs="宋体"/>
                <w:color w:val="auto"/>
                <w:spacing w:val="-2"/>
                <w:sz w:val="24"/>
                <w:szCs w:val="24"/>
                <w:lang w:val="en-US" w:eastAsia="zh-CN"/>
              </w:rPr>
              <w:t>物业管理工作经验与</w:t>
            </w:r>
            <w:r>
              <w:rPr>
                <w:rFonts w:hint="eastAsia" w:ascii="宋体" w:hAnsi="宋体" w:eastAsia="宋体" w:cs="宋体"/>
                <w:bCs/>
                <w:color w:val="auto"/>
                <w:kern w:val="2"/>
                <w:sz w:val="24"/>
                <w:szCs w:val="24"/>
                <w:highlight w:val="none"/>
                <w:vertAlign w:val="baseline"/>
                <w:lang w:val="en-US" w:eastAsia="zh-CN" w:bidi="ar-SA"/>
              </w:rPr>
              <w:t>消防设施操作经验。</w:t>
            </w:r>
            <w:r>
              <w:rPr>
                <w:rFonts w:hint="eastAsia" w:ascii="宋体" w:hAnsi="宋体" w:eastAsia="宋体" w:cs="宋体"/>
                <w:color w:val="auto"/>
                <w:spacing w:val="-2"/>
                <w:sz w:val="24"/>
                <w:szCs w:val="24"/>
              </w:rPr>
              <w:t>听从领导的工作安排及要求，保管好所有物品及资料。全部物业工作的组织、管理、协调工作</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rPr>
              <w:t>积极巡查各工作岗位发现及时处理整改。</w:t>
            </w:r>
          </w:p>
        </w:tc>
      </w:tr>
      <w:tr w14:paraId="039254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1762A5ED">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64" w:type="dxa"/>
            <w:vAlign w:val="center"/>
          </w:tcPr>
          <w:p w14:paraId="3486F24F">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yellow"/>
              </w:rPr>
            </w:pPr>
            <w:r>
              <w:rPr>
                <w:rFonts w:hint="eastAsia" w:ascii="宋体" w:hAnsi="宋体" w:eastAsia="宋体" w:cs="宋体"/>
                <w:color w:val="auto"/>
                <w:spacing w:val="14"/>
                <w:sz w:val="24"/>
                <w:szCs w:val="24"/>
                <w:highlight w:val="none"/>
              </w:rPr>
              <w:t>保洁员</w:t>
            </w:r>
          </w:p>
        </w:tc>
        <w:tc>
          <w:tcPr>
            <w:tcW w:w="1354" w:type="dxa"/>
            <w:vAlign w:val="center"/>
          </w:tcPr>
          <w:p w14:paraId="6A6B732D">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yellow"/>
                <w:lang w:eastAsia="zh-CN"/>
              </w:rPr>
            </w:pPr>
            <w:r>
              <w:rPr>
                <w:rFonts w:hint="eastAsia" w:ascii="宋体" w:hAnsi="宋体" w:eastAsia="宋体" w:cs="宋体"/>
                <w:color w:val="auto"/>
                <w:sz w:val="24"/>
                <w:szCs w:val="24"/>
                <w:highlight w:val="none"/>
                <w:lang w:val="en-US" w:eastAsia="zh-CN"/>
              </w:rPr>
              <w:t>5</w:t>
            </w:r>
          </w:p>
        </w:tc>
        <w:tc>
          <w:tcPr>
            <w:tcW w:w="5940" w:type="dxa"/>
            <w:vAlign w:val="center"/>
          </w:tcPr>
          <w:p w14:paraId="15E79EB3">
            <w:pPr>
              <w:pStyle w:val="76"/>
              <w:keepNext w:val="0"/>
              <w:keepLines w:val="0"/>
              <w:pageBreakBefore w:val="0"/>
              <w:widowControl w:val="0"/>
              <w:kinsoku/>
              <w:wordWrap/>
              <w:overflowPunct/>
              <w:topLinePunct w:val="0"/>
              <w:autoSpaceDE/>
              <w:autoSpaceDN/>
              <w:bidi w:val="0"/>
              <w:adjustRightInd/>
              <w:snapToGrid/>
              <w:spacing w:line="360" w:lineRule="auto"/>
              <w:ind w:left="74"/>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3"/>
                <w:sz w:val="24"/>
                <w:szCs w:val="24"/>
                <w:lang w:val="en-US" w:eastAsia="zh-CN"/>
              </w:rPr>
              <w:t>60周岁</w:t>
            </w:r>
            <w:r>
              <w:rPr>
                <w:rFonts w:hint="eastAsia" w:ascii="宋体" w:hAnsi="宋体" w:eastAsia="宋体" w:cs="宋体"/>
                <w:color w:val="auto"/>
                <w:spacing w:val="-2"/>
                <w:sz w:val="24"/>
                <w:szCs w:val="24"/>
                <w:lang w:val="en-US" w:eastAsia="zh-CN"/>
              </w:rPr>
              <w:t>及</w:t>
            </w:r>
            <w:r>
              <w:rPr>
                <w:rFonts w:hint="eastAsia" w:ascii="宋体" w:hAnsi="宋体" w:eastAsia="宋体" w:cs="宋体"/>
                <w:color w:val="auto"/>
                <w:spacing w:val="-3"/>
                <w:sz w:val="24"/>
                <w:szCs w:val="24"/>
                <w:lang w:val="en-US" w:eastAsia="zh-CN"/>
              </w:rPr>
              <w:t>以下</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2"/>
                <w:sz w:val="24"/>
                <w:szCs w:val="24"/>
                <w:lang w:val="en-US" w:eastAsia="zh-CN"/>
              </w:rPr>
              <w:t>含60周岁</w:t>
            </w:r>
            <w:r>
              <w:rPr>
                <w:rFonts w:hint="eastAsia" w:ascii="宋体" w:hAnsi="宋体" w:eastAsia="宋体" w:cs="宋体"/>
                <w:color w:val="auto"/>
                <w:spacing w:val="-2"/>
                <w:sz w:val="24"/>
                <w:szCs w:val="24"/>
                <w:lang w:eastAsia="zh-CN"/>
              </w:rPr>
              <w:t>）</w:t>
            </w:r>
            <w:r>
              <w:rPr>
                <w:rFonts w:hint="eastAsia" w:ascii="宋体" w:hAnsi="宋体" w:eastAsia="宋体" w:cs="宋体"/>
                <w:color w:val="auto"/>
                <w:spacing w:val="-3"/>
                <w:sz w:val="24"/>
                <w:szCs w:val="24"/>
                <w:lang w:val="en-US" w:eastAsia="zh-CN"/>
              </w:rPr>
              <w:t>，</w:t>
            </w:r>
            <w:r>
              <w:rPr>
                <w:rFonts w:hint="eastAsia" w:ascii="宋体" w:hAnsi="宋体" w:eastAsia="宋体" w:cs="宋体"/>
                <w:color w:val="auto"/>
                <w:spacing w:val="-3"/>
                <w:sz w:val="24"/>
                <w:szCs w:val="24"/>
                <w:highlight w:val="none"/>
              </w:rPr>
              <w:t>其中外场保洁</w:t>
            </w:r>
            <w:r>
              <w:rPr>
                <w:rFonts w:hint="eastAsia" w:ascii="宋体" w:hAnsi="宋体" w:eastAsia="宋体" w:cs="宋体"/>
                <w:color w:val="auto"/>
                <w:spacing w:val="-3"/>
                <w:sz w:val="24"/>
                <w:szCs w:val="24"/>
                <w:highlight w:val="none"/>
                <w:lang w:val="en-US" w:eastAsia="zh-CN"/>
              </w:rPr>
              <w:t>1</w:t>
            </w:r>
            <w:r>
              <w:rPr>
                <w:rFonts w:hint="eastAsia" w:ascii="宋体" w:hAnsi="宋体" w:eastAsia="宋体" w:cs="宋体"/>
                <w:color w:val="auto"/>
                <w:spacing w:val="-3"/>
                <w:sz w:val="24"/>
                <w:szCs w:val="24"/>
                <w:highlight w:val="none"/>
              </w:rPr>
              <w:t>人；内场保洁</w:t>
            </w:r>
            <w:r>
              <w:rPr>
                <w:rFonts w:hint="eastAsia" w:ascii="宋体" w:hAnsi="宋体" w:eastAsia="宋体" w:cs="宋体"/>
                <w:color w:val="auto"/>
                <w:spacing w:val="-3"/>
                <w:sz w:val="24"/>
                <w:szCs w:val="24"/>
                <w:highlight w:val="none"/>
                <w:lang w:val="en-US" w:eastAsia="zh-CN"/>
              </w:rPr>
              <w:t>4</w:t>
            </w:r>
            <w:r>
              <w:rPr>
                <w:rFonts w:hint="eastAsia" w:ascii="宋体" w:hAnsi="宋体" w:eastAsia="宋体" w:cs="宋体"/>
                <w:color w:val="auto"/>
                <w:spacing w:val="-3"/>
                <w:sz w:val="24"/>
                <w:szCs w:val="24"/>
                <w:highlight w:val="none"/>
              </w:rPr>
              <w:t>人(明</w:t>
            </w:r>
            <w:r>
              <w:rPr>
                <w:rFonts w:hint="eastAsia" w:ascii="宋体" w:hAnsi="宋体" w:eastAsia="宋体" w:cs="宋体"/>
                <w:color w:val="auto"/>
                <w:spacing w:val="4"/>
                <w:sz w:val="24"/>
                <w:szCs w:val="24"/>
                <w:highlight w:val="none"/>
              </w:rPr>
              <w:t>德楼</w:t>
            </w:r>
            <w:r>
              <w:rPr>
                <w:rFonts w:hint="eastAsia" w:ascii="宋体" w:hAnsi="宋体" w:eastAsia="宋体" w:cs="宋体"/>
                <w:color w:val="auto"/>
                <w:spacing w:val="4"/>
                <w:sz w:val="24"/>
                <w:szCs w:val="24"/>
                <w:highlight w:val="none"/>
                <w:lang w:val="en-US" w:eastAsia="zh-CN"/>
              </w:rPr>
              <w:t>1人</w:t>
            </w:r>
            <w:r>
              <w:rPr>
                <w:rFonts w:hint="eastAsia" w:ascii="宋体" w:hAnsi="宋体" w:eastAsia="宋体" w:cs="宋体"/>
                <w:color w:val="auto"/>
                <w:spacing w:val="4"/>
                <w:sz w:val="24"/>
                <w:szCs w:val="24"/>
                <w:highlight w:val="none"/>
              </w:rPr>
              <w:t>、明礼楼</w:t>
            </w:r>
            <w:r>
              <w:rPr>
                <w:rFonts w:hint="eastAsia" w:ascii="宋体" w:hAnsi="宋体" w:eastAsia="宋体" w:cs="宋体"/>
                <w:color w:val="auto"/>
                <w:spacing w:val="4"/>
                <w:sz w:val="24"/>
                <w:szCs w:val="24"/>
                <w:highlight w:val="none"/>
                <w:lang w:val="en-US" w:eastAsia="zh-CN"/>
              </w:rPr>
              <w:t>2人</w:t>
            </w:r>
            <w:r>
              <w:rPr>
                <w:rFonts w:hint="eastAsia" w:ascii="宋体" w:hAnsi="宋体" w:eastAsia="宋体" w:cs="宋体"/>
                <w:color w:val="auto"/>
                <w:spacing w:val="4"/>
                <w:sz w:val="24"/>
                <w:szCs w:val="24"/>
                <w:highlight w:val="none"/>
              </w:rPr>
              <w:t>、行远楼</w:t>
            </w:r>
            <w:r>
              <w:rPr>
                <w:rFonts w:hint="eastAsia" w:ascii="宋体" w:hAnsi="宋体" w:eastAsia="宋体" w:cs="宋体"/>
                <w:color w:val="auto"/>
                <w:spacing w:val="4"/>
                <w:sz w:val="24"/>
                <w:szCs w:val="24"/>
                <w:highlight w:val="none"/>
                <w:lang w:val="en-US" w:eastAsia="zh-CN"/>
              </w:rPr>
              <w:t>和</w:t>
            </w:r>
            <w:r>
              <w:rPr>
                <w:rFonts w:hint="eastAsia" w:ascii="宋体" w:hAnsi="宋体" w:eastAsia="宋体" w:cs="宋体"/>
                <w:color w:val="auto"/>
                <w:spacing w:val="4"/>
                <w:sz w:val="24"/>
                <w:szCs w:val="24"/>
                <w:highlight w:val="none"/>
              </w:rPr>
              <w:t>体艺楼1</w:t>
            </w:r>
            <w:r>
              <w:rPr>
                <w:rFonts w:hint="eastAsia" w:ascii="宋体" w:hAnsi="宋体" w:eastAsia="宋体" w:cs="宋体"/>
                <w:color w:val="auto"/>
                <w:spacing w:val="4"/>
                <w:sz w:val="24"/>
                <w:szCs w:val="24"/>
                <w:highlight w:val="none"/>
                <w:lang w:val="en-US" w:eastAsia="zh-CN"/>
              </w:rPr>
              <w:t>人</w:t>
            </w:r>
            <w:r>
              <w:rPr>
                <w:rFonts w:hint="eastAsia" w:ascii="宋体" w:hAnsi="宋体" w:eastAsia="宋体" w:cs="宋体"/>
                <w:color w:val="auto"/>
                <w:spacing w:val="4"/>
                <w:sz w:val="24"/>
                <w:szCs w:val="24"/>
                <w:highlight w:val="none"/>
              </w:rPr>
              <w:t>)</w:t>
            </w:r>
            <w:r>
              <w:rPr>
                <w:rFonts w:hint="eastAsia" w:ascii="宋体" w:hAnsi="宋体" w:eastAsia="宋体" w:cs="宋体"/>
                <w:color w:val="auto"/>
                <w:spacing w:val="4"/>
                <w:sz w:val="24"/>
                <w:szCs w:val="24"/>
              </w:rPr>
              <w:t>,</w:t>
            </w:r>
            <w:r>
              <w:rPr>
                <w:rFonts w:hint="eastAsia" w:ascii="宋体" w:hAnsi="宋体" w:eastAsia="宋体" w:cs="宋体"/>
                <w:color w:val="auto"/>
                <w:spacing w:val="-1"/>
                <w:sz w:val="24"/>
                <w:szCs w:val="24"/>
              </w:rPr>
              <w:t>负责校园卫生清洁。</w:t>
            </w:r>
            <w:r>
              <w:rPr>
                <w:rFonts w:hint="eastAsia" w:ascii="宋体" w:hAnsi="宋体" w:eastAsia="宋体" w:cs="宋体"/>
                <w:color w:val="auto"/>
                <w:spacing w:val="-1"/>
                <w:sz w:val="24"/>
                <w:szCs w:val="24"/>
                <w:lang w:val="en-US" w:eastAsia="zh-CN"/>
              </w:rPr>
              <w:t>教室桌椅调整搬运，报刊、杂志的收发。</w:t>
            </w:r>
          </w:p>
        </w:tc>
      </w:tr>
      <w:tr w14:paraId="5CA81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7CE9A930">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464" w:type="dxa"/>
            <w:vAlign w:val="center"/>
          </w:tcPr>
          <w:p w14:paraId="6D69F237">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pacing w:val="5"/>
                <w:sz w:val="24"/>
                <w:szCs w:val="24"/>
              </w:rPr>
              <w:t>水电工</w:t>
            </w:r>
          </w:p>
        </w:tc>
        <w:tc>
          <w:tcPr>
            <w:tcW w:w="1354" w:type="dxa"/>
            <w:vAlign w:val="center"/>
          </w:tcPr>
          <w:p w14:paraId="678AB466">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p>
        </w:tc>
        <w:tc>
          <w:tcPr>
            <w:tcW w:w="5940" w:type="dxa"/>
            <w:vAlign w:val="center"/>
          </w:tcPr>
          <w:p w14:paraId="581B4355">
            <w:pPr>
              <w:pStyle w:val="76"/>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1"/>
                <w:sz w:val="24"/>
                <w:szCs w:val="24"/>
              </w:rPr>
              <w:t>18-55岁</w:t>
            </w:r>
            <w:r>
              <w:rPr>
                <w:rFonts w:hint="eastAsia"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val="en-US" w:eastAsia="zh-CN"/>
              </w:rPr>
              <w:t>含55</w:t>
            </w:r>
            <w:r>
              <w:rPr>
                <w:rFonts w:hint="eastAsia" w:ascii="宋体" w:hAnsi="宋体" w:eastAsia="宋体" w:cs="宋体"/>
                <w:color w:val="auto"/>
                <w:spacing w:val="-2"/>
                <w:sz w:val="24"/>
                <w:szCs w:val="24"/>
                <w:lang w:val="en-US" w:eastAsia="zh-CN"/>
              </w:rPr>
              <w:t>周</w:t>
            </w:r>
            <w:r>
              <w:rPr>
                <w:rFonts w:hint="eastAsia" w:ascii="宋体" w:hAnsi="宋体" w:eastAsia="宋体" w:cs="宋体"/>
                <w:color w:val="auto"/>
                <w:spacing w:val="-1"/>
                <w:sz w:val="24"/>
                <w:szCs w:val="24"/>
                <w:lang w:val="en-US" w:eastAsia="zh-CN"/>
              </w:rPr>
              <w:t>岁</w:t>
            </w:r>
            <w:r>
              <w:rPr>
                <w:rFonts w:hint="eastAsia" w:ascii="宋体" w:hAnsi="宋体" w:eastAsia="宋体" w:cs="宋体"/>
                <w:color w:val="auto"/>
                <w:spacing w:val="-1"/>
                <w:sz w:val="24"/>
                <w:szCs w:val="24"/>
                <w:lang w:eastAsia="zh-CN"/>
              </w:rPr>
              <w:t>），</w:t>
            </w:r>
            <w:r>
              <w:rPr>
                <w:rFonts w:hint="eastAsia" w:ascii="宋体" w:hAnsi="宋体" w:eastAsia="宋体" w:cs="宋体"/>
                <w:b w:val="0"/>
                <w:bCs w:val="0"/>
                <w:color w:val="auto"/>
                <w:spacing w:val="-1"/>
                <w:sz w:val="24"/>
                <w:szCs w:val="24"/>
                <w:lang w:val="en-US" w:eastAsia="zh-CN"/>
              </w:rPr>
              <w:t>须持有低压电工作业证，</w:t>
            </w:r>
            <w:r>
              <w:rPr>
                <w:rFonts w:hint="eastAsia" w:ascii="宋体" w:hAnsi="宋体" w:eastAsia="宋体" w:cs="宋体"/>
                <w:color w:val="auto"/>
                <w:spacing w:val="-1"/>
                <w:sz w:val="24"/>
                <w:szCs w:val="24"/>
              </w:rPr>
              <w:t>负责校区水电维修及</w:t>
            </w:r>
            <w:r>
              <w:rPr>
                <w:rFonts w:hint="eastAsia" w:ascii="宋体" w:hAnsi="宋体" w:eastAsia="宋体" w:cs="宋体"/>
                <w:color w:val="auto"/>
                <w:spacing w:val="-1"/>
                <w:sz w:val="24"/>
                <w:szCs w:val="24"/>
                <w:lang w:val="en-US" w:eastAsia="zh-CN"/>
              </w:rPr>
              <w:t>水</w:t>
            </w:r>
            <w:r>
              <w:rPr>
                <w:rFonts w:hint="eastAsia" w:ascii="宋体" w:hAnsi="宋体" w:eastAsia="宋体" w:cs="宋体"/>
                <w:color w:val="auto"/>
                <w:spacing w:val="-1"/>
                <w:sz w:val="24"/>
                <w:szCs w:val="24"/>
              </w:rPr>
              <w:t>电力设备的保养维修等工作</w:t>
            </w:r>
            <w:r>
              <w:rPr>
                <w:rFonts w:hint="eastAsia" w:ascii="宋体" w:hAnsi="宋体" w:eastAsia="宋体" w:cs="宋体"/>
                <w:color w:val="auto"/>
                <w:spacing w:val="-1"/>
                <w:sz w:val="24"/>
                <w:szCs w:val="24"/>
                <w:lang w:eastAsia="zh-CN"/>
              </w:rPr>
              <w:t>。</w:t>
            </w:r>
          </w:p>
        </w:tc>
      </w:tr>
      <w:tr w14:paraId="6A38F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1A67917A">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464" w:type="dxa"/>
            <w:vAlign w:val="center"/>
          </w:tcPr>
          <w:p w14:paraId="5B94AF3F">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维修工</w:t>
            </w:r>
          </w:p>
        </w:tc>
        <w:tc>
          <w:tcPr>
            <w:tcW w:w="1354" w:type="dxa"/>
            <w:vAlign w:val="center"/>
          </w:tcPr>
          <w:p w14:paraId="63CB705B">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5940" w:type="dxa"/>
            <w:vAlign w:val="center"/>
          </w:tcPr>
          <w:p w14:paraId="3D588CA8">
            <w:pPr>
              <w:pStyle w:val="76"/>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18-55岁</w:t>
            </w:r>
            <w:r>
              <w:rPr>
                <w:rFonts w:hint="eastAsia"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val="en-US" w:eastAsia="zh-CN"/>
              </w:rPr>
              <w:t>含55</w:t>
            </w:r>
            <w:r>
              <w:rPr>
                <w:rFonts w:hint="eastAsia" w:ascii="宋体" w:hAnsi="宋体" w:eastAsia="宋体" w:cs="宋体"/>
                <w:color w:val="auto"/>
                <w:spacing w:val="-2"/>
                <w:sz w:val="24"/>
                <w:szCs w:val="24"/>
                <w:lang w:val="en-US" w:eastAsia="zh-CN"/>
              </w:rPr>
              <w:t>周</w:t>
            </w:r>
            <w:r>
              <w:rPr>
                <w:rFonts w:hint="eastAsia" w:ascii="宋体" w:hAnsi="宋体" w:eastAsia="宋体" w:cs="宋体"/>
                <w:color w:val="auto"/>
                <w:spacing w:val="-1"/>
                <w:sz w:val="24"/>
                <w:szCs w:val="24"/>
                <w:lang w:val="en-US" w:eastAsia="zh-CN"/>
              </w:rPr>
              <w:t>岁</w:t>
            </w:r>
            <w:r>
              <w:rPr>
                <w:rFonts w:hint="eastAsia" w:ascii="宋体" w:hAnsi="宋体" w:eastAsia="宋体" w:cs="宋体"/>
                <w:color w:val="auto"/>
                <w:spacing w:val="-1"/>
                <w:sz w:val="24"/>
                <w:szCs w:val="24"/>
                <w:lang w:eastAsia="zh-CN"/>
              </w:rPr>
              <w:t>），</w:t>
            </w:r>
            <w:r>
              <w:rPr>
                <w:rFonts w:hint="eastAsia" w:ascii="宋体" w:hAnsi="宋体" w:eastAsia="宋体" w:cs="宋体"/>
                <w:color w:val="auto"/>
                <w:spacing w:val="-1"/>
                <w:sz w:val="24"/>
                <w:szCs w:val="24"/>
              </w:rPr>
              <w:t>负责校区桌椅板凳、门窗维修、桌椅搬运及日常应急工作。</w:t>
            </w:r>
          </w:p>
        </w:tc>
      </w:tr>
      <w:tr w14:paraId="2EDF11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08CB0390">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464" w:type="dxa"/>
            <w:vAlign w:val="center"/>
          </w:tcPr>
          <w:p w14:paraId="6D0938DB">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pacing w:val="5"/>
                <w:sz w:val="24"/>
                <w:szCs w:val="24"/>
                <w:lang w:eastAsia="zh-CN"/>
              </w:rPr>
            </w:pPr>
            <w:r>
              <w:rPr>
                <w:rFonts w:hint="eastAsia" w:ascii="宋体" w:hAnsi="宋体" w:eastAsia="宋体" w:cs="宋体"/>
                <w:spacing w:val="13"/>
                <w:sz w:val="24"/>
                <w:szCs w:val="24"/>
              </w:rPr>
              <w:t>绿化</w:t>
            </w:r>
            <w:r>
              <w:rPr>
                <w:rFonts w:hint="eastAsia" w:ascii="宋体" w:hAnsi="宋体" w:eastAsia="宋体" w:cs="宋体"/>
                <w:spacing w:val="13"/>
                <w:sz w:val="24"/>
                <w:szCs w:val="24"/>
                <w:lang w:val="en-US" w:eastAsia="zh-CN"/>
              </w:rPr>
              <w:t>工</w:t>
            </w:r>
          </w:p>
        </w:tc>
        <w:tc>
          <w:tcPr>
            <w:tcW w:w="1354" w:type="dxa"/>
            <w:vAlign w:val="center"/>
          </w:tcPr>
          <w:p w14:paraId="595B7BF2">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5940" w:type="dxa"/>
            <w:vAlign w:val="center"/>
          </w:tcPr>
          <w:p w14:paraId="11EAA169">
            <w:pPr>
              <w:pStyle w:val="76"/>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pacing w:val="-1"/>
                <w:sz w:val="24"/>
                <w:szCs w:val="24"/>
              </w:rPr>
              <w:t>18-55岁</w:t>
            </w:r>
            <w:r>
              <w:rPr>
                <w:rFonts w:hint="eastAsia"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val="en-US" w:eastAsia="zh-CN"/>
              </w:rPr>
              <w:t>含55</w:t>
            </w:r>
            <w:r>
              <w:rPr>
                <w:rFonts w:hint="eastAsia" w:ascii="宋体" w:hAnsi="宋体" w:eastAsia="宋体" w:cs="宋体"/>
                <w:color w:val="auto"/>
                <w:spacing w:val="-2"/>
                <w:sz w:val="24"/>
                <w:szCs w:val="24"/>
                <w:lang w:val="en-US" w:eastAsia="zh-CN"/>
              </w:rPr>
              <w:t>周</w:t>
            </w:r>
            <w:r>
              <w:rPr>
                <w:rFonts w:hint="eastAsia" w:ascii="宋体" w:hAnsi="宋体" w:eastAsia="宋体" w:cs="宋体"/>
                <w:color w:val="auto"/>
                <w:spacing w:val="-1"/>
                <w:sz w:val="24"/>
                <w:szCs w:val="24"/>
                <w:lang w:val="en-US" w:eastAsia="zh-CN"/>
              </w:rPr>
              <w:t>岁</w:t>
            </w:r>
            <w:r>
              <w:rPr>
                <w:rFonts w:hint="eastAsia" w:ascii="宋体" w:hAnsi="宋体" w:eastAsia="宋体" w:cs="宋体"/>
                <w:color w:val="auto"/>
                <w:spacing w:val="-1"/>
                <w:sz w:val="24"/>
                <w:szCs w:val="24"/>
                <w:lang w:eastAsia="zh-CN"/>
              </w:rPr>
              <w:t>），</w:t>
            </w:r>
            <w:r>
              <w:rPr>
                <w:rFonts w:hint="eastAsia" w:ascii="宋体" w:hAnsi="宋体" w:eastAsia="宋体" w:cs="宋体"/>
                <w:color w:val="auto"/>
                <w:kern w:val="0"/>
                <w:sz w:val="24"/>
                <w:lang w:bidi="ar-SA"/>
              </w:rPr>
              <w:t>具有一定的园林绿化经验和技能，</w:t>
            </w:r>
            <w:r>
              <w:rPr>
                <w:rFonts w:hint="eastAsia" w:ascii="宋体" w:hAnsi="宋体" w:eastAsia="宋体" w:cs="宋体"/>
                <w:bCs/>
                <w:color w:val="auto"/>
                <w:kern w:val="2"/>
                <w:sz w:val="24"/>
                <w:szCs w:val="24"/>
                <w:highlight w:val="none"/>
                <w:vertAlign w:val="baseline"/>
                <w:lang w:val="en-US" w:eastAsia="zh-CN" w:bidi="ar-SA"/>
              </w:rPr>
              <w:t>具有有害生物防治工作经验，</w:t>
            </w:r>
            <w:r>
              <w:rPr>
                <w:rFonts w:hint="eastAsia" w:ascii="宋体" w:hAnsi="宋体" w:eastAsia="宋体" w:cs="宋体"/>
                <w:color w:val="auto"/>
                <w:kern w:val="0"/>
                <w:sz w:val="24"/>
              </w:rPr>
              <w:t>懂得绿化养护、病虫害治理</w:t>
            </w:r>
            <w:r>
              <w:rPr>
                <w:rFonts w:hint="eastAsia" w:ascii="宋体" w:hAnsi="宋体" w:eastAsia="宋体" w:cs="宋体"/>
                <w:color w:val="auto"/>
                <w:kern w:val="0"/>
                <w:sz w:val="24"/>
                <w:lang w:eastAsia="zh-CN"/>
              </w:rPr>
              <w:t>，</w:t>
            </w:r>
            <w:r>
              <w:rPr>
                <w:rFonts w:hint="eastAsia" w:ascii="宋体" w:hAnsi="宋体" w:eastAsia="宋体" w:cs="宋体"/>
                <w:color w:val="auto"/>
                <w:kern w:val="0"/>
                <w:sz w:val="24"/>
                <w:lang w:val="en-US" w:eastAsia="zh-CN"/>
              </w:rPr>
              <w:t>能</w:t>
            </w:r>
            <w:r>
              <w:rPr>
                <w:rFonts w:hint="eastAsia" w:ascii="宋体" w:hAnsi="宋体" w:eastAsia="宋体" w:cs="宋体"/>
                <w:color w:val="auto"/>
                <w:spacing w:val="-1"/>
                <w:sz w:val="24"/>
                <w:szCs w:val="24"/>
              </w:rPr>
              <w:t>负责校区绿植养护，修复等工作。</w:t>
            </w:r>
          </w:p>
        </w:tc>
      </w:tr>
      <w:tr w14:paraId="2FF52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844" w:type="dxa"/>
            <w:vAlign w:val="center"/>
          </w:tcPr>
          <w:p w14:paraId="0F453A4E">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464" w:type="dxa"/>
            <w:vAlign w:val="center"/>
          </w:tcPr>
          <w:p w14:paraId="45F0C7EE">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pacing w:val="5"/>
                <w:sz w:val="24"/>
                <w:szCs w:val="24"/>
              </w:rPr>
            </w:pPr>
            <w:r>
              <w:rPr>
                <w:rFonts w:hint="eastAsia" w:ascii="宋体" w:hAnsi="宋体" w:eastAsia="宋体" w:cs="宋体"/>
                <w:spacing w:val="3"/>
                <w:sz w:val="24"/>
                <w:szCs w:val="24"/>
              </w:rPr>
              <w:t>垃圾清运工</w:t>
            </w:r>
          </w:p>
        </w:tc>
        <w:tc>
          <w:tcPr>
            <w:tcW w:w="1354" w:type="dxa"/>
            <w:vAlign w:val="center"/>
          </w:tcPr>
          <w:p w14:paraId="5AC83D8D">
            <w:pPr>
              <w:pStyle w:val="76"/>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5940" w:type="dxa"/>
            <w:vAlign w:val="center"/>
          </w:tcPr>
          <w:p w14:paraId="50A07349">
            <w:pPr>
              <w:pStyle w:val="76"/>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pacing w:val="-1"/>
                <w:sz w:val="24"/>
                <w:szCs w:val="24"/>
              </w:rPr>
            </w:pPr>
            <w:r>
              <w:rPr>
                <w:rFonts w:hint="eastAsia" w:ascii="宋体" w:hAnsi="宋体" w:eastAsia="宋体" w:cs="宋体"/>
                <w:spacing w:val="-1"/>
                <w:sz w:val="24"/>
                <w:szCs w:val="24"/>
              </w:rPr>
              <w:t>负责学校及家属区垃圾清运工作。</w:t>
            </w:r>
          </w:p>
        </w:tc>
      </w:tr>
    </w:tbl>
    <w:p w14:paraId="06DDE96B">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b/>
          <w:bCs w:val="0"/>
          <w:sz w:val="24"/>
          <w:szCs w:val="24"/>
          <w:vertAlign w:val="baseline"/>
          <w:lang w:val="en-US" w:eastAsia="zh-CN"/>
        </w:rPr>
      </w:pPr>
      <w:r>
        <w:rPr>
          <w:rFonts w:hint="eastAsia" w:ascii="宋体" w:hAnsi="宋体" w:eastAsia="宋体" w:cs="宋体"/>
          <w:b/>
          <w:bCs w:val="0"/>
          <w:sz w:val="24"/>
          <w:szCs w:val="24"/>
          <w:highlight w:val="none"/>
          <w:lang w:val="en-US" w:eastAsia="zh-CN"/>
        </w:rPr>
        <w:t>物业考核管理办法细则</w:t>
      </w:r>
    </w:p>
    <w:p w14:paraId="3F4A8474">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1.1考核等级</w:t>
      </w:r>
    </w:p>
    <w:p w14:paraId="4F855E00">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优秀：考核分值：≥85 分。</w:t>
      </w:r>
    </w:p>
    <w:p w14:paraId="27DB396B">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良好:考核分值 70-84 分。</w:t>
      </w:r>
    </w:p>
    <w:p w14:paraId="5F6952CC">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基本合格:考核分值 60-69 分。</w:t>
      </w:r>
    </w:p>
    <w:p w14:paraId="4651B148">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不合格:考核分值＜59 </w:t>
      </w:r>
    </w:p>
    <w:p w14:paraId="7B7D6100">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1.2奖惩措施</w:t>
      </w:r>
    </w:p>
    <w:p w14:paraId="223424A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1.2.1 考核（评）为优秀，不进行奖励。</w:t>
      </w:r>
    </w:p>
    <w:p w14:paraId="32399734">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1.2.2 考核（评）为良好，（考核得分为 70 分及以上、84 分以下），以</w:t>
      </w:r>
    </w:p>
    <w:p w14:paraId="0989130D">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85 分为基准， 每相差 1 分扣除 400 元；处罚的扣款直接在支付当期物业管理</w:t>
      </w:r>
    </w:p>
    <w:p w14:paraId="278473C6">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费中扣除（下同）。</w:t>
      </w:r>
    </w:p>
    <w:p w14:paraId="63F0648B">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1.2.3 考核（评）为基本合格，（考核得分为 70 分及以上、84 分以下），</w:t>
      </w:r>
    </w:p>
    <w:p w14:paraId="4AC20E81">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以 85 分为 基准，每相差 1 分扣除 500 元；并通报批评，约谈中标人公司法人，</w:t>
      </w:r>
    </w:p>
    <w:p w14:paraId="21A5748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责令限期半个月整改，中标人须及时向招标人提交整改措施报告，由招标人监</w:t>
      </w:r>
    </w:p>
    <w:p w14:paraId="7B9321FA">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督实施，若在限期内无明显改变，招标人有权终止与中标人签订服务协议。</w:t>
      </w:r>
    </w:p>
    <w:p w14:paraId="74FEDFDC">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1.2.4、考核（评）为不合格，拒付当期物业管理费外，</w:t>
      </w:r>
    </w:p>
    <w:p w14:paraId="25AEF664">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招标人有权解除合同，另择物业企业，后果和损失由中标人负责。</w:t>
      </w:r>
    </w:p>
    <w:p w14:paraId="5054A938">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1.3具体考核办法</w:t>
      </w:r>
    </w:p>
    <w:tbl>
      <w:tblPr>
        <w:tblStyle w:val="31"/>
        <w:tblpPr w:leftFromText="180" w:rightFromText="180" w:vertAnchor="text" w:tblpXSpec="left" w:tblpY="1"/>
        <w:tblOverlap w:val="never"/>
        <w:tblW w:w="101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5"/>
        <w:gridCol w:w="1214"/>
        <w:gridCol w:w="1454"/>
        <w:gridCol w:w="769"/>
        <w:gridCol w:w="2159"/>
        <w:gridCol w:w="3385"/>
      </w:tblGrid>
      <w:tr w14:paraId="3D943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56" w:type="dxa"/>
            <w:gridSpan w:val="6"/>
            <w:vAlign w:val="center"/>
          </w:tcPr>
          <w:p w14:paraId="287FA0D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物业服务考核表</w:t>
            </w:r>
          </w:p>
        </w:tc>
      </w:tr>
      <w:tr w14:paraId="2A029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152638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类别</w:t>
            </w:r>
          </w:p>
        </w:tc>
        <w:tc>
          <w:tcPr>
            <w:tcW w:w="0" w:type="auto"/>
            <w:vAlign w:val="center"/>
          </w:tcPr>
          <w:p w14:paraId="4ED0BA1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细目</w:t>
            </w:r>
          </w:p>
        </w:tc>
        <w:tc>
          <w:tcPr>
            <w:tcW w:w="0" w:type="auto"/>
            <w:vAlign w:val="center"/>
          </w:tcPr>
          <w:p w14:paraId="6C61938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检查内容</w:t>
            </w:r>
          </w:p>
        </w:tc>
        <w:tc>
          <w:tcPr>
            <w:tcW w:w="769" w:type="dxa"/>
            <w:vAlign w:val="center"/>
          </w:tcPr>
          <w:p w14:paraId="35D2E4E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分值</w:t>
            </w:r>
          </w:p>
        </w:tc>
        <w:tc>
          <w:tcPr>
            <w:tcW w:w="2159" w:type="dxa"/>
            <w:vAlign w:val="center"/>
          </w:tcPr>
          <w:p w14:paraId="77E9612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检查细则</w:t>
            </w:r>
          </w:p>
        </w:tc>
        <w:tc>
          <w:tcPr>
            <w:tcW w:w="3385" w:type="dxa"/>
            <w:vAlign w:val="center"/>
          </w:tcPr>
          <w:p w14:paraId="2FCCB3F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评分标准</w:t>
            </w:r>
          </w:p>
        </w:tc>
      </w:tr>
      <w:tr w14:paraId="00C6B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0" w:type="auto"/>
            <w:vMerge w:val="restart"/>
            <w:vAlign w:val="center"/>
          </w:tcPr>
          <w:p w14:paraId="0D4C98A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环境保洁（55分）</w:t>
            </w:r>
          </w:p>
        </w:tc>
        <w:tc>
          <w:tcPr>
            <w:tcW w:w="0" w:type="auto"/>
            <w:vMerge w:val="restart"/>
            <w:vAlign w:val="center"/>
          </w:tcPr>
          <w:p w14:paraId="4CE4BCC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制度完备</w:t>
            </w:r>
          </w:p>
          <w:p w14:paraId="0412375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（10分）</w:t>
            </w:r>
          </w:p>
        </w:tc>
        <w:tc>
          <w:tcPr>
            <w:tcW w:w="0" w:type="auto"/>
            <w:vAlign w:val="center"/>
          </w:tcPr>
          <w:p w14:paraId="386CE47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环卫设备完善</w:t>
            </w:r>
          </w:p>
        </w:tc>
        <w:tc>
          <w:tcPr>
            <w:tcW w:w="769" w:type="dxa"/>
            <w:vAlign w:val="center"/>
          </w:tcPr>
          <w:p w14:paraId="78BEA54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5</w:t>
            </w:r>
          </w:p>
        </w:tc>
        <w:tc>
          <w:tcPr>
            <w:tcW w:w="2159" w:type="dxa"/>
            <w:vAlign w:val="center"/>
          </w:tcPr>
          <w:p w14:paraId="6253FCB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设有垃圾箱、果皮箱、垃圾中转站</w:t>
            </w:r>
          </w:p>
        </w:tc>
        <w:tc>
          <w:tcPr>
            <w:tcW w:w="3385" w:type="dxa"/>
            <w:vAlign w:val="center"/>
          </w:tcPr>
          <w:p w14:paraId="3C438A4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092F9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55A9ACC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3683924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3DB822E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卫生责任人和范围明确</w:t>
            </w:r>
          </w:p>
        </w:tc>
        <w:tc>
          <w:tcPr>
            <w:tcW w:w="769" w:type="dxa"/>
            <w:vAlign w:val="center"/>
          </w:tcPr>
          <w:p w14:paraId="0927057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5</w:t>
            </w:r>
          </w:p>
        </w:tc>
        <w:tc>
          <w:tcPr>
            <w:tcW w:w="2159" w:type="dxa"/>
            <w:vAlign w:val="center"/>
          </w:tcPr>
          <w:p w14:paraId="7692F48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清洁卫生实行责任制，有专职的清洁人员和明确的责任范围，实行标准化保洁。</w:t>
            </w:r>
          </w:p>
        </w:tc>
        <w:tc>
          <w:tcPr>
            <w:tcW w:w="3385" w:type="dxa"/>
            <w:vAlign w:val="center"/>
          </w:tcPr>
          <w:p w14:paraId="633F10C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3F78D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3AECF29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22EB3E1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校园内、外围清洁</w:t>
            </w:r>
          </w:p>
          <w:p w14:paraId="34CFDDE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（12分）</w:t>
            </w:r>
          </w:p>
        </w:tc>
        <w:tc>
          <w:tcPr>
            <w:tcW w:w="0" w:type="auto"/>
            <w:vAlign w:val="center"/>
          </w:tcPr>
          <w:p w14:paraId="4CEB16B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地面、楼道</w:t>
            </w:r>
          </w:p>
        </w:tc>
        <w:tc>
          <w:tcPr>
            <w:tcW w:w="769" w:type="dxa"/>
            <w:vMerge w:val="restart"/>
            <w:vAlign w:val="center"/>
          </w:tcPr>
          <w:p w14:paraId="1DAC53E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12</w:t>
            </w:r>
          </w:p>
        </w:tc>
        <w:tc>
          <w:tcPr>
            <w:tcW w:w="2159" w:type="dxa"/>
            <w:vAlign w:val="center"/>
          </w:tcPr>
          <w:p w14:paraId="786F117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检查是否有垃圾杂物。</w:t>
            </w:r>
          </w:p>
        </w:tc>
        <w:tc>
          <w:tcPr>
            <w:tcW w:w="3385" w:type="dxa"/>
            <w:vAlign w:val="center"/>
          </w:tcPr>
          <w:p w14:paraId="05BFFE8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每发现一处不合格处扣1分</w:t>
            </w:r>
          </w:p>
        </w:tc>
      </w:tr>
      <w:tr w14:paraId="2909B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0" w:type="auto"/>
            <w:vMerge w:val="continue"/>
            <w:vAlign w:val="center"/>
          </w:tcPr>
          <w:p w14:paraId="61FD648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4DC293E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008A88E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垃圾桶、垃圾箱垃圾站</w:t>
            </w:r>
          </w:p>
        </w:tc>
        <w:tc>
          <w:tcPr>
            <w:tcW w:w="769" w:type="dxa"/>
            <w:vMerge w:val="continue"/>
            <w:vAlign w:val="center"/>
          </w:tcPr>
          <w:p w14:paraId="3C99E70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1054918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检查垃圾桶、垃圾箱是否有溢出垃圾、是否有异味。</w:t>
            </w:r>
          </w:p>
        </w:tc>
        <w:tc>
          <w:tcPr>
            <w:tcW w:w="3385" w:type="dxa"/>
            <w:vAlign w:val="center"/>
          </w:tcPr>
          <w:p w14:paraId="63E1EDC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6970A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7CB6EF5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74B79F4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57BF27C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绿化带</w:t>
            </w:r>
          </w:p>
        </w:tc>
        <w:tc>
          <w:tcPr>
            <w:tcW w:w="769" w:type="dxa"/>
            <w:vMerge w:val="continue"/>
            <w:vAlign w:val="center"/>
          </w:tcPr>
          <w:p w14:paraId="6280255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55B78CE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检查花坛、草地内是否无明显杂物、无枯草、无烟头。</w:t>
            </w:r>
          </w:p>
        </w:tc>
        <w:tc>
          <w:tcPr>
            <w:tcW w:w="3385" w:type="dxa"/>
            <w:vAlign w:val="center"/>
          </w:tcPr>
          <w:p w14:paraId="0A29101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每发现一处不合格处扣1分</w:t>
            </w:r>
          </w:p>
        </w:tc>
      </w:tr>
      <w:tr w14:paraId="02D03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atLeast"/>
        </w:trPr>
        <w:tc>
          <w:tcPr>
            <w:tcW w:w="0" w:type="auto"/>
            <w:vMerge w:val="continue"/>
            <w:vAlign w:val="center"/>
          </w:tcPr>
          <w:p w14:paraId="3E33075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06C5DE0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BE44C8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玻璃门、窗</w:t>
            </w:r>
          </w:p>
        </w:tc>
        <w:tc>
          <w:tcPr>
            <w:tcW w:w="769" w:type="dxa"/>
            <w:vMerge w:val="continue"/>
            <w:vAlign w:val="center"/>
          </w:tcPr>
          <w:p w14:paraId="2D1CCC4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3918DAC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检查玻璃门和窗是否无明显灰尘、无污渍无痕印和手印。</w:t>
            </w:r>
          </w:p>
        </w:tc>
        <w:tc>
          <w:tcPr>
            <w:tcW w:w="3385" w:type="dxa"/>
            <w:vAlign w:val="center"/>
          </w:tcPr>
          <w:p w14:paraId="0706920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每发现一处不合格处扣1分</w:t>
            </w:r>
          </w:p>
        </w:tc>
      </w:tr>
      <w:tr w14:paraId="786F5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0" w:type="auto"/>
            <w:vMerge w:val="continue"/>
            <w:vAlign w:val="center"/>
          </w:tcPr>
          <w:p w14:paraId="44BB41D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712BBF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0377D56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走廊墙面、储物间</w:t>
            </w:r>
          </w:p>
        </w:tc>
        <w:tc>
          <w:tcPr>
            <w:tcW w:w="769" w:type="dxa"/>
            <w:vMerge w:val="continue"/>
            <w:vAlign w:val="center"/>
          </w:tcPr>
          <w:p w14:paraId="23127EA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22A0F6C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检查是否整洁有垃圾杂物。</w:t>
            </w:r>
          </w:p>
        </w:tc>
        <w:tc>
          <w:tcPr>
            <w:tcW w:w="3385" w:type="dxa"/>
            <w:vAlign w:val="center"/>
          </w:tcPr>
          <w:p w14:paraId="4F550BE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每发现一处不合格处扣1分</w:t>
            </w:r>
          </w:p>
        </w:tc>
      </w:tr>
      <w:tr w14:paraId="761D9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4D2CF44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4E6830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6EC1320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楼梯间和屋顶面</w:t>
            </w:r>
          </w:p>
        </w:tc>
        <w:tc>
          <w:tcPr>
            <w:tcW w:w="769" w:type="dxa"/>
            <w:vMerge w:val="continue"/>
            <w:vAlign w:val="center"/>
          </w:tcPr>
          <w:p w14:paraId="7AD1888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73068DF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无蜘蛛网、灰尘，地脚线干净无灰尘，地面干净无杂物、污迹。</w:t>
            </w:r>
          </w:p>
        </w:tc>
        <w:tc>
          <w:tcPr>
            <w:tcW w:w="3385" w:type="dxa"/>
            <w:vAlign w:val="center"/>
          </w:tcPr>
          <w:p w14:paraId="3D53EE7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0FCA3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19EB066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4EC6B34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行政楼</w:t>
            </w:r>
          </w:p>
          <w:p w14:paraId="1D89D2B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（20分）</w:t>
            </w:r>
          </w:p>
        </w:tc>
        <w:tc>
          <w:tcPr>
            <w:tcW w:w="0" w:type="auto"/>
            <w:vAlign w:val="center"/>
          </w:tcPr>
          <w:p w14:paraId="16A866D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洗手间</w:t>
            </w:r>
          </w:p>
        </w:tc>
        <w:tc>
          <w:tcPr>
            <w:tcW w:w="769" w:type="dxa"/>
            <w:vMerge w:val="restart"/>
            <w:vAlign w:val="center"/>
          </w:tcPr>
          <w:p w14:paraId="571A9E4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20</w:t>
            </w:r>
          </w:p>
        </w:tc>
        <w:tc>
          <w:tcPr>
            <w:tcW w:w="2159" w:type="dxa"/>
            <w:vAlign w:val="center"/>
          </w:tcPr>
          <w:p w14:paraId="6E0AA2C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检查是否整洁干净无异味，垃圾箱干净无污渍、无破损。</w:t>
            </w:r>
          </w:p>
        </w:tc>
        <w:tc>
          <w:tcPr>
            <w:tcW w:w="3385" w:type="dxa"/>
            <w:vAlign w:val="center"/>
          </w:tcPr>
          <w:p w14:paraId="137C047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79062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2529C8E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091ADDE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1C7AE0B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扶手、护栏</w:t>
            </w:r>
          </w:p>
        </w:tc>
        <w:tc>
          <w:tcPr>
            <w:tcW w:w="769" w:type="dxa"/>
            <w:vMerge w:val="continue"/>
            <w:vAlign w:val="center"/>
          </w:tcPr>
          <w:p w14:paraId="7D54E22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37DF837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用纸巾擦拭是否无灰尘、无污迹。</w:t>
            </w:r>
          </w:p>
        </w:tc>
        <w:tc>
          <w:tcPr>
            <w:tcW w:w="3385" w:type="dxa"/>
            <w:vAlign w:val="center"/>
          </w:tcPr>
          <w:p w14:paraId="0DF1E13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75D1A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611061F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04BAE17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5735B2A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楼层楼梯</w:t>
            </w:r>
          </w:p>
        </w:tc>
        <w:tc>
          <w:tcPr>
            <w:tcW w:w="769" w:type="dxa"/>
            <w:vMerge w:val="continue"/>
            <w:vAlign w:val="center"/>
          </w:tcPr>
          <w:p w14:paraId="3696E60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1DB86CE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目视地面无烟头、纸屑、杂物等。</w:t>
            </w:r>
          </w:p>
        </w:tc>
        <w:tc>
          <w:tcPr>
            <w:tcW w:w="3385" w:type="dxa"/>
            <w:vAlign w:val="center"/>
          </w:tcPr>
          <w:p w14:paraId="70B9F9F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35BCC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14:paraId="694DA81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A7E70A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7665C09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公共走廊玻璃墙面(外侧)</w:t>
            </w:r>
          </w:p>
        </w:tc>
        <w:tc>
          <w:tcPr>
            <w:tcW w:w="769" w:type="dxa"/>
            <w:vMerge w:val="continue"/>
            <w:vAlign w:val="center"/>
          </w:tcPr>
          <w:p w14:paraId="6FBB157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7668913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无明显灰尘、污渍、手印、光洁明亮。</w:t>
            </w:r>
          </w:p>
        </w:tc>
        <w:tc>
          <w:tcPr>
            <w:tcW w:w="3385" w:type="dxa"/>
            <w:vAlign w:val="center"/>
          </w:tcPr>
          <w:p w14:paraId="40AD240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774EE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6A8D615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35CB3E3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091023C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垃圾桶（箱）</w:t>
            </w:r>
          </w:p>
        </w:tc>
        <w:tc>
          <w:tcPr>
            <w:tcW w:w="769" w:type="dxa"/>
            <w:vMerge w:val="continue"/>
            <w:vAlign w:val="center"/>
          </w:tcPr>
          <w:p w14:paraId="4FC58D5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644344A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垃圾不过满、无异味、无蚊蝇飞舞</w:t>
            </w:r>
          </w:p>
        </w:tc>
        <w:tc>
          <w:tcPr>
            <w:tcW w:w="3385" w:type="dxa"/>
            <w:vAlign w:val="center"/>
          </w:tcPr>
          <w:p w14:paraId="0BD1CE3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0A2C9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216DBCE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19DA1A8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19F0C30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天花板</w:t>
            </w:r>
          </w:p>
        </w:tc>
        <w:tc>
          <w:tcPr>
            <w:tcW w:w="769" w:type="dxa"/>
            <w:vMerge w:val="continue"/>
            <w:vAlign w:val="center"/>
          </w:tcPr>
          <w:p w14:paraId="62401DF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1433D50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无明显蛛网、积尘。</w:t>
            </w:r>
          </w:p>
        </w:tc>
        <w:tc>
          <w:tcPr>
            <w:tcW w:w="3385" w:type="dxa"/>
            <w:vAlign w:val="center"/>
          </w:tcPr>
          <w:p w14:paraId="1776722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7CA72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1ACB659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1370F2C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68A0B2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墙面（涂料）</w:t>
            </w:r>
          </w:p>
        </w:tc>
        <w:tc>
          <w:tcPr>
            <w:tcW w:w="769" w:type="dxa"/>
            <w:vMerge w:val="continue"/>
            <w:vAlign w:val="center"/>
          </w:tcPr>
          <w:p w14:paraId="626F3B6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0BFD43F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无明显污迹、脚印、单处涂鸦面积应当不超过0.01㎡。</w:t>
            </w:r>
          </w:p>
        </w:tc>
        <w:tc>
          <w:tcPr>
            <w:tcW w:w="3385" w:type="dxa"/>
            <w:vAlign w:val="center"/>
          </w:tcPr>
          <w:p w14:paraId="2FEC783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58AEA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40FD66F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22CD628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4E3D040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灭火器、消火栓</w:t>
            </w:r>
          </w:p>
        </w:tc>
        <w:tc>
          <w:tcPr>
            <w:tcW w:w="769" w:type="dxa"/>
            <w:vMerge w:val="continue"/>
            <w:vAlign w:val="center"/>
          </w:tcPr>
          <w:p w14:paraId="7AD3DDF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5476503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无灰尘、污迹</w:t>
            </w:r>
          </w:p>
        </w:tc>
        <w:tc>
          <w:tcPr>
            <w:tcW w:w="3385" w:type="dxa"/>
            <w:vAlign w:val="center"/>
          </w:tcPr>
          <w:p w14:paraId="33805C8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177E7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4950B5D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175E9BF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45C5BAD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会议室内清洁  （4分）</w:t>
            </w:r>
          </w:p>
        </w:tc>
        <w:tc>
          <w:tcPr>
            <w:tcW w:w="0" w:type="auto"/>
            <w:vAlign w:val="center"/>
          </w:tcPr>
          <w:p w14:paraId="3565010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会议室、培训室桌面、地面</w:t>
            </w:r>
          </w:p>
        </w:tc>
        <w:tc>
          <w:tcPr>
            <w:tcW w:w="769" w:type="dxa"/>
            <w:vMerge w:val="restart"/>
            <w:vAlign w:val="center"/>
          </w:tcPr>
          <w:p w14:paraId="6D88E06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4</w:t>
            </w:r>
          </w:p>
        </w:tc>
        <w:tc>
          <w:tcPr>
            <w:tcW w:w="2159" w:type="dxa"/>
            <w:vAlign w:val="center"/>
          </w:tcPr>
          <w:p w14:paraId="7A4D34D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无灰尘、污迹。</w:t>
            </w:r>
          </w:p>
        </w:tc>
        <w:tc>
          <w:tcPr>
            <w:tcW w:w="3385" w:type="dxa"/>
            <w:vAlign w:val="center"/>
          </w:tcPr>
          <w:p w14:paraId="6BD6BA0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3E970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7D4BCFD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2DE10F3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C0A79E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门、玻璃窗、桌、台面、沙发、桌椅</w:t>
            </w:r>
          </w:p>
        </w:tc>
        <w:tc>
          <w:tcPr>
            <w:tcW w:w="769" w:type="dxa"/>
            <w:vMerge w:val="continue"/>
            <w:vAlign w:val="center"/>
          </w:tcPr>
          <w:p w14:paraId="7A8BF1E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5765643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无明显破损、变形、锈蚀、脱漆现象，门扇开关灵活，无尘、无污物、无手印。</w:t>
            </w:r>
          </w:p>
        </w:tc>
        <w:tc>
          <w:tcPr>
            <w:tcW w:w="3385" w:type="dxa"/>
            <w:vAlign w:val="center"/>
          </w:tcPr>
          <w:p w14:paraId="5AD2265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02C43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6C5E9AF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365071B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地面、平台清洁</w:t>
            </w:r>
          </w:p>
          <w:p w14:paraId="064D39E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（5分）</w:t>
            </w:r>
          </w:p>
        </w:tc>
        <w:tc>
          <w:tcPr>
            <w:tcW w:w="0" w:type="auto"/>
            <w:vAlign w:val="center"/>
          </w:tcPr>
          <w:p w14:paraId="44A1D16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地面</w:t>
            </w:r>
          </w:p>
        </w:tc>
        <w:tc>
          <w:tcPr>
            <w:tcW w:w="769" w:type="dxa"/>
            <w:vMerge w:val="restart"/>
            <w:vAlign w:val="center"/>
          </w:tcPr>
          <w:p w14:paraId="1B322EF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5</w:t>
            </w:r>
          </w:p>
        </w:tc>
        <w:tc>
          <w:tcPr>
            <w:tcW w:w="2159" w:type="dxa"/>
            <w:vAlign w:val="center"/>
          </w:tcPr>
          <w:p w14:paraId="5132C59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无明显污渍、垃圾杂物。</w:t>
            </w:r>
          </w:p>
        </w:tc>
        <w:tc>
          <w:tcPr>
            <w:tcW w:w="3385" w:type="dxa"/>
            <w:vAlign w:val="center"/>
          </w:tcPr>
          <w:p w14:paraId="608E42D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69A50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1336B43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123F738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3C5D7F1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相关设施</w:t>
            </w:r>
          </w:p>
        </w:tc>
        <w:tc>
          <w:tcPr>
            <w:tcW w:w="769" w:type="dxa"/>
            <w:vMerge w:val="continue"/>
            <w:vAlign w:val="center"/>
          </w:tcPr>
          <w:p w14:paraId="6B626DA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414DF08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目视干净，无灰尘，污渍。</w:t>
            </w:r>
          </w:p>
        </w:tc>
        <w:tc>
          <w:tcPr>
            <w:tcW w:w="3385" w:type="dxa"/>
            <w:vAlign w:val="center"/>
          </w:tcPr>
          <w:p w14:paraId="7566409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560D8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0355DA7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3D580E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7713E88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水沟、管道</w:t>
            </w:r>
          </w:p>
        </w:tc>
        <w:tc>
          <w:tcPr>
            <w:tcW w:w="769" w:type="dxa"/>
            <w:vMerge w:val="continue"/>
            <w:vAlign w:val="center"/>
          </w:tcPr>
          <w:p w14:paraId="0F8ADB1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433B3FE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无垃圾，无污渍、排水通畅。</w:t>
            </w:r>
          </w:p>
        </w:tc>
        <w:tc>
          <w:tcPr>
            <w:tcW w:w="3385" w:type="dxa"/>
            <w:vAlign w:val="center"/>
          </w:tcPr>
          <w:p w14:paraId="76325CB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693C6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0" w:type="auto"/>
            <w:vMerge w:val="continue"/>
            <w:vAlign w:val="center"/>
          </w:tcPr>
          <w:p w14:paraId="38033B1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31FBD66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消杀（4分）</w:t>
            </w:r>
          </w:p>
        </w:tc>
        <w:tc>
          <w:tcPr>
            <w:tcW w:w="0" w:type="auto"/>
            <w:vMerge w:val="restart"/>
            <w:vAlign w:val="center"/>
          </w:tcPr>
          <w:p w14:paraId="35F6554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灭蟑螂、蚊子、苍蝇、鼠、蚂蚁</w:t>
            </w:r>
          </w:p>
        </w:tc>
        <w:tc>
          <w:tcPr>
            <w:tcW w:w="769" w:type="dxa"/>
            <w:vAlign w:val="center"/>
          </w:tcPr>
          <w:p w14:paraId="31EC703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w:t>
            </w:r>
          </w:p>
        </w:tc>
        <w:tc>
          <w:tcPr>
            <w:tcW w:w="2159" w:type="dxa"/>
            <w:vAlign w:val="center"/>
          </w:tcPr>
          <w:p w14:paraId="236CFC0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检查卫生间、会议室、消防通道消杀是否达标。</w:t>
            </w:r>
          </w:p>
        </w:tc>
        <w:tc>
          <w:tcPr>
            <w:tcW w:w="3385" w:type="dxa"/>
            <w:vAlign w:val="center"/>
          </w:tcPr>
          <w:p w14:paraId="720745B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2F825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0" w:type="auto"/>
            <w:vMerge w:val="continue"/>
            <w:vAlign w:val="center"/>
          </w:tcPr>
          <w:p w14:paraId="5D7834F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3C9E406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AA5D51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769" w:type="dxa"/>
            <w:vAlign w:val="center"/>
          </w:tcPr>
          <w:p w14:paraId="6FFD70F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w:t>
            </w:r>
          </w:p>
        </w:tc>
        <w:tc>
          <w:tcPr>
            <w:tcW w:w="2159" w:type="dxa"/>
            <w:vAlign w:val="center"/>
          </w:tcPr>
          <w:p w14:paraId="66DCC9E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检查外围、绿化带、角落、阴沟、污水沟、污水井、积水处消杀是否达标。</w:t>
            </w:r>
          </w:p>
        </w:tc>
        <w:tc>
          <w:tcPr>
            <w:tcW w:w="3385" w:type="dxa"/>
            <w:vAlign w:val="center"/>
          </w:tcPr>
          <w:p w14:paraId="2ADAEA7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5F919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1A5D500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6384CF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3BD3016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消杀计划与效果</w:t>
            </w:r>
          </w:p>
        </w:tc>
        <w:tc>
          <w:tcPr>
            <w:tcW w:w="769" w:type="dxa"/>
            <w:vAlign w:val="center"/>
          </w:tcPr>
          <w:p w14:paraId="6C2ABB0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723CAFF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检查是否按计划进行消杀，查看跟进记录表，消杀效果是否理想，有否整改措施。</w:t>
            </w:r>
          </w:p>
        </w:tc>
        <w:tc>
          <w:tcPr>
            <w:tcW w:w="3385" w:type="dxa"/>
            <w:vAlign w:val="center"/>
          </w:tcPr>
          <w:p w14:paraId="3A33F8A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3212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restart"/>
            <w:vAlign w:val="center"/>
          </w:tcPr>
          <w:p w14:paraId="7DBDC1C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绿化（10分）</w:t>
            </w:r>
          </w:p>
        </w:tc>
        <w:tc>
          <w:tcPr>
            <w:tcW w:w="0" w:type="auto"/>
            <w:vMerge w:val="restart"/>
            <w:vAlign w:val="center"/>
          </w:tcPr>
          <w:p w14:paraId="66DB91D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绿化（10分）</w:t>
            </w:r>
          </w:p>
        </w:tc>
        <w:tc>
          <w:tcPr>
            <w:tcW w:w="0" w:type="auto"/>
            <w:vAlign w:val="center"/>
          </w:tcPr>
          <w:p w14:paraId="31F5AA5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绿化配备</w:t>
            </w:r>
          </w:p>
        </w:tc>
        <w:tc>
          <w:tcPr>
            <w:tcW w:w="769" w:type="dxa"/>
            <w:vAlign w:val="center"/>
          </w:tcPr>
          <w:p w14:paraId="1A9CDEE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5585515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绿地布局合理，花草树木与建筑配置得当，花箱外观保持常年完好。</w:t>
            </w:r>
          </w:p>
        </w:tc>
        <w:tc>
          <w:tcPr>
            <w:tcW w:w="3385" w:type="dxa"/>
            <w:vAlign w:val="center"/>
          </w:tcPr>
          <w:p w14:paraId="1951060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2066F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5E69C4B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62CB8A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31E0C4B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绿地用途</w:t>
            </w:r>
          </w:p>
        </w:tc>
        <w:tc>
          <w:tcPr>
            <w:tcW w:w="769" w:type="dxa"/>
            <w:vAlign w:val="center"/>
          </w:tcPr>
          <w:p w14:paraId="2309B28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0CF530C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绿地无改变使用用途和破坏、践踏、占用现象。</w:t>
            </w:r>
          </w:p>
        </w:tc>
        <w:tc>
          <w:tcPr>
            <w:tcW w:w="3385" w:type="dxa"/>
            <w:vAlign w:val="center"/>
          </w:tcPr>
          <w:p w14:paraId="4187910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4BFD0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299259A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70ADE30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04B1EA2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绿化管理</w:t>
            </w:r>
          </w:p>
        </w:tc>
        <w:tc>
          <w:tcPr>
            <w:tcW w:w="769" w:type="dxa"/>
            <w:vAlign w:val="center"/>
          </w:tcPr>
          <w:p w14:paraId="5977CE8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4</w:t>
            </w:r>
          </w:p>
        </w:tc>
        <w:tc>
          <w:tcPr>
            <w:tcW w:w="2159" w:type="dxa"/>
            <w:vAlign w:val="center"/>
          </w:tcPr>
          <w:p w14:paraId="7A4F6E5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花草树木长势良好，修剪整齐美观，无病虫害，无折损现象，无斑秃、对大厦内部、天台、屋顶、绿植墙等绿化有管理措施并落实.</w:t>
            </w:r>
          </w:p>
        </w:tc>
        <w:tc>
          <w:tcPr>
            <w:tcW w:w="3385" w:type="dxa"/>
            <w:vAlign w:val="center"/>
          </w:tcPr>
          <w:p w14:paraId="6ED57BF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4CCF9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7" w:hRule="atLeast"/>
        </w:trPr>
        <w:tc>
          <w:tcPr>
            <w:tcW w:w="0" w:type="auto"/>
            <w:vMerge w:val="continue"/>
            <w:vAlign w:val="center"/>
          </w:tcPr>
          <w:p w14:paraId="0F6FBE7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FC3EEC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0A86EB1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绿化卫生</w:t>
            </w:r>
          </w:p>
        </w:tc>
        <w:tc>
          <w:tcPr>
            <w:tcW w:w="769" w:type="dxa"/>
            <w:vAlign w:val="center"/>
          </w:tcPr>
          <w:p w14:paraId="4D8C969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4DFC976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绿地无纸屑、烟头、石地等杂物。</w:t>
            </w:r>
          </w:p>
        </w:tc>
        <w:tc>
          <w:tcPr>
            <w:tcW w:w="3385" w:type="dxa"/>
            <w:vAlign w:val="center"/>
          </w:tcPr>
          <w:p w14:paraId="665D92D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每发现一处不合格处扣0.2分</w:t>
            </w:r>
          </w:p>
        </w:tc>
      </w:tr>
      <w:tr w14:paraId="5B323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restart"/>
            <w:vAlign w:val="center"/>
          </w:tcPr>
          <w:p w14:paraId="5E7EE13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0DD5B25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07C1413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519EEED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5214E51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6457B54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56DF03A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1F8C7B9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172D8D9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4A91828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p w14:paraId="659965E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公共设施设备（35）</w:t>
            </w:r>
          </w:p>
        </w:tc>
        <w:tc>
          <w:tcPr>
            <w:tcW w:w="0" w:type="auto"/>
            <w:vMerge w:val="restart"/>
            <w:vAlign w:val="center"/>
          </w:tcPr>
          <w:p w14:paraId="3EE1638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共用设施管理（10分</w:t>
            </w:r>
          </w:p>
        </w:tc>
        <w:tc>
          <w:tcPr>
            <w:tcW w:w="0" w:type="auto"/>
            <w:vAlign w:val="center"/>
          </w:tcPr>
          <w:p w14:paraId="5BD1ED0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配套设施完好无损</w:t>
            </w:r>
          </w:p>
        </w:tc>
        <w:tc>
          <w:tcPr>
            <w:tcW w:w="769" w:type="dxa"/>
            <w:vAlign w:val="center"/>
          </w:tcPr>
          <w:p w14:paraId="2F8EE53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25192B0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共用配套服务设施完好,完好率达到98%，无随意改变用途。</w:t>
            </w:r>
          </w:p>
        </w:tc>
        <w:tc>
          <w:tcPr>
            <w:tcW w:w="3385" w:type="dxa"/>
            <w:vAlign w:val="center"/>
          </w:tcPr>
          <w:p w14:paraId="73DB01A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每发现一处不合格处扣0.1分</w:t>
            </w:r>
          </w:p>
        </w:tc>
      </w:tr>
      <w:tr w14:paraId="386D3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41CA11A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71C512C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46F1F77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公共照明完好</w:t>
            </w:r>
          </w:p>
        </w:tc>
        <w:tc>
          <w:tcPr>
            <w:tcW w:w="769" w:type="dxa"/>
            <w:vAlign w:val="center"/>
          </w:tcPr>
          <w:p w14:paraId="1319597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7C4FE28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公区、道路、楼道、大堂等公共照明完好。</w:t>
            </w:r>
          </w:p>
        </w:tc>
        <w:tc>
          <w:tcPr>
            <w:tcW w:w="3385" w:type="dxa"/>
            <w:vAlign w:val="center"/>
          </w:tcPr>
          <w:p w14:paraId="2E9EF2A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每发现一处不合格处扣0.5分</w:t>
            </w:r>
          </w:p>
        </w:tc>
      </w:tr>
      <w:tr w14:paraId="70DE2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3F6B7F7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50079E5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6943AE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各种给排水设施通畅</w:t>
            </w:r>
          </w:p>
        </w:tc>
        <w:tc>
          <w:tcPr>
            <w:tcW w:w="769" w:type="dxa"/>
            <w:vAlign w:val="center"/>
          </w:tcPr>
          <w:p w14:paraId="52F62FB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41EFCF6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雨水箅子不得有任何杂物，污水、雨水及其他排水管井无阻塞。</w:t>
            </w:r>
          </w:p>
        </w:tc>
        <w:tc>
          <w:tcPr>
            <w:tcW w:w="3385" w:type="dxa"/>
            <w:vAlign w:val="center"/>
          </w:tcPr>
          <w:p w14:paraId="71E5022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每发现一处不合格处扣0.1分</w:t>
            </w:r>
          </w:p>
        </w:tc>
      </w:tr>
      <w:tr w14:paraId="7F4D0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1D26AB2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76FBDE0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73622AB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供水、供电、消防设备及管理用房</w:t>
            </w:r>
          </w:p>
        </w:tc>
        <w:tc>
          <w:tcPr>
            <w:tcW w:w="769" w:type="dxa"/>
            <w:vAlign w:val="center"/>
          </w:tcPr>
          <w:p w14:paraId="2B67C526">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2AAF1C4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各设备及管理用房一律上锁，值班员能在一分钟内找到钥匙，不能出现打不开门现象。</w:t>
            </w:r>
          </w:p>
        </w:tc>
        <w:tc>
          <w:tcPr>
            <w:tcW w:w="3385" w:type="dxa"/>
            <w:vAlign w:val="center"/>
          </w:tcPr>
          <w:p w14:paraId="623A6A6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每发现一处不合格处扣0.1分</w:t>
            </w:r>
          </w:p>
        </w:tc>
      </w:tr>
      <w:tr w14:paraId="21533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76627F7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454CA38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7D013F2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水电表运转正常，计费准确</w:t>
            </w:r>
          </w:p>
        </w:tc>
        <w:tc>
          <w:tcPr>
            <w:tcW w:w="769" w:type="dxa"/>
            <w:vAlign w:val="center"/>
          </w:tcPr>
          <w:p w14:paraId="6F97A389">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07562FA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相关设备维护、维修。</w:t>
            </w:r>
          </w:p>
        </w:tc>
        <w:tc>
          <w:tcPr>
            <w:tcW w:w="3385" w:type="dxa"/>
            <w:vAlign w:val="center"/>
          </w:tcPr>
          <w:p w14:paraId="1DE5E9C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每发现一处不合格处扣0.1分</w:t>
            </w:r>
          </w:p>
        </w:tc>
      </w:tr>
      <w:tr w14:paraId="02E41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78C99DC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restart"/>
            <w:vAlign w:val="center"/>
          </w:tcPr>
          <w:p w14:paraId="11F730A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供排水、消防</w:t>
            </w:r>
          </w:p>
          <w:p w14:paraId="127ABA5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（10分）</w:t>
            </w:r>
          </w:p>
        </w:tc>
        <w:tc>
          <w:tcPr>
            <w:tcW w:w="0" w:type="auto"/>
            <w:vAlign w:val="center"/>
          </w:tcPr>
          <w:p w14:paraId="0800A45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供水设备</w:t>
            </w:r>
          </w:p>
        </w:tc>
        <w:tc>
          <w:tcPr>
            <w:tcW w:w="769" w:type="dxa"/>
            <w:vMerge w:val="restart"/>
            <w:vAlign w:val="center"/>
          </w:tcPr>
          <w:p w14:paraId="3FF0DD2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10</w:t>
            </w:r>
          </w:p>
        </w:tc>
        <w:tc>
          <w:tcPr>
            <w:tcW w:w="2159" w:type="dxa"/>
            <w:vAlign w:val="center"/>
          </w:tcPr>
          <w:p w14:paraId="78AF74D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二次供水设备、水表水管。</w:t>
            </w:r>
          </w:p>
        </w:tc>
        <w:tc>
          <w:tcPr>
            <w:tcW w:w="3385" w:type="dxa"/>
            <w:vAlign w:val="center"/>
          </w:tcPr>
          <w:p w14:paraId="6174BD2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每发现一处不合格扣0.5分</w:t>
            </w:r>
          </w:p>
        </w:tc>
      </w:tr>
      <w:tr w14:paraId="26324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1045FF5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082A3E2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37CAC96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排污泵</w:t>
            </w:r>
          </w:p>
        </w:tc>
        <w:tc>
          <w:tcPr>
            <w:tcW w:w="769" w:type="dxa"/>
            <w:vMerge w:val="continue"/>
            <w:vAlign w:val="center"/>
          </w:tcPr>
          <w:p w14:paraId="1C44017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2EAB657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正常使用，及时报修。</w:t>
            </w:r>
          </w:p>
        </w:tc>
        <w:tc>
          <w:tcPr>
            <w:tcW w:w="3385" w:type="dxa"/>
            <w:vAlign w:val="center"/>
          </w:tcPr>
          <w:p w14:paraId="3BD56B8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每发现一处不合格扣0.5分</w:t>
            </w:r>
          </w:p>
        </w:tc>
      </w:tr>
      <w:tr w14:paraId="78007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3E7CF25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1767BB7F">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07F0B9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消防泵、消防水箱</w:t>
            </w:r>
          </w:p>
        </w:tc>
        <w:tc>
          <w:tcPr>
            <w:tcW w:w="769" w:type="dxa"/>
            <w:vMerge w:val="continue"/>
            <w:vAlign w:val="center"/>
          </w:tcPr>
          <w:p w14:paraId="21E0DA2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3C9861F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正常使用，及时报修。</w:t>
            </w:r>
          </w:p>
        </w:tc>
        <w:tc>
          <w:tcPr>
            <w:tcW w:w="3385" w:type="dxa"/>
            <w:vAlign w:val="center"/>
          </w:tcPr>
          <w:p w14:paraId="345CB0D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每发现一处不合格扣0.5分</w:t>
            </w:r>
          </w:p>
        </w:tc>
      </w:tr>
      <w:tr w14:paraId="353A9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7BB588E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Merge w:val="continue"/>
            <w:vAlign w:val="center"/>
          </w:tcPr>
          <w:p w14:paraId="02B3489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49C9A15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消防水箱、消防水带</w:t>
            </w:r>
          </w:p>
        </w:tc>
        <w:tc>
          <w:tcPr>
            <w:tcW w:w="769" w:type="dxa"/>
            <w:vMerge w:val="continue"/>
            <w:vAlign w:val="center"/>
          </w:tcPr>
          <w:p w14:paraId="1BCD5761">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2159" w:type="dxa"/>
            <w:vAlign w:val="center"/>
          </w:tcPr>
          <w:p w14:paraId="72D7ED9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正常使用，及时报修，辅助消防管理。</w:t>
            </w:r>
          </w:p>
        </w:tc>
        <w:tc>
          <w:tcPr>
            <w:tcW w:w="3385" w:type="dxa"/>
            <w:vAlign w:val="center"/>
          </w:tcPr>
          <w:p w14:paraId="66168F04">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每发现一处不合格扣0.5分</w:t>
            </w:r>
          </w:p>
        </w:tc>
      </w:tr>
      <w:tr w14:paraId="0B3AF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3FECBB3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15E4C05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设备设施（2分）</w:t>
            </w:r>
          </w:p>
        </w:tc>
        <w:tc>
          <w:tcPr>
            <w:tcW w:w="0" w:type="auto"/>
            <w:vAlign w:val="center"/>
          </w:tcPr>
          <w:p w14:paraId="61D3BB7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各类消防设施、消防通道</w:t>
            </w:r>
          </w:p>
        </w:tc>
        <w:tc>
          <w:tcPr>
            <w:tcW w:w="769" w:type="dxa"/>
            <w:vAlign w:val="center"/>
          </w:tcPr>
          <w:p w14:paraId="2F7A8E7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2159" w:type="dxa"/>
            <w:vAlign w:val="center"/>
          </w:tcPr>
          <w:p w14:paraId="148B815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完好，确保正常使用，消防通道畅通。</w:t>
            </w:r>
          </w:p>
        </w:tc>
        <w:tc>
          <w:tcPr>
            <w:tcW w:w="3385" w:type="dxa"/>
            <w:vAlign w:val="center"/>
          </w:tcPr>
          <w:p w14:paraId="232DE56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每发现一处不合格扣1分</w:t>
            </w:r>
          </w:p>
        </w:tc>
      </w:tr>
      <w:tr w14:paraId="695E4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08C85D4D">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552A8D9B">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安全（3分）</w:t>
            </w:r>
          </w:p>
        </w:tc>
        <w:tc>
          <w:tcPr>
            <w:tcW w:w="0" w:type="auto"/>
            <w:vAlign w:val="center"/>
          </w:tcPr>
          <w:p w14:paraId="18D46DEA">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隐患，事故</w:t>
            </w:r>
          </w:p>
        </w:tc>
        <w:tc>
          <w:tcPr>
            <w:tcW w:w="769" w:type="dxa"/>
            <w:vAlign w:val="center"/>
          </w:tcPr>
          <w:p w14:paraId="65A980B0">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3</w:t>
            </w:r>
          </w:p>
        </w:tc>
        <w:tc>
          <w:tcPr>
            <w:tcW w:w="2159" w:type="dxa"/>
            <w:vAlign w:val="center"/>
          </w:tcPr>
          <w:p w14:paraId="0FDE6BE7">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火灾隐患，火灾事故率为0。</w:t>
            </w:r>
          </w:p>
        </w:tc>
        <w:tc>
          <w:tcPr>
            <w:tcW w:w="3385" w:type="dxa"/>
            <w:vAlign w:val="center"/>
          </w:tcPr>
          <w:p w14:paraId="6779F06C">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每发现一处不合格扣1分</w:t>
            </w:r>
          </w:p>
        </w:tc>
      </w:tr>
      <w:tr w14:paraId="6FB30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0" w:type="auto"/>
            <w:vMerge w:val="continue"/>
            <w:vAlign w:val="center"/>
          </w:tcPr>
          <w:p w14:paraId="2722E70E">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p>
        </w:tc>
        <w:tc>
          <w:tcPr>
            <w:tcW w:w="0" w:type="auto"/>
            <w:vAlign w:val="center"/>
          </w:tcPr>
          <w:p w14:paraId="23810F5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省、市、区重大检查接待（10分）</w:t>
            </w:r>
          </w:p>
        </w:tc>
        <w:tc>
          <w:tcPr>
            <w:tcW w:w="0" w:type="auto"/>
            <w:vAlign w:val="center"/>
          </w:tcPr>
          <w:p w14:paraId="35F3C562">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检查过程中出现不达标</w:t>
            </w:r>
          </w:p>
        </w:tc>
        <w:tc>
          <w:tcPr>
            <w:tcW w:w="769" w:type="dxa"/>
            <w:vAlign w:val="center"/>
          </w:tcPr>
          <w:p w14:paraId="47B5CC73">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10</w:t>
            </w:r>
          </w:p>
        </w:tc>
        <w:tc>
          <w:tcPr>
            <w:tcW w:w="2159" w:type="dxa"/>
            <w:vAlign w:val="center"/>
          </w:tcPr>
          <w:p w14:paraId="42114E65">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检查过程中出现检查不达标</w:t>
            </w:r>
          </w:p>
        </w:tc>
        <w:tc>
          <w:tcPr>
            <w:tcW w:w="3385" w:type="dxa"/>
            <w:vAlign w:val="center"/>
          </w:tcPr>
          <w:p w14:paraId="2D1C02F8">
            <w:pPr>
              <w:pStyle w:val="57"/>
              <w:adjustRightInd w:val="0"/>
              <w:snapToGrid w:val="0"/>
              <w:ind w:left="0"/>
              <w:jc w:val="center"/>
              <w:outlineLvl w:val="9"/>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每出现一次不合格扣10分</w:t>
            </w:r>
          </w:p>
        </w:tc>
      </w:tr>
    </w:tbl>
    <w:p w14:paraId="645AB101">
      <w:pPr>
        <w:pageBreakBefore w:val="0"/>
        <w:numPr>
          <w:ilvl w:val="0"/>
          <w:numId w:val="0"/>
        </w:numPr>
        <w:kinsoku/>
        <w:wordWrap/>
        <w:overflowPunct/>
        <w:topLinePunct w:val="0"/>
        <w:autoSpaceDE/>
        <w:autoSpaceDN/>
        <w:bidi w:val="0"/>
        <w:adjustRightInd/>
        <w:snapToGrid/>
        <w:spacing w:line="500" w:lineRule="exact"/>
        <w:rPr>
          <w:rFonts w:hint="eastAsia" w:ascii="宋体" w:hAnsi="宋体" w:eastAsia="宋体" w:cs="宋体"/>
          <w:b/>
          <w:bCs w:val="0"/>
          <w:sz w:val="24"/>
          <w:szCs w:val="24"/>
          <w:highlight w:val="none"/>
          <w:lang w:val="en-US" w:eastAsia="zh-CN"/>
        </w:rPr>
      </w:pPr>
      <w:r>
        <w:rPr>
          <w:rFonts w:hint="eastAsia" w:ascii="宋体" w:hAnsi="宋体" w:eastAsia="宋体" w:cs="宋体"/>
          <w:b/>
          <w:bCs w:val="0"/>
          <w:sz w:val="24"/>
          <w:szCs w:val="24"/>
          <w:highlight w:val="none"/>
          <w:lang w:val="en-US" w:eastAsia="zh-CN"/>
        </w:rPr>
        <w:t>（六）其他要求</w:t>
      </w:r>
    </w:p>
    <w:p w14:paraId="141DDD4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1、物业管理公司加强对员工的管理，具有员工应急调整、调配机制。重大活动需要增加人员时，物业公司应无偿、及时调配岗位人员，保证重大活动任务的完成。</w:t>
      </w:r>
    </w:p>
    <w:p w14:paraId="438FF61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2、对物业服务公司的其他要求：</w:t>
      </w:r>
    </w:p>
    <w:p w14:paraId="4C26BEB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（1）物业服务公司应制定严格的保密措施，防止泄密事故发生；</w:t>
      </w:r>
    </w:p>
    <w:p w14:paraId="7FE6B26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（2）所有工作必须有台账记录。能利用物业信息化管理服务软件系统进行台账记录。</w:t>
      </w:r>
    </w:p>
    <w:p w14:paraId="5EA25D8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（3）每周对工作进行讲评，每月报送工作总结、每季度打分，年度进行考核评比。</w:t>
      </w:r>
    </w:p>
    <w:p w14:paraId="0E829C4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（4）物业服务公司从业人员的安全管理由成交供应商负责，如发生工伤或危及生命财产的安全事故，成交供应商承担全部的经济和法律责任。</w:t>
      </w:r>
    </w:p>
    <w:p w14:paraId="27A7604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（5）成交供应商需对开学前和放假后的所有学生宿舍进行彻底清扫，夏季每周对学生宿舍、办公室进行一次灭蚊虫。</w:t>
      </w:r>
    </w:p>
    <w:p w14:paraId="42647F9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（6）成交供应商需配备清扫冲洗设备。</w:t>
      </w:r>
    </w:p>
    <w:p w14:paraId="334122D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（7）水电维修的材料由采购方提供。</w:t>
      </w:r>
    </w:p>
    <w:p w14:paraId="1AC7917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（8）完成学校所有的节庆、外事、各项比赛、接待任务的场景布置；因教学需要，教室桌椅的搬运调整；毕业班宿舍寝室教室的卫生打扫，由此产生的劳务费由中标人承担，招标人不支付任何费用。</w:t>
      </w:r>
    </w:p>
    <w:p w14:paraId="237D44E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（9）遇学校搬迁工作和教学的安排，增加的宿舍、教学楼及其他功能楼栋，中标人须安排相应物业服务人员到岗，</w:t>
      </w:r>
      <w:r>
        <w:rPr>
          <w:rFonts w:hint="eastAsia" w:ascii="宋体" w:hAnsi="宋体" w:eastAsia="宋体" w:cs="宋体"/>
          <w:b w:val="0"/>
          <w:bCs/>
          <w:color w:val="auto"/>
          <w:sz w:val="24"/>
          <w:szCs w:val="24"/>
          <w:highlight w:val="none"/>
          <w:lang w:val="en-US" w:eastAsia="zh-CN"/>
        </w:rPr>
        <w:t>采购方不</w:t>
      </w:r>
      <w:r>
        <w:rPr>
          <w:rFonts w:hint="eastAsia" w:ascii="宋体" w:hAnsi="宋体" w:eastAsia="宋体" w:cs="宋体"/>
          <w:b w:val="0"/>
          <w:bCs/>
          <w:sz w:val="24"/>
          <w:szCs w:val="24"/>
          <w:highlight w:val="none"/>
          <w:lang w:val="en-US" w:eastAsia="zh-CN"/>
        </w:rPr>
        <w:t>再追加任何服务费。</w:t>
      </w:r>
    </w:p>
    <w:p w14:paraId="47CAEC9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10）保洁人员应做好办公区、宿舍楼、公共区域、厕所、室外道路、操场、草坪、停车场、宣传栏、垃圾桶、路灯、草坪灯、扶手、室内外上下管道、标识等设施的日常保洁，负责协调垃圾收集清运（含垃圾外运及垃圾池周边的垃圾收集清理）、做到地面无杂物、无废弃物，室内外排水管、下水管（包括屋面排水）等沟渠保持畅通，化粪池、窨井和水池等无超量淤积，化粪池、窨井和水池每半年至少全面清理一次。（地下室自动抽水泵池淤泥每半年清理一次。（地下室所有水电设施的维护、检查、维修），所产生的费用由中标单位承担。</w:t>
      </w:r>
    </w:p>
    <w:p w14:paraId="3E63B94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（11）中标人需不定期按照学校要求更换相关办公室花卉。</w:t>
      </w:r>
    </w:p>
    <w:p w14:paraId="51794F7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3、服务团队要管理要求</w:t>
      </w:r>
    </w:p>
    <w:p w14:paraId="59DE462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lang w:val="en-US" w:eastAsia="zh-CN"/>
        </w:rPr>
        <w:t>1</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物业人员在服务过程中应保持良好的精神状态；表情自然、亲切；举止大方、有礼；用语文明、规范、主动、热情、耐心、周到。</w:t>
      </w:r>
    </w:p>
    <w:p w14:paraId="060C0B0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lang w:val="en-US" w:eastAsia="zh-CN"/>
        </w:rPr>
        <w:t>2</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服务人员应按规定统一着装、着装整齐清洁，仪表仪容整洁端庄；管理及特殊岗位需要持资格证上岗。在指定位置佩戴标志，站姿端正，坐姿稳重，行为规范，服务主动；在岗工作期间不准吸烟、喝酒、聊天、会客等。</w:t>
      </w:r>
    </w:p>
    <w:p w14:paraId="06D76F3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lang w:val="en-US" w:eastAsia="zh-CN"/>
        </w:rPr>
        <w:t>3</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物业公司应对所有服务人员进行相关专业技能及消防安全知识培训，掌握物业管理基本法律法规，熟悉校园的基本情况，能正确使用相关专用设备。</w:t>
      </w:r>
    </w:p>
    <w:p w14:paraId="2BE37D1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lang w:val="en-US" w:eastAsia="zh-CN"/>
        </w:rPr>
        <w:t>4</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供应商在调整重点岗位人员时须书面向采购人申请，经采购人同意后方可调整。</w:t>
      </w:r>
    </w:p>
    <w:p w14:paraId="4C2B3C4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（5）</w:t>
      </w:r>
      <w:r>
        <w:rPr>
          <w:rFonts w:hint="eastAsia" w:ascii="宋体" w:hAnsi="宋体" w:eastAsia="宋体" w:cs="宋体"/>
          <w:b w:val="0"/>
          <w:bCs/>
          <w:color w:val="auto"/>
          <w:sz w:val="24"/>
          <w:szCs w:val="24"/>
        </w:rPr>
        <w:t>人员工资要求：本项目服务人员工资应包含工资、社保（养老社会保险、医疗保险、失业保险、工伤保险、生育保险）、消耗材料费、工作服、工具费、福利费、管理费、税费等各项费用支出，采购方不再支出其它费用。供应商支付的人员工资须符合现行的江西省（一类地区）最低工资标准要求。</w:t>
      </w:r>
    </w:p>
    <w:p w14:paraId="728D30B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4</w:t>
      </w:r>
      <w:r>
        <w:rPr>
          <w:rFonts w:hint="eastAsia" w:ascii="宋体" w:hAnsi="宋体" w:eastAsia="宋体" w:cs="宋体"/>
          <w:b w:val="0"/>
          <w:bCs/>
          <w:color w:val="auto"/>
          <w:sz w:val="24"/>
          <w:szCs w:val="24"/>
        </w:rPr>
        <w:t>、实现目标</w:t>
      </w:r>
    </w:p>
    <w:p w14:paraId="7741E80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物业服务综合指标</w:t>
      </w:r>
    </w:p>
    <w:p w14:paraId="09FDCBB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（1）照明灯完好率达到 98%（负责检查、报修）；</w:t>
      </w:r>
    </w:p>
    <w:p w14:paraId="3CE62A3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（2）给排水的通畅完好率 100%；</w:t>
      </w:r>
    </w:p>
    <w:p w14:paraId="4BECA8B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（3）报修及时率 100%；</w:t>
      </w:r>
    </w:p>
    <w:p w14:paraId="4AF0CB6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（4）卫生、清洁率达到 100% ；</w:t>
      </w:r>
    </w:p>
    <w:p w14:paraId="485B487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（5）有效投诉≤2%，处理率 100%，投诉回访率 100%，有效投诉回访满意度 100%；</w:t>
      </w:r>
    </w:p>
    <w:p w14:paraId="116D1E0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（6）客户对物业工作满意率≥90%；</w:t>
      </w:r>
    </w:p>
    <w:p w14:paraId="2B6F85E4">
      <w:pPr>
        <w:spacing w:line="360" w:lineRule="exact"/>
        <w:rPr>
          <w:rFonts w:hint="eastAsia" w:ascii="宋体" w:hAnsi="宋体" w:cs="宋体"/>
          <w:b/>
          <w:color w:val="auto"/>
          <w:sz w:val="28"/>
          <w:szCs w:val="28"/>
        </w:rPr>
      </w:pPr>
    </w:p>
    <w:p w14:paraId="21557E68">
      <w:pPr>
        <w:spacing w:line="360" w:lineRule="exact"/>
        <w:rPr>
          <w:rFonts w:hint="eastAsia" w:ascii="宋体" w:hAnsi="宋体" w:cs="宋体"/>
          <w:b/>
          <w:color w:val="auto"/>
          <w:sz w:val="28"/>
          <w:szCs w:val="28"/>
        </w:rPr>
      </w:pPr>
      <w:r>
        <w:rPr>
          <w:rFonts w:hint="eastAsia" w:ascii="宋体" w:hAnsi="宋体" w:cs="宋体"/>
          <w:b/>
          <w:color w:val="auto"/>
          <w:sz w:val="28"/>
          <w:szCs w:val="28"/>
        </w:rPr>
        <w:t>注：</w:t>
      </w:r>
    </w:p>
    <w:p w14:paraId="4E9F8EAE">
      <w:pPr>
        <w:spacing w:line="360" w:lineRule="exact"/>
        <w:rPr>
          <w:rFonts w:hint="eastAsia" w:ascii="宋体" w:hAnsi="宋体" w:cs="宋体"/>
          <w:b/>
          <w:bCs/>
          <w:color w:val="auto"/>
          <w:sz w:val="28"/>
          <w:szCs w:val="28"/>
        </w:rPr>
      </w:pPr>
      <w:r>
        <w:rPr>
          <w:rFonts w:hint="eastAsia" w:ascii="宋体" w:hAnsi="宋体" w:cs="宋体"/>
          <w:b/>
          <w:color w:val="auto"/>
          <w:sz w:val="28"/>
          <w:szCs w:val="28"/>
          <w:lang w:val="en-US" w:eastAsia="zh-CN"/>
        </w:rPr>
        <w:t>1、</w:t>
      </w:r>
      <w:r>
        <w:rPr>
          <w:rFonts w:hint="eastAsia" w:ascii="宋体" w:hAnsi="宋体" w:cs="宋体"/>
          <w:b/>
          <w:color w:val="auto"/>
          <w:sz w:val="28"/>
          <w:szCs w:val="28"/>
        </w:rPr>
        <w:t>以上“第五章 二、技术要求”</w:t>
      </w:r>
      <w:r>
        <w:rPr>
          <w:rFonts w:hint="eastAsia" w:ascii="宋体" w:hAnsi="宋体" w:cs="宋体"/>
          <w:b/>
          <w:bCs/>
          <w:color w:val="auto"/>
          <w:sz w:val="28"/>
          <w:szCs w:val="28"/>
        </w:rPr>
        <w:t>要求为实质性条款须完全响应，否则投标无效。</w:t>
      </w:r>
    </w:p>
    <w:p w14:paraId="51E9ACAD">
      <w:pPr>
        <w:spacing w:line="360" w:lineRule="exact"/>
        <w:rPr>
          <w:rFonts w:hint="eastAsia" w:ascii="宋体" w:hAnsi="宋体" w:cs="宋体"/>
          <w:b/>
          <w:bCs/>
          <w:color w:val="auto"/>
          <w:sz w:val="28"/>
          <w:szCs w:val="28"/>
        </w:rPr>
      </w:pPr>
    </w:p>
    <w:p w14:paraId="3FDFA681">
      <w:pPr>
        <w:spacing w:line="360" w:lineRule="exact"/>
        <w:rPr>
          <w:rFonts w:hint="default" w:ascii="宋体" w:hAnsi="宋体" w:eastAsia="宋体" w:cs="宋体"/>
          <w:b/>
          <w:bCs/>
          <w:color w:val="auto"/>
          <w:sz w:val="28"/>
          <w:szCs w:val="28"/>
          <w:lang w:val="en-US" w:eastAsia="zh-CN"/>
        </w:rPr>
        <w:sectPr>
          <w:footerReference r:id="rId5" w:type="default"/>
          <w:pgSz w:w="11910" w:h="16850"/>
          <w:pgMar w:top="1360" w:right="920" w:bottom="920" w:left="900" w:header="0" w:footer="721" w:gutter="0"/>
          <w:cols w:space="720" w:num="1"/>
        </w:sectPr>
      </w:pPr>
    </w:p>
    <w:p w14:paraId="738392D8">
      <w:pPr>
        <w:spacing w:after="156" w:afterLines="50" w:line="360" w:lineRule="auto"/>
        <w:ind w:firstLine="3120" w:firstLineChars="1300"/>
        <w:outlineLvl w:val="1"/>
        <w:rPr>
          <w:rFonts w:ascii="宋体" w:hAnsi="宋体" w:eastAsia="宋体" w:cs="宋体"/>
          <w:b/>
          <w:bCs/>
          <w:sz w:val="24"/>
          <w:szCs w:val="24"/>
        </w:rPr>
      </w:pPr>
      <w:bookmarkStart w:id="7" w:name="_Toc20737"/>
      <w:bookmarkStart w:id="8" w:name="_GoBack"/>
      <w:bookmarkEnd w:id="8"/>
      <w:r>
        <w:rPr>
          <w:rFonts w:hint="eastAsia" w:ascii="宋体" w:hAnsi="宋体" w:eastAsia="宋体" w:cs="宋体"/>
          <w:b/>
          <w:bCs/>
          <w:sz w:val="24"/>
          <w:szCs w:val="24"/>
        </w:rPr>
        <w:t>三、商务条款</w:t>
      </w:r>
      <w:bookmarkEnd w:id="7"/>
    </w:p>
    <w:tbl>
      <w:tblPr>
        <w:tblStyle w:val="32"/>
        <w:tblW w:w="94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584"/>
        <w:gridCol w:w="7032"/>
      </w:tblGrid>
      <w:tr w14:paraId="4E5C3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114F6091">
            <w:pPr>
              <w:spacing w:line="38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1584" w:type="dxa"/>
          </w:tcPr>
          <w:p w14:paraId="02D03AE8">
            <w:pPr>
              <w:spacing w:line="380" w:lineRule="exact"/>
              <w:jc w:val="center"/>
              <w:rPr>
                <w:rFonts w:ascii="宋体" w:hAnsi="宋体" w:eastAsia="宋体" w:cs="宋体"/>
                <w:sz w:val="24"/>
                <w:szCs w:val="24"/>
              </w:rPr>
            </w:pPr>
            <w:r>
              <w:rPr>
                <w:rFonts w:hint="eastAsia" w:ascii="宋体" w:hAnsi="宋体" w:eastAsia="宋体" w:cs="宋体"/>
                <w:sz w:val="24"/>
                <w:szCs w:val="24"/>
              </w:rPr>
              <w:t>条款名称</w:t>
            </w:r>
          </w:p>
        </w:tc>
        <w:tc>
          <w:tcPr>
            <w:tcW w:w="7032" w:type="dxa"/>
          </w:tcPr>
          <w:p w14:paraId="23605471">
            <w:pPr>
              <w:spacing w:line="380" w:lineRule="exact"/>
              <w:jc w:val="center"/>
              <w:rPr>
                <w:rFonts w:ascii="宋体" w:hAnsi="宋体" w:eastAsia="宋体" w:cs="宋体"/>
                <w:sz w:val="24"/>
                <w:szCs w:val="24"/>
              </w:rPr>
            </w:pPr>
            <w:r>
              <w:rPr>
                <w:rFonts w:hint="eastAsia" w:ascii="宋体" w:hAnsi="宋体" w:eastAsia="宋体" w:cs="宋体"/>
                <w:sz w:val="24"/>
                <w:szCs w:val="24"/>
              </w:rPr>
              <w:t>条款内容</w:t>
            </w:r>
          </w:p>
        </w:tc>
      </w:tr>
      <w:tr w14:paraId="32724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3224FBE5">
            <w:pPr>
              <w:spacing w:line="380" w:lineRule="exact"/>
              <w:jc w:val="center"/>
              <w:rPr>
                <w:rFonts w:ascii="宋体" w:hAnsi="宋体" w:eastAsia="宋体" w:cs="宋体"/>
                <w:sz w:val="24"/>
                <w:szCs w:val="24"/>
              </w:rPr>
            </w:pPr>
            <w:r>
              <w:rPr>
                <w:rFonts w:hint="eastAsia" w:ascii="宋体" w:hAnsi="宋体" w:eastAsia="宋体" w:cs="宋体"/>
                <w:sz w:val="24"/>
                <w:szCs w:val="24"/>
              </w:rPr>
              <w:t>1</w:t>
            </w:r>
          </w:p>
        </w:tc>
        <w:tc>
          <w:tcPr>
            <w:tcW w:w="1584" w:type="dxa"/>
            <w:vAlign w:val="center"/>
          </w:tcPr>
          <w:p w14:paraId="42B45F9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sz w:val="24"/>
                <w:szCs w:val="24"/>
              </w:rPr>
            </w:pPr>
            <w:r>
              <w:rPr>
                <w:rFonts w:hint="eastAsia" w:ascii="宋体" w:hAnsi="宋体" w:eastAsia="宋体" w:cs="宋体"/>
                <w:sz w:val="24"/>
                <w:szCs w:val="24"/>
              </w:rPr>
              <w:t>付款方式</w:t>
            </w:r>
          </w:p>
        </w:tc>
        <w:tc>
          <w:tcPr>
            <w:tcW w:w="7032" w:type="dxa"/>
            <w:vAlign w:val="center"/>
          </w:tcPr>
          <w:p w14:paraId="3C7B0557">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left"/>
              <w:textAlignment w:val="auto"/>
              <w:rPr>
                <w:rFonts w:ascii="宋体" w:hAnsi="宋体" w:eastAsia="宋体" w:cs="宋体"/>
                <w:sz w:val="24"/>
              </w:rPr>
            </w:pPr>
            <w:r>
              <w:rPr>
                <w:rFonts w:hint="eastAsia" w:ascii="宋体" w:hAnsi="宋体" w:eastAsia="宋体"/>
                <w:sz w:val="24"/>
              </w:rPr>
              <w:t>本物业项目服务费按月度（服务满 1个月）支付。采购人按照磋商文件、响应文件和合同，按照物业考核管理办法细则，在双方确认考核结果的基础上确定每月度服务费，成交供应商提供完税发票后，采购人在次月10日前支付上月度物业服务费用。</w:t>
            </w:r>
          </w:p>
        </w:tc>
      </w:tr>
      <w:tr w14:paraId="5E955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816" w:type="dxa"/>
            <w:vAlign w:val="center"/>
          </w:tcPr>
          <w:p w14:paraId="59CE3F30">
            <w:pPr>
              <w:spacing w:line="380" w:lineRule="exact"/>
              <w:jc w:val="center"/>
              <w:rPr>
                <w:rFonts w:ascii="宋体" w:hAnsi="宋体" w:eastAsia="宋体" w:cs="宋体"/>
                <w:sz w:val="24"/>
                <w:szCs w:val="24"/>
              </w:rPr>
            </w:pPr>
            <w:r>
              <w:rPr>
                <w:rFonts w:hint="eastAsia" w:ascii="宋体" w:hAnsi="宋体" w:eastAsia="宋体" w:cs="宋体"/>
                <w:sz w:val="24"/>
                <w:szCs w:val="24"/>
              </w:rPr>
              <w:t>2</w:t>
            </w:r>
          </w:p>
        </w:tc>
        <w:tc>
          <w:tcPr>
            <w:tcW w:w="1584" w:type="dxa"/>
            <w:vAlign w:val="center"/>
          </w:tcPr>
          <w:p w14:paraId="4354ECE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合同履行期</w:t>
            </w:r>
          </w:p>
        </w:tc>
        <w:tc>
          <w:tcPr>
            <w:tcW w:w="7032" w:type="dxa"/>
            <w:vAlign w:val="center"/>
          </w:tcPr>
          <w:p w14:paraId="3DC97D6B">
            <w:pPr>
              <w:pStyle w:val="14"/>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2026年7月1日至2027年1月31日。</w:t>
            </w:r>
          </w:p>
        </w:tc>
      </w:tr>
      <w:tr w14:paraId="01390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816" w:type="dxa"/>
            <w:vAlign w:val="center"/>
          </w:tcPr>
          <w:p w14:paraId="0A80F254">
            <w:pPr>
              <w:spacing w:line="380" w:lineRule="exact"/>
              <w:jc w:val="center"/>
              <w:rPr>
                <w:rFonts w:ascii="宋体" w:hAnsi="宋体" w:eastAsia="宋体" w:cs="宋体"/>
                <w:sz w:val="24"/>
                <w:szCs w:val="24"/>
              </w:rPr>
            </w:pPr>
            <w:r>
              <w:rPr>
                <w:rFonts w:hint="eastAsia" w:ascii="宋体" w:hAnsi="宋体" w:eastAsia="宋体" w:cs="宋体"/>
                <w:sz w:val="24"/>
                <w:szCs w:val="24"/>
              </w:rPr>
              <w:t>3</w:t>
            </w:r>
          </w:p>
        </w:tc>
        <w:tc>
          <w:tcPr>
            <w:tcW w:w="1584" w:type="dxa"/>
            <w:vAlign w:val="center"/>
          </w:tcPr>
          <w:p w14:paraId="5B23B85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sz w:val="24"/>
                <w:szCs w:val="24"/>
              </w:rPr>
            </w:pPr>
            <w:r>
              <w:rPr>
                <w:rFonts w:hint="eastAsia" w:ascii="宋体" w:hAnsi="宋体" w:eastAsia="宋体" w:cs="宋体"/>
                <w:sz w:val="24"/>
                <w:szCs w:val="24"/>
              </w:rPr>
              <w:t>服务地点</w:t>
            </w:r>
          </w:p>
        </w:tc>
        <w:tc>
          <w:tcPr>
            <w:tcW w:w="7032" w:type="dxa"/>
            <w:vAlign w:val="center"/>
          </w:tcPr>
          <w:p w14:paraId="070C8133">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宋体" w:hAnsi="宋体" w:eastAsia="宋体" w:cs="宋体"/>
                <w:sz w:val="24"/>
                <w:szCs w:val="24"/>
              </w:rPr>
            </w:pPr>
            <w:r>
              <w:rPr>
                <w:rFonts w:hint="eastAsia" w:ascii="宋体" w:cs="宋体"/>
                <w:b w:val="0"/>
                <w:bCs w:val="0"/>
                <w:color w:val="auto"/>
                <w:sz w:val="24"/>
              </w:rPr>
              <w:t>南昌市青山湖区南京东路116号</w:t>
            </w:r>
          </w:p>
        </w:tc>
      </w:tr>
      <w:tr w14:paraId="68CC0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0" w:hRule="atLeast"/>
          <w:jc w:val="center"/>
        </w:trPr>
        <w:tc>
          <w:tcPr>
            <w:tcW w:w="816" w:type="dxa"/>
            <w:vAlign w:val="center"/>
          </w:tcPr>
          <w:p w14:paraId="5EF59B82">
            <w:pPr>
              <w:spacing w:line="38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1584" w:type="dxa"/>
            <w:vAlign w:val="center"/>
          </w:tcPr>
          <w:p w14:paraId="61300DF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质保和售后服务要求</w:t>
            </w:r>
          </w:p>
        </w:tc>
        <w:tc>
          <w:tcPr>
            <w:tcW w:w="7032" w:type="dxa"/>
            <w:vAlign w:val="center"/>
          </w:tcPr>
          <w:p w14:paraId="1F89FA5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120" w:firstLine="240" w:firstLineChars="100"/>
              <w:jc w:val="left"/>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在合同约定的服务周期内（月度、季度、年度）进行验收，采用</w:t>
            </w:r>
          </w:p>
          <w:p w14:paraId="09F4917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120" w:firstLine="240" w:firstLineChars="100"/>
              <w:jc w:val="left"/>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查看资料、现场检查、问卷调查、师生访谈等多种方式相结合，</w:t>
            </w:r>
          </w:p>
          <w:p w14:paraId="3A8CA15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120" w:firstLine="240" w:firstLineChars="100"/>
              <w:jc w:val="left"/>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全面评估物业履约情况，对验收后存在的问题供应商需按校方提</w:t>
            </w:r>
          </w:p>
          <w:p w14:paraId="37FD895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120" w:firstLine="240" w:firstLineChars="100"/>
              <w:jc w:val="left"/>
              <w:textAlignment w:val="auto"/>
              <w:rPr>
                <w:rFonts w:hint="eastAsia" w:ascii="宋体" w:hAnsi="宋体" w:eastAsia="宋体" w:cs="宋体"/>
                <w:sz w:val="24"/>
                <w:szCs w:val="24"/>
              </w:rPr>
            </w:pPr>
            <w:r>
              <w:rPr>
                <w:rFonts w:hint="eastAsia" w:ascii="宋体" w:hAnsi="宋体" w:eastAsia="宋体" w:cs="Times New Roman"/>
                <w:kern w:val="2"/>
                <w:sz w:val="24"/>
                <w:szCs w:val="24"/>
                <w:lang w:val="en-US" w:eastAsia="zh-CN" w:bidi="ar-SA"/>
              </w:rPr>
              <w:t>出的整改要求和期限整改到位。</w:t>
            </w:r>
          </w:p>
        </w:tc>
      </w:tr>
      <w:tr w14:paraId="505FD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6D808BB9">
            <w:pPr>
              <w:spacing w:line="38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584" w:type="dxa"/>
            <w:vAlign w:val="center"/>
          </w:tcPr>
          <w:p w14:paraId="2E5C5705">
            <w:pPr>
              <w:spacing w:line="380" w:lineRule="exact"/>
              <w:jc w:val="center"/>
              <w:rPr>
                <w:rFonts w:ascii="宋体" w:hAnsi="宋体" w:eastAsia="宋体" w:cs="宋体"/>
                <w:color w:val="auto"/>
                <w:sz w:val="24"/>
                <w:szCs w:val="24"/>
              </w:rPr>
            </w:pPr>
            <w:r>
              <w:rPr>
                <w:rFonts w:hint="eastAsia" w:ascii="宋体" w:hAnsi="宋体" w:eastAsia="宋体"/>
                <w:bCs/>
                <w:color w:val="auto"/>
                <w:sz w:val="24"/>
                <w:szCs w:val="24"/>
              </w:rPr>
              <w:t>其它要求</w:t>
            </w:r>
          </w:p>
        </w:tc>
        <w:tc>
          <w:tcPr>
            <w:tcW w:w="7032" w:type="dxa"/>
            <w:vAlign w:val="center"/>
          </w:tcPr>
          <w:p w14:paraId="497CF2F4">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1、供应商</w:t>
            </w:r>
            <w:r>
              <w:rPr>
                <w:rFonts w:hint="eastAsia" w:ascii="宋体" w:hAnsi="宋体" w:eastAsia="宋体" w:cs="宋体"/>
                <w:color w:val="auto"/>
                <w:sz w:val="24"/>
                <w:szCs w:val="24"/>
                <w:lang w:eastAsia="zh-CN"/>
              </w:rPr>
              <w:t>服务人员在工作时，要注意安全保障，如发生工伤或危及生命财产的安全事故，</w:t>
            </w:r>
            <w:r>
              <w:rPr>
                <w:rFonts w:hint="eastAsia" w:ascii="宋体" w:hAnsi="宋体" w:eastAsia="宋体" w:cs="宋体"/>
                <w:color w:val="auto"/>
                <w:sz w:val="24"/>
                <w:szCs w:val="24"/>
                <w:lang w:val="en-US" w:eastAsia="zh-CN"/>
              </w:rPr>
              <w:t>供应商</w:t>
            </w:r>
            <w:r>
              <w:rPr>
                <w:rFonts w:hint="eastAsia" w:ascii="宋体" w:hAnsi="宋体" w:eastAsia="宋体" w:cs="宋体"/>
                <w:color w:val="auto"/>
                <w:sz w:val="24"/>
                <w:szCs w:val="24"/>
                <w:lang w:eastAsia="zh-CN"/>
              </w:rPr>
              <w:t>承担全部的经济和法律责任。</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不承担由此引发的任何责任。</w:t>
            </w:r>
          </w:p>
          <w:p w14:paraId="379D3C64">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在提供物业服务期间，由于</w:t>
            </w:r>
            <w:r>
              <w:rPr>
                <w:rFonts w:hint="eastAsia" w:ascii="宋体" w:hAnsi="宋体" w:eastAsia="宋体" w:cs="宋体"/>
                <w:color w:val="auto"/>
                <w:sz w:val="24"/>
                <w:szCs w:val="24"/>
                <w:lang w:val="en-US" w:eastAsia="zh-CN"/>
              </w:rPr>
              <w:t>供应商</w:t>
            </w:r>
            <w:r>
              <w:rPr>
                <w:rFonts w:hint="eastAsia" w:ascii="宋体" w:hAnsi="宋体" w:eastAsia="宋体" w:cs="宋体"/>
                <w:color w:val="auto"/>
                <w:sz w:val="24"/>
                <w:szCs w:val="24"/>
                <w:lang w:eastAsia="zh-CN"/>
              </w:rPr>
              <w:t>责任造成</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设施或设备损坏，由</w:t>
            </w:r>
            <w:r>
              <w:rPr>
                <w:rFonts w:hint="eastAsia" w:ascii="宋体" w:hAnsi="宋体" w:eastAsia="宋体" w:cs="宋体"/>
                <w:color w:val="auto"/>
                <w:sz w:val="24"/>
                <w:szCs w:val="24"/>
                <w:lang w:val="en-US" w:eastAsia="zh-CN"/>
              </w:rPr>
              <w:t>供应商</w:t>
            </w:r>
            <w:r>
              <w:rPr>
                <w:rFonts w:hint="eastAsia" w:ascii="宋体" w:hAnsi="宋体" w:eastAsia="宋体" w:cs="宋体"/>
                <w:color w:val="auto"/>
                <w:sz w:val="24"/>
                <w:szCs w:val="24"/>
                <w:lang w:eastAsia="zh-CN"/>
              </w:rPr>
              <w:t>负责修复或赔偿。</w:t>
            </w:r>
          </w:p>
          <w:p w14:paraId="368E48D4">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员工管理实行</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备案制度（包括但不限于员工从业上岗资格和新进员工备案），有关劳动争议以及其他一切争议或赔偿由供应商自行负责，与</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无关；</w:t>
            </w:r>
          </w:p>
          <w:p w14:paraId="5C316BFE">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4、供应商</w:t>
            </w:r>
            <w:r>
              <w:rPr>
                <w:rFonts w:hint="eastAsia" w:ascii="宋体" w:hAnsi="宋体" w:eastAsia="宋体" w:cs="宋体"/>
                <w:color w:val="auto"/>
                <w:sz w:val="24"/>
                <w:szCs w:val="24"/>
                <w:lang w:eastAsia="zh-CN"/>
              </w:rPr>
              <w:t>违章处理规定：</w:t>
            </w:r>
          </w:p>
          <w:p w14:paraId="6AA4DF24">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1）供应商必须遵守</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的各项规章制度，如有违反，按</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的处罚制度给予处理。</w:t>
            </w:r>
          </w:p>
          <w:p w14:paraId="3C6E4111">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2）如因工作失误而造成</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经济损失，由供应商负责赔偿经济损失。不可抗力的因素除外。</w:t>
            </w:r>
          </w:p>
          <w:p w14:paraId="0A62D963">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3）供应商因工作失误造成重大损失而触犯法律法规，</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有权</w:t>
            </w:r>
            <w:r>
              <w:rPr>
                <w:rFonts w:hint="eastAsia" w:ascii="宋体" w:hAnsi="宋体" w:cs="宋体"/>
                <w:color w:val="auto"/>
                <w:sz w:val="24"/>
                <w:szCs w:val="24"/>
                <w:lang w:eastAsia="zh-CN"/>
              </w:rPr>
              <w:t>诉诸</w:t>
            </w:r>
            <w:r>
              <w:rPr>
                <w:rFonts w:hint="eastAsia" w:ascii="宋体" w:hAnsi="宋体" w:eastAsia="宋体" w:cs="宋体"/>
                <w:color w:val="auto"/>
                <w:sz w:val="24"/>
                <w:szCs w:val="24"/>
                <w:lang w:eastAsia="zh-CN"/>
              </w:rPr>
              <w:t>法律追究供应商的法律责任。</w:t>
            </w:r>
          </w:p>
          <w:p w14:paraId="1053CC66">
            <w:pPr>
              <w:keepNext w:val="0"/>
              <w:keepLines w:val="0"/>
              <w:pageBreakBefore w:val="0"/>
              <w:widowControl w:val="0"/>
              <w:tabs>
                <w:tab w:val="left" w:pos="720"/>
                <w:tab w:val="left" w:pos="1620"/>
                <w:tab w:val="left" w:pos="2344"/>
              </w:tabs>
              <w:kinsoku/>
              <w:wordWrap/>
              <w:overflowPunct/>
              <w:topLinePunct w:val="0"/>
              <w:autoSpaceDE/>
              <w:autoSpaceDN/>
              <w:bidi w:val="0"/>
              <w:adjustRightInd/>
              <w:snapToGrid/>
              <w:spacing w:line="440" w:lineRule="exact"/>
              <w:jc w:val="left"/>
              <w:textAlignment w:val="auto"/>
              <w:rPr>
                <w:color w:val="auto"/>
              </w:rPr>
            </w:pPr>
            <w:r>
              <w:rPr>
                <w:rFonts w:hint="eastAsia" w:ascii="宋体" w:hAnsi="宋体" w:eastAsia="宋体" w:cs="宋体"/>
                <w:color w:val="auto"/>
                <w:sz w:val="24"/>
                <w:szCs w:val="24"/>
                <w:lang w:val="en-US" w:eastAsia="zh-CN"/>
              </w:rPr>
              <w:t>5、采购人将依据服务要求的考核评估办法对供应商进行考核评估，供应商应定期向采购人公开工作情况、工作规划，自觉接受采购人监督。</w:t>
            </w:r>
          </w:p>
        </w:tc>
      </w:tr>
    </w:tbl>
    <w:p w14:paraId="0B391AEF">
      <w:pPr>
        <w:pStyle w:val="2"/>
        <w:spacing w:after="0" w:line="460" w:lineRule="exact"/>
        <w:rPr>
          <w:rFonts w:ascii="宋体" w:hAnsi="宋体" w:eastAsia="宋体" w:cs="宋体"/>
          <w:b/>
          <w:bCs/>
          <w:sz w:val="24"/>
          <w:szCs w:val="24"/>
        </w:rPr>
      </w:pPr>
      <w:r>
        <w:rPr>
          <w:rFonts w:hint="eastAsia" w:ascii="宋体" w:hAnsi="宋体" w:eastAsia="宋体" w:cs="宋体"/>
          <w:b/>
          <w:bCs/>
          <w:sz w:val="24"/>
          <w:szCs w:val="24"/>
        </w:rPr>
        <w:t>注：以上“第五章三、商务要求”的全部内容必须完全响应，否则视为无效投标。</w:t>
      </w:r>
    </w:p>
    <w:p w14:paraId="55C03FF3">
      <w:pPr>
        <w:rPr>
          <w:rFonts w:ascii="宋体" w:hAnsi="宋体" w:cs="宋体"/>
          <w:b/>
          <w:color w:val="000000"/>
          <w:sz w:val="24"/>
        </w:rPr>
      </w:pPr>
    </w:p>
    <w:bookmarkEnd w:id="0"/>
    <w:p w14:paraId="28639AD2">
      <w:pPr>
        <w:rPr>
          <w:rFonts w:ascii="宋体" w:hAnsi="宋体" w:eastAsia="宋体" w:cs="宋体"/>
          <w:b/>
          <w:bCs/>
          <w:sz w:val="24"/>
          <w:szCs w:val="24"/>
        </w:rPr>
      </w:pPr>
    </w:p>
    <w:sectPr>
      <w:footerReference r:id="rId6" w:type="default"/>
      <w:pgSz w:w="11906" w:h="16838"/>
      <w:pgMar w:top="1440" w:right="1797" w:bottom="1440"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0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onospace">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0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A1820">
    <w:pPr>
      <w:pStyle w:val="18"/>
      <w:framePr w:wrap="around" w:vAnchor="text" w:hAnchor="margin" w:xAlign="center" w:y="1"/>
      <w:rPr>
        <w:rStyle w:val="35"/>
      </w:rPr>
    </w:pPr>
    <w:r>
      <w:fldChar w:fldCharType="begin"/>
    </w:r>
    <w:r>
      <w:rPr>
        <w:rStyle w:val="35"/>
      </w:rPr>
      <w:instrText xml:space="preserve">PAGE  </w:instrText>
    </w:r>
    <w:r>
      <w:fldChar w:fldCharType="separate"/>
    </w:r>
    <w:r>
      <w:rPr>
        <w:rStyle w:val="35"/>
      </w:rPr>
      <w:t>52</w:t>
    </w:r>
    <w:r>
      <w:fldChar w:fldCharType="end"/>
    </w:r>
  </w:p>
  <w:p w14:paraId="7B611533">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F9885">
    <w:pPr>
      <w:pStyle w:val="2"/>
      <w:spacing w:line="14" w:lineRule="auto"/>
      <w:rPr>
        <w:sz w:val="20"/>
      </w:rPr>
    </w:pPr>
    <w:r>
      <mc:AlternateContent>
        <mc:Choice Requires="wps">
          <w:drawing>
            <wp:anchor distT="0" distB="0" distL="0" distR="0" simplePos="0" relativeHeight="251659264" behindDoc="1" locked="0" layoutInCell="1" allowOverlap="1">
              <wp:simplePos x="0" y="0"/>
              <wp:positionH relativeFrom="page">
                <wp:posOffset>3685540</wp:posOffset>
              </wp:positionH>
              <wp:positionV relativeFrom="page">
                <wp:posOffset>10095865</wp:posOffset>
              </wp:positionV>
              <wp:extent cx="205105" cy="152400"/>
              <wp:effectExtent l="0" t="0" r="0" b="0"/>
              <wp:wrapNone/>
              <wp:docPr id="4097" name="文本框 17"/>
              <wp:cNvGraphicFramePr/>
              <a:graphic xmlns:a="http://schemas.openxmlformats.org/drawingml/2006/main">
                <a:graphicData uri="http://schemas.microsoft.com/office/word/2010/wordprocessingShape">
                  <wps:wsp>
                    <wps:cNvSpPr/>
                    <wps:spPr>
                      <a:xfrm>
                        <a:off x="0" y="0"/>
                        <a:ext cx="205104" cy="152400"/>
                      </a:xfrm>
                      <a:prstGeom prst="rect">
                        <a:avLst/>
                      </a:prstGeom>
                      <a:ln>
                        <a:noFill/>
                      </a:ln>
                    </wps:spPr>
                    <wps:txbx>
                      <w:txbxContent>
                        <w:p w14:paraId="3155DEB4">
                          <w:pPr>
                            <w:spacing w:before="12"/>
                            <w:ind w:left="60"/>
                            <w:jc w:val="left"/>
                            <w:rPr>
                              <w:sz w:val="18"/>
                            </w:rPr>
                          </w:pPr>
                          <w:r>
                            <w:rPr>
                              <w:spacing w:val="-5"/>
                              <w:sz w:val="18"/>
                            </w:rPr>
                            <w:fldChar w:fldCharType="begin"/>
                          </w:r>
                          <w:r>
                            <w:rPr>
                              <w:spacing w:val="-5"/>
                              <w:sz w:val="18"/>
                            </w:rPr>
                            <w:instrText xml:space="preserve"> PAGE </w:instrText>
                          </w:r>
                          <w:r>
                            <w:rPr>
                              <w:spacing w:val="-5"/>
                              <w:sz w:val="18"/>
                            </w:rPr>
                            <w:fldChar w:fldCharType="separate"/>
                          </w:r>
                          <w:r>
                            <w:rPr>
                              <w:spacing w:val="-5"/>
                              <w:sz w:val="18"/>
                            </w:rPr>
                            <w:t>84</w:t>
                          </w:r>
                          <w:r>
                            <w:rPr>
                              <w:spacing w:val="-5"/>
                              <w:sz w:val="18"/>
                            </w:rPr>
                            <w:fldChar w:fldCharType="end"/>
                          </w:r>
                        </w:p>
                      </w:txbxContent>
                    </wps:txbx>
                    <wps:bodyPr vert="horz" wrap="square" lIns="0" tIns="0" rIns="0" bIns="0" anchor="t" upright="1"/>
                  </wps:wsp>
                </a:graphicData>
              </a:graphic>
            </wp:anchor>
          </w:drawing>
        </mc:Choice>
        <mc:Fallback>
          <w:pict>
            <v:rect id="文本框 17" o:spid="_x0000_s1026" o:spt="1" style="position:absolute;left:0pt;margin-left:290.2pt;margin-top:794.95pt;height:12pt;width:16.15pt;mso-position-horizontal-relative:page;mso-position-vertical-relative:page;z-index:-251657216;mso-width-relative:page;mso-height-relative:page;" filled="f" stroked="f" coordsize="21600,21600" o:gfxdata="UEsDBAoAAAAAAIdO4kAAAAAAAAAAAAAAAAAEAAAAZHJzL1BLAwQUAAAACACHTuJAt+h3MtwAAAAN&#10;AQAADwAAAGRycy9kb3ducmV2LnhtbE2Py07DMBBF90j8gzVI7KidQkMc4lSIh8oSWqTCzo2HJMKP&#10;KHabwtczrGA5c4/unKmWR2fZAcfYB68gmwlg6Jtget8qeN08XhTAYtLeaBs8KvjCCMv69KTSpQmT&#10;f8HDOrWMSnwstYIupaHkPDYdOh1nYUBP2UcYnU40ji03o56o3Fk+FyLnTveeLnR6wLsOm8/13ilY&#10;FcPt21P4nlr78L7aPm/l/UYmpc7PMnEDLOEx/cHwq0/qUJPTLuy9icwqWBTiilAKFoWUwAjJs/k1&#10;sB2t8uxSAq8r/v+L+gdQSwMEFAAAAAgAh07iQC58+33OAQAAhQMAAA4AAABkcnMvZTJvRG9jLnht&#10;bK1TzY7TMBC+I/EO1txpkqrLQtV0L9UiJAQrLTyA6ziNJf8xdpuUB4A34MSFO8/V59ixk3bRctkD&#10;F2fsGX/zfd84q5vBaHaQGJSzNVSzEpi0wjXK7mr48vn21RtgIXLbcO2srOEoA9ysX75Y9X4p565z&#10;upHICMSGZe9r6GL0y6IIopOGh5nz0lKydWh4pC3uigZ5T+hGF/OyfF30DhuPTsgQ6HQzJmFCxOcA&#10;urZVQm6c2Btp44iKUvNIkkKnfIB1Ztu2UsRPbRtkZLoGUhrzSk0o3qa1WK/4cofcd0pMFPhzKDzR&#10;ZLiy1PQCteGRsz2qf6CMEuiCa+NMOFOMQrIjpKIqn3hz33EvsxayOviL6eH/wYqPhztkqqlhUb69&#10;Bma5oZmffv44/fpz+v2dVdfJot6HJVXe+zucdoHCpHdo0aQvKWFDtvV4sVUOkQk6nJdXVbkAJihV&#10;Xc0XZba9eLzsMcR30hmWghqQppbN5IcPIVJDKj2XpF7aptW6W6X1mE0nRSI50kpRHLbDxHXrmiOJ&#10;pDdP4J3Db8B6mngN4eueowSm31uyND2Pc4DnYHsOuBV0tYYIbO9R7TrCqpI3uS9NJ9OcXlIa/9/7&#10;XPX496wf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LfodzLcAAAADQEAAA8AAAAAAAAAAQAgAAAA&#10;IgAAAGRycy9kb3ducmV2LnhtbFBLAQIUABQAAAAIAIdO4kAufPt9zgEAAIUDAAAOAAAAAAAAAAEA&#10;IAAAACsBAABkcnMvZTJvRG9jLnhtbFBLBQYAAAAABgAGAFkBAABrBQAAAAA=&#10;">
              <v:fill on="f" focussize="0,0"/>
              <v:stroke on="f"/>
              <v:imagedata o:title=""/>
              <o:lock v:ext="edit" aspectratio="f"/>
              <v:textbox inset="0mm,0mm,0mm,0mm">
                <w:txbxContent>
                  <w:p w14:paraId="3155DEB4">
                    <w:pPr>
                      <w:spacing w:before="12"/>
                      <w:ind w:left="60"/>
                      <w:jc w:val="left"/>
                      <w:rPr>
                        <w:sz w:val="18"/>
                      </w:rPr>
                    </w:pPr>
                    <w:r>
                      <w:rPr>
                        <w:spacing w:val="-5"/>
                        <w:sz w:val="18"/>
                      </w:rPr>
                      <w:fldChar w:fldCharType="begin"/>
                    </w:r>
                    <w:r>
                      <w:rPr>
                        <w:spacing w:val="-5"/>
                        <w:sz w:val="18"/>
                      </w:rPr>
                      <w:instrText xml:space="preserve"> PAGE </w:instrText>
                    </w:r>
                    <w:r>
                      <w:rPr>
                        <w:spacing w:val="-5"/>
                        <w:sz w:val="18"/>
                      </w:rPr>
                      <w:fldChar w:fldCharType="separate"/>
                    </w:r>
                    <w:r>
                      <w:rPr>
                        <w:spacing w:val="-5"/>
                        <w:sz w:val="18"/>
                      </w:rPr>
                      <w:t>84</w:t>
                    </w:r>
                    <w:r>
                      <w:rPr>
                        <w:spacing w:val="-5"/>
                        <w:sz w:val="18"/>
                      </w:rP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AC52DC">
    <w:pPr>
      <w:pStyle w:val="18"/>
      <w:framePr w:wrap="around" w:vAnchor="text" w:hAnchor="margin" w:xAlign="center" w:y="1"/>
      <w:rPr>
        <w:rStyle w:val="35"/>
      </w:rPr>
    </w:pPr>
    <w:r>
      <w:fldChar w:fldCharType="begin"/>
    </w:r>
    <w:r>
      <w:rPr>
        <w:rStyle w:val="35"/>
      </w:rPr>
      <w:instrText xml:space="preserve">PAGE  </w:instrText>
    </w:r>
    <w:r>
      <w:fldChar w:fldCharType="separate"/>
    </w:r>
    <w:r>
      <w:rPr>
        <w:rStyle w:val="35"/>
      </w:rPr>
      <w:t>91</w:t>
    </w:r>
    <w:r>
      <w:fldChar w:fldCharType="end"/>
    </w:r>
  </w:p>
  <w:p w14:paraId="45EC361C">
    <w:pPr>
      <w:pStyle w:val="18"/>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CE820">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32" w:hanging="432"/>
      </w:pPr>
      <w:rPr>
        <w:rFonts w:hint="default"/>
      </w:rPr>
    </w:lvl>
    <w:lvl w:ilvl="1" w:tentative="0">
      <w:start w:val="1"/>
      <w:numFmt w:val="decimal"/>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pStyle w:val="6"/>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hideSpellingErrors/>
  <w:documentProtection w:enforcement="0"/>
  <w:defaultTabStop w:val="425"/>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E72AAB"/>
    <w:rsid w:val="14564AC0"/>
    <w:rsid w:val="1A4D65DE"/>
    <w:rsid w:val="1EAE650C"/>
    <w:rsid w:val="1EBC4638"/>
    <w:rsid w:val="2480698E"/>
    <w:rsid w:val="293E7C9D"/>
    <w:rsid w:val="298C76E3"/>
    <w:rsid w:val="2FE853E7"/>
    <w:rsid w:val="3305340A"/>
    <w:rsid w:val="369D33CF"/>
    <w:rsid w:val="40557F8C"/>
    <w:rsid w:val="428D14F1"/>
    <w:rsid w:val="442944F4"/>
    <w:rsid w:val="4F482E1B"/>
    <w:rsid w:val="55366A71"/>
    <w:rsid w:val="5FDE5D3B"/>
    <w:rsid w:val="754B4460"/>
    <w:rsid w:val="78DB6D78"/>
    <w:rsid w:val="7BB7162A"/>
    <w:rsid w:val="7F5520D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9" w:semiHidden="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nhideWhenUsed="0" w:uiPriority="99" w:semiHidden="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99"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1"/>
    <w:qFormat/>
    <w:uiPriority w:val="0"/>
    <w:pPr>
      <w:keepNext/>
      <w:outlineLvl w:val="0"/>
    </w:pPr>
    <w:rPr>
      <w:rFonts w:ascii="宋体"/>
      <w:sz w:val="28"/>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Cambria" w:hAnsi="Cambria"/>
      <w:b/>
      <w:bCs/>
      <w:sz w:val="28"/>
      <w:szCs w:val="28"/>
    </w:rPr>
  </w:style>
  <w:style w:type="paragraph" w:styleId="7">
    <w:name w:val="heading 6"/>
    <w:basedOn w:val="1"/>
    <w:next w:val="1"/>
    <w:qFormat/>
    <w:uiPriority w:val="0"/>
    <w:pPr>
      <w:keepNext/>
      <w:keepLines/>
      <w:autoSpaceDE w:val="0"/>
      <w:autoSpaceDN w:val="0"/>
      <w:spacing w:before="240" w:after="64" w:line="320" w:lineRule="auto"/>
      <w:jc w:val="left"/>
      <w:outlineLvl w:val="5"/>
    </w:pPr>
    <w:rPr>
      <w:rFonts w:ascii="Arial" w:hAnsi="Arial" w:eastAsia="黑体" w:cs="宋体"/>
      <w:b/>
      <w:bCs/>
      <w:kern w:val="0"/>
      <w:sz w:val="24"/>
      <w:szCs w:val="24"/>
      <w:lang w:val="zh-CN" w:bidi="zh-CN"/>
    </w:rPr>
  </w:style>
  <w:style w:type="character" w:default="1" w:styleId="33">
    <w:name w:val="Default Paragraph Font"/>
    <w:qFormat/>
    <w:uiPriority w:val="1"/>
  </w:style>
  <w:style w:type="table" w:default="1" w:styleId="31">
    <w:name w:val="Normal Table"/>
    <w:qFormat/>
    <w:uiPriority w:val="99"/>
    <w:tblPr>
      <w:tblCellMar>
        <w:top w:w="0" w:type="dxa"/>
        <w:left w:w="108" w:type="dxa"/>
        <w:bottom w:w="0" w:type="dxa"/>
        <w:right w:w="108" w:type="dxa"/>
      </w:tblCellMar>
    </w:tblPr>
  </w:style>
  <w:style w:type="paragraph" w:styleId="2">
    <w:name w:val="Body Text"/>
    <w:basedOn w:val="1"/>
    <w:next w:val="1"/>
    <w:qFormat/>
    <w:uiPriority w:val="99"/>
    <w:pPr>
      <w:spacing w:after="120"/>
    </w:pPr>
  </w:style>
  <w:style w:type="paragraph" w:styleId="8">
    <w:name w:val="Normal Indent"/>
    <w:basedOn w:val="1"/>
    <w:qFormat/>
    <w:uiPriority w:val="0"/>
    <w:pPr>
      <w:ind w:firstLine="420"/>
    </w:pPr>
    <w:rPr>
      <w:rFonts w:ascii="Calibri" w:hAnsi="Calibri"/>
      <w:szCs w:val="21"/>
    </w:rPr>
  </w:style>
  <w:style w:type="paragraph" w:styleId="9">
    <w:name w:val="Document Map"/>
    <w:basedOn w:val="1"/>
    <w:qFormat/>
    <w:uiPriority w:val="0"/>
    <w:pPr>
      <w:shd w:val="clear" w:color="auto" w:fill="000080"/>
    </w:pPr>
  </w:style>
  <w:style w:type="paragraph" w:styleId="10">
    <w:name w:val="toa heading"/>
    <w:basedOn w:val="1"/>
    <w:next w:val="1"/>
    <w:qFormat/>
    <w:uiPriority w:val="99"/>
    <w:pPr>
      <w:spacing w:before="120"/>
    </w:pPr>
    <w:rPr>
      <w:rFonts w:ascii="Arial" w:hAnsi="Arial"/>
    </w:rPr>
  </w:style>
  <w:style w:type="paragraph" w:styleId="11">
    <w:name w:val="annotation text"/>
    <w:basedOn w:val="1"/>
    <w:link w:val="52"/>
    <w:qFormat/>
    <w:uiPriority w:val="0"/>
    <w:pPr>
      <w:jc w:val="left"/>
    </w:pPr>
  </w:style>
  <w:style w:type="paragraph" w:styleId="12">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13">
    <w:name w:val="toc 3"/>
    <w:basedOn w:val="1"/>
    <w:next w:val="1"/>
    <w:qFormat/>
    <w:uiPriority w:val="39"/>
    <w:pPr>
      <w:ind w:left="840" w:leftChars="400"/>
    </w:pPr>
  </w:style>
  <w:style w:type="paragraph" w:styleId="14">
    <w:name w:val="Plain Text"/>
    <w:basedOn w:val="1"/>
    <w:link w:val="48"/>
    <w:qFormat/>
    <w:uiPriority w:val="0"/>
    <w:pPr>
      <w:spacing w:line="360" w:lineRule="auto"/>
    </w:pPr>
    <w:rPr>
      <w:rFonts w:ascii="楷体_GB2312" w:hAnsi="Courier New" w:eastAsia="楷体_GB2312"/>
      <w:sz w:val="24"/>
    </w:rPr>
  </w:style>
  <w:style w:type="paragraph" w:styleId="15">
    <w:name w:val="Date"/>
    <w:basedOn w:val="1"/>
    <w:next w:val="1"/>
    <w:link w:val="53"/>
    <w:qFormat/>
    <w:uiPriority w:val="0"/>
    <w:rPr>
      <w:sz w:val="28"/>
    </w:rPr>
  </w:style>
  <w:style w:type="paragraph" w:styleId="16">
    <w:name w:val="Body Text Indent 2"/>
    <w:basedOn w:val="1"/>
    <w:qFormat/>
    <w:uiPriority w:val="0"/>
    <w:pPr>
      <w:spacing w:line="312" w:lineRule="auto"/>
      <w:ind w:firstLine="480" w:firstLineChars="200"/>
    </w:pPr>
    <w:rPr>
      <w:sz w:val="24"/>
    </w:rPr>
  </w:style>
  <w:style w:type="paragraph" w:styleId="17">
    <w:name w:val="Balloon Text"/>
    <w:basedOn w:val="1"/>
    <w:qFormat/>
    <w:uiPriority w:val="0"/>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9639"/>
      </w:tabs>
      <w:ind w:firstLine="425" w:firstLineChars="177"/>
    </w:pPr>
  </w:style>
  <w:style w:type="paragraph" w:styleId="21">
    <w:name w:val="Subtitle"/>
    <w:basedOn w:val="1"/>
    <w:next w:val="1"/>
    <w:qFormat/>
    <w:uiPriority w:val="11"/>
    <w:pPr>
      <w:spacing w:before="240" w:after="60" w:line="312" w:lineRule="auto"/>
      <w:jc w:val="center"/>
      <w:outlineLvl w:val="1"/>
    </w:pPr>
    <w:rPr>
      <w:rFonts w:ascii="Cambria" w:hAnsi="Cambria"/>
      <w:b/>
      <w:bCs/>
      <w:kern w:val="28"/>
      <w:sz w:val="32"/>
      <w:szCs w:val="32"/>
    </w:rPr>
  </w:style>
  <w:style w:type="paragraph" w:styleId="22">
    <w:name w:val="toc 2"/>
    <w:basedOn w:val="1"/>
    <w:next w:val="1"/>
    <w:qFormat/>
    <w:uiPriority w:val="39"/>
    <w:pPr>
      <w:tabs>
        <w:tab w:val="left" w:pos="941"/>
        <w:tab w:val="right" w:leader="dot" w:pos="9629"/>
      </w:tabs>
      <w:ind w:left="420" w:leftChars="200"/>
    </w:pPr>
  </w:style>
  <w:style w:type="paragraph" w:styleId="23">
    <w:name w:val="Body Text 2"/>
    <w:basedOn w:val="1"/>
    <w:qFormat/>
    <w:uiPriority w:val="0"/>
    <w:pPr>
      <w:spacing w:after="120" w:line="480" w:lineRule="auto"/>
    </w:pPr>
  </w:style>
  <w:style w:type="paragraph" w:styleId="24">
    <w:name w:val="Message Header"/>
    <w:basedOn w:val="1"/>
    <w:next w:val="1"/>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Arial" w:hAnsi="Arial" w:cs="Arial"/>
      <w:sz w:val="24"/>
    </w:rPr>
  </w:style>
  <w:style w:type="paragraph" w:styleId="25">
    <w:name w:val="HTML Preformatted"/>
    <w:basedOn w:val="1"/>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hAnsi="宋体"/>
      <w:sz w:val="24"/>
      <w:szCs w:val="24"/>
    </w:rPr>
  </w:style>
  <w:style w:type="paragraph" w:styleId="26">
    <w:name w:val="Normal (Web)"/>
    <w:basedOn w:val="1"/>
    <w:qFormat/>
    <w:uiPriority w:val="99"/>
    <w:pPr>
      <w:widowControl/>
      <w:spacing w:before="100" w:beforeAutospacing="1" w:after="100" w:afterAutospacing="1"/>
      <w:jc w:val="left"/>
    </w:pPr>
    <w:rPr>
      <w:rFonts w:ascii="宋体" w:hAnsi="宋体" w:cs="宋体"/>
      <w:color w:val="000000"/>
      <w:kern w:val="0"/>
      <w:sz w:val="24"/>
    </w:rPr>
  </w:style>
  <w:style w:type="paragraph" w:styleId="27">
    <w:name w:val="Title"/>
    <w:basedOn w:val="1"/>
    <w:qFormat/>
    <w:uiPriority w:val="0"/>
    <w:pPr>
      <w:widowControl/>
      <w:adjustRightInd w:val="0"/>
      <w:snapToGrid w:val="0"/>
      <w:spacing w:before="240" w:after="60"/>
      <w:jc w:val="center"/>
      <w:outlineLvl w:val="0"/>
    </w:pPr>
    <w:rPr>
      <w:rFonts w:ascii="Arial" w:hAnsi="Arial"/>
      <w:b/>
      <w:bCs/>
      <w:kern w:val="0"/>
      <w:sz w:val="32"/>
      <w:szCs w:val="32"/>
    </w:rPr>
  </w:style>
  <w:style w:type="paragraph" w:styleId="28">
    <w:name w:val="annotation subject"/>
    <w:basedOn w:val="11"/>
    <w:next w:val="11"/>
    <w:qFormat/>
    <w:uiPriority w:val="0"/>
    <w:rPr>
      <w:b/>
      <w:bCs/>
    </w:rPr>
  </w:style>
  <w:style w:type="paragraph" w:styleId="29">
    <w:name w:val="Body Text First Indent"/>
    <w:basedOn w:val="2"/>
    <w:qFormat/>
    <w:uiPriority w:val="0"/>
    <w:pPr>
      <w:ind w:firstLine="420" w:firstLineChars="100"/>
    </w:pPr>
    <w:rPr>
      <w:rFonts w:ascii="Calibri" w:hAnsi="Calibri"/>
      <w:szCs w:val="24"/>
    </w:rPr>
  </w:style>
  <w:style w:type="paragraph" w:styleId="30">
    <w:name w:val="Body Text First Indent 2"/>
    <w:basedOn w:val="12"/>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32">
    <w:name w:val="Table Grid"/>
    <w:basedOn w:val="3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4">
    <w:name w:val="Strong"/>
    <w:basedOn w:val="33"/>
    <w:qFormat/>
    <w:uiPriority w:val="0"/>
    <w:rPr>
      <w:b/>
      <w:bCs/>
    </w:rPr>
  </w:style>
  <w:style w:type="character" w:styleId="35">
    <w:name w:val="page number"/>
    <w:basedOn w:val="33"/>
    <w:qFormat/>
    <w:uiPriority w:val="0"/>
  </w:style>
  <w:style w:type="character" w:styleId="36">
    <w:name w:val="FollowedHyperlink"/>
    <w:basedOn w:val="33"/>
    <w:qFormat/>
    <w:uiPriority w:val="0"/>
    <w:rPr>
      <w:color w:val="800080"/>
      <w:u w:val="none"/>
    </w:rPr>
  </w:style>
  <w:style w:type="character" w:styleId="37">
    <w:name w:val="Emphasis"/>
    <w:basedOn w:val="33"/>
    <w:qFormat/>
    <w:uiPriority w:val="0"/>
    <w:rPr>
      <w:b/>
    </w:rPr>
  </w:style>
  <w:style w:type="character" w:styleId="38">
    <w:name w:val="HTML Definition"/>
    <w:basedOn w:val="33"/>
    <w:qFormat/>
    <w:uiPriority w:val="0"/>
  </w:style>
  <w:style w:type="character" w:styleId="39">
    <w:name w:val="HTML Typewriter"/>
    <w:basedOn w:val="33"/>
    <w:qFormat/>
    <w:uiPriority w:val="0"/>
    <w:rPr>
      <w:rFonts w:hint="default" w:ascii="monospace" w:hAnsi="monospace" w:eastAsia="monospace" w:cs="monospace"/>
      <w:sz w:val="20"/>
    </w:rPr>
  </w:style>
  <w:style w:type="character" w:styleId="40">
    <w:name w:val="HTML Acronym"/>
    <w:basedOn w:val="33"/>
    <w:qFormat/>
    <w:uiPriority w:val="0"/>
  </w:style>
  <w:style w:type="character" w:styleId="41">
    <w:name w:val="HTML Variable"/>
    <w:basedOn w:val="33"/>
    <w:qFormat/>
    <w:uiPriority w:val="0"/>
  </w:style>
  <w:style w:type="character" w:styleId="42">
    <w:name w:val="Hyperlink"/>
    <w:basedOn w:val="33"/>
    <w:qFormat/>
    <w:uiPriority w:val="99"/>
    <w:rPr>
      <w:color w:val="0000FF"/>
      <w:u w:val="none"/>
    </w:rPr>
  </w:style>
  <w:style w:type="character" w:styleId="43">
    <w:name w:val="HTML Code"/>
    <w:basedOn w:val="33"/>
    <w:qFormat/>
    <w:uiPriority w:val="0"/>
    <w:rPr>
      <w:rFonts w:hint="default" w:ascii="monospace" w:hAnsi="monospace" w:eastAsia="monospace" w:cs="monospace"/>
      <w:sz w:val="20"/>
    </w:rPr>
  </w:style>
  <w:style w:type="character" w:styleId="44">
    <w:name w:val="annotation reference"/>
    <w:qFormat/>
    <w:uiPriority w:val="0"/>
    <w:rPr>
      <w:sz w:val="21"/>
      <w:szCs w:val="21"/>
    </w:rPr>
  </w:style>
  <w:style w:type="character" w:styleId="45">
    <w:name w:val="HTML Cite"/>
    <w:basedOn w:val="33"/>
    <w:qFormat/>
    <w:uiPriority w:val="0"/>
  </w:style>
  <w:style w:type="character" w:styleId="46">
    <w:name w:val="HTML Keyboard"/>
    <w:basedOn w:val="33"/>
    <w:qFormat/>
    <w:uiPriority w:val="0"/>
    <w:rPr>
      <w:rFonts w:hint="default" w:ascii="monospace" w:hAnsi="monospace" w:eastAsia="monospace" w:cs="monospace"/>
      <w:sz w:val="20"/>
    </w:rPr>
  </w:style>
  <w:style w:type="character" w:styleId="47">
    <w:name w:val="HTML Sample"/>
    <w:basedOn w:val="33"/>
    <w:qFormat/>
    <w:uiPriority w:val="0"/>
    <w:rPr>
      <w:rFonts w:ascii="monospace" w:hAnsi="monospace" w:eastAsia="monospace" w:cs="monospace"/>
    </w:rPr>
  </w:style>
  <w:style w:type="character" w:customStyle="1" w:styleId="48">
    <w:name w:val="纯文本 Char"/>
    <w:link w:val="14"/>
    <w:qFormat/>
    <w:uiPriority w:val="0"/>
    <w:rPr>
      <w:rFonts w:ascii="楷体_GB2312" w:hAnsi="Courier New" w:eastAsia="楷体_GB2312"/>
      <w:kern w:val="2"/>
      <w:sz w:val="24"/>
    </w:rPr>
  </w:style>
  <w:style w:type="paragraph" w:customStyle="1" w:styleId="49">
    <w:name w:val="BodyText1I2"/>
    <w:basedOn w:val="50"/>
    <w:qFormat/>
    <w:uiPriority w:val="0"/>
    <w:pPr>
      <w:ind w:firstLine="420" w:firstLineChars="200"/>
    </w:pPr>
  </w:style>
  <w:style w:type="paragraph" w:customStyle="1" w:styleId="50">
    <w:name w:val="BodyTextIndent"/>
    <w:basedOn w:val="1"/>
    <w:qFormat/>
    <w:uiPriority w:val="0"/>
    <w:pPr>
      <w:spacing w:after="120"/>
      <w:ind w:left="420" w:leftChars="200"/>
      <w:textAlignment w:val="baseline"/>
    </w:pPr>
    <w:rPr>
      <w:szCs w:val="24"/>
    </w:rPr>
  </w:style>
  <w:style w:type="character" w:customStyle="1" w:styleId="51">
    <w:name w:val="标题 1 Char"/>
    <w:link w:val="3"/>
    <w:qFormat/>
    <w:uiPriority w:val="0"/>
    <w:rPr>
      <w:rFonts w:ascii="宋体"/>
      <w:kern w:val="2"/>
      <w:sz w:val="28"/>
    </w:rPr>
  </w:style>
  <w:style w:type="character" w:customStyle="1" w:styleId="52">
    <w:name w:val="批注文字 Char"/>
    <w:link w:val="11"/>
    <w:qFormat/>
    <w:uiPriority w:val="0"/>
    <w:rPr>
      <w:rFonts w:eastAsia="宋体"/>
      <w:kern w:val="2"/>
      <w:sz w:val="21"/>
      <w:lang w:val="en-US" w:eastAsia="zh-CN" w:bidi="ar-SA"/>
    </w:rPr>
  </w:style>
  <w:style w:type="character" w:customStyle="1" w:styleId="53">
    <w:name w:val="日期 Char"/>
    <w:link w:val="15"/>
    <w:qFormat/>
    <w:uiPriority w:val="0"/>
    <w:rPr>
      <w:kern w:val="2"/>
      <w:sz w:val="28"/>
    </w:rPr>
  </w:style>
  <w:style w:type="character" w:customStyle="1" w:styleId="54">
    <w:name w:val="标题 1 字符"/>
    <w:qFormat/>
    <w:uiPriority w:val="0"/>
    <w:rPr>
      <w:rFonts w:ascii="宋体"/>
      <w:kern w:val="2"/>
      <w:sz w:val="28"/>
    </w:rPr>
  </w:style>
  <w:style w:type="character" w:customStyle="1" w:styleId="55">
    <w:name w:val="mini-outputtext1"/>
    <w:basedOn w:val="33"/>
    <w:qFormat/>
    <w:uiPriority w:val="0"/>
  </w:style>
  <w:style w:type="paragraph" w:customStyle="1" w:styleId="56">
    <w:name w:val="Table caption|1"/>
    <w:basedOn w:val="1"/>
    <w:qFormat/>
    <w:uiPriority w:val="0"/>
    <w:pPr>
      <w:spacing w:line="317" w:lineRule="exact"/>
    </w:pPr>
    <w:rPr>
      <w:rFonts w:ascii="宋体" w:hAnsi="宋体" w:cs="宋体"/>
      <w:sz w:val="22"/>
      <w:szCs w:val="22"/>
      <w:lang w:val="zh-TW" w:eastAsia="zh-TW" w:bidi="zh-TW"/>
    </w:rPr>
  </w:style>
  <w:style w:type="paragraph" w:customStyle="1" w:styleId="57">
    <w:name w:val="标题 71"/>
    <w:basedOn w:val="1"/>
    <w:qFormat/>
    <w:uiPriority w:val="1"/>
    <w:pPr>
      <w:autoSpaceDE w:val="0"/>
      <w:autoSpaceDN w:val="0"/>
      <w:ind w:left="677"/>
      <w:jc w:val="left"/>
      <w:outlineLvl w:val="7"/>
    </w:pPr>
    <w:rPr>
      <w:rFonts w:ascii="宋体" w:hAnsi="宋体" w:cs="宋体"/>
      <w:b/>
      <w:bCs/>
      <w:kern w:val="0"/>
      <w:sz w:val="24"/>
      <w:szCs w:val="24"/>
    </w:rPr>
  </w:style>
  <w:style w:type="paragraph" w:customStyle="1" w:styleId="58">
    <w:name w:val="列表段落1"/>
    <w:basedOn w:val="1"/>
    <w:qFormat/>
    <w:uiPriority w:val="0"/>
    <w:pPr>
      <w:spacing w:line="360" w:lineRule="auto"/>
      <w:ind w:firstLine="420" w:firstLineChars="200"/>
    </w:pPr>
    <w:rPr>
      <w:sz w:val="24"/>
    </w:rPr>
  </w:style>
  <w:style w:type="paragraph" w:customStyle="1" w:styleId="59">
    <w:name w:val="标准文本"/>
    <w:basedOn w:val="1"/>
    <w:qFormat/>
    <w:uiPriority w:val="0"/>
    <w:pPr>
      <w:spacing w:line="360" w:lineRule="auto"/>
      <w:ind w:firstLine="480" w:firstLineChars="200"/>
    </w:pPr>
    <w:rPr>
      <w:sz w:val="24"/>
    </w:rPr>
  </w:style>
  <w:style w:type="paragraph" w:customStyle="1" w:styleId="60">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61">
    <w:name w:val="图表内容"/>
    <w:basedOn w:val="1"/>
    <w:qFormat/>
    <w:uiPriority w:val="0"/>
    <w:pPr>
      <w:jc w:val="left"/>
    </w:pPr>
    <w:rPr>
      <w:rFonts w:eastAsia="仿宋_GB2312"/>
      <w:szCs w:val="24"/>
    </w:rPr>
  </w:style>
  <w:style w:type="paragraph" w:customStyle="1" w:styleId="62">
    <w:name w:val="Table Paragraph"/>
    <w:basedOn w:val="1"/>
    <w:qFormat/>
    <w:uiPriority w:val="1"/>
    <w:pPr>
      <w:jc w:val="left"/>
    </w:pPr>
    <w:rPr>
      <w:rFonts w:ascii="宋体" w:hAnsi="宋体" w:cs="宋体"/>
      <w:kern w:val="0"/>
      <w:sz w:val="22"/>
      <w:szCs w:val="22"/>
      <w:lang w:eastAsia="en-US"/>
    </w:rPr>
  </w:style>
  <w:style w:type="paragraph" w:customStyle="1" w:styleId="63">
    <w:name w:val="列出段落1"/>
    <w:basedOn w:val="1"/>
    <w:qFormat/>
    <w:uiPriority w:val="1"/>
    <w:pPr>
      <w:ind w:firstLine="420" w:firstLineChars="200"/>
    </w:pPr>
  </w:style>
  <w:style w:type="paragraph" w:customStyle="1" w:styleId="64">
    <w:name w:val="样式 首行缩进:  2 字符"/>
    <w:basedOn w:val="1"/>
    <w:qFormat/>
    <w:uiPriority w:val="0"/>
    <w:pPr>
      <w:ind w:firstLine="480" w:firstLineChars="200"/>
    </w:pPr>
    <w:rPr>
      <w:rFonts w:ascii="Calibri" w:hAnsi="Calibri" w:cs="宋体"/>
      <w:color w:val="000000"/>
    </w:rPr>
  </w:style>
  <w:style w:type="paragraph" w:customStyle="1" w:styleId="65">
    <w:name w:val="Body text|1"/>
    <w:basedOn w:val="1"/>
    <w:qFormat/>
    <w:uiPriority w:val="0"/>
    <w:pPr>
      <w:spacing w:line="295" w:lineRule="auto"/>
      <w:ind w:firstLine="400"/>
    </w:pPr>
    <w:rPr>
      <w:rFonts w:ascii="宋体" w:hAnsi="宋体" w:cs="宋体"/>
      <w:sz w:val="22"/>
      <w:szCs w:val="22"/>
      <w:lang w:val="zh-TW" w:eastAsia="zh-TW" w:bidi="zh-TW"/>
    </w:rPr>
  </w:style>
  <w:style w:type="paragraph" w:customStyle="1" w:styleId="66">
    <w:name w:val="Heading #1|1"/>
    <w:basedOn w:val="1"/>
    <w:qFormat/>
    <w:uiPriority w:val="0"/>
    <w:pPr>
      <w:spacing w:after="220"/>
      <w:jc w:val="center"/>
      <w:outlineLvl w:val="0"/>
    </w:pPr>
    <w:rPr>
      <w:rFonts w:ascii="宋体" w:hAnsi="宋体" w:cs="宋体"/>
      <w:sz w:val="38"/>
      <w:szCs w:val="38"/>
      <w:lang w:val="zh-TW" w:eastAsia="zh-TW" w:bidi="zh-TW"/>
    </w:rPr>
  </w:style>
  <w:style w:type="paragraph" w:customStyle="1" w:styleId="67">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68">
    <w:name w:val="列出段落11"/>
    <w:basedOn w:val="67"/>
    <w:qFormat/>
    <w:uiPriority w:val="99"/>
    <w:pPr>
      <w:ind w:firstLine="420" w:firstLineChars="200"/>
    </w:pPr>
    <w:rPr>
      <w:szCs w:val="24"/>
    </w:rPr>
  </w:style>
  <w:style w:type="paragraph" w:customStyle="1" w:styleId="69">
    <w:name w:val="修订1"/>
    <w:qFormat/>
    <w:uiPriority w:val="99"/>
    <w:rPr>
      <w:rFonts w:ascii="Times New Roman" w:hAnsi="Times New Roman" w:eastAsia="宋体" w:cs="Times New Roman"/>
      <w:kern w:val="2"/>
      <w:sz w:val="21"/>
      <w:lang w:val="en-US" w:eastAsia="zh-CN" w:bidi="ar-SA"/>
    </w:rPr>
  </w:style>
  <w:style w:type="paragraph" w:customStyle="1" w:styleId="70">
    <w:name w:val="样式3"/>
    <w:basedOn w:val="14"/>
    <w:qFormat/>
    <w:uiPriority w:val="0"/>
    <w:pPr>
      <w:spacing w:line="0" w:lineRule="atLeast"/>
      <w:outlineLvl w:val="0"/>
    </w:pPr>
    <w:rPr>
      <w:rFonts w:ascii="宋体" w:eastAsia="宋体"/>
      <w:sz w:val="28"/>
    </w:rPr>
  </w:style>
  <w:style w:type="paragraph" w:customStyle="1" w:styleId="71">
    <w:name w:val="Body text|2"/>
    <w:basedOn w:val="1"/>
    <w:qFormat/>
    <w:uiPriority w:val="0"/>
    <w:pPr>
      <w:spacing w:before="160" w:after="380"/>
    </w:pPr>
    <w:rPr>
      <w:rFonts w:ascii="宋体" w:hAnsi="宋体" w:cs="宋体"/>
      <w:sz w:val="28"/>
      <w:szCs w:val="28"/>
      <w:lang w:val="zh-TW" w:eastAsia="zh-TW" w:bidi="zh-TW"/>
    </w:rPr>
  </w:style>
  <w:style w:type="paragraph" w:customStyle="1" w:styleId="72">
    <w:name w:val="Char2"/>
    <w:basedOn w:val="1"/>
    <w:qFormat/>
    <w:uiPriority w:val="0"/>
    <w:pPr>
      <w:ind w:left="432" w:hanging="432"/>
    </w:pPr>
    <w:rPr>
      <w:sz w:val="24"/>
      <w:szCs w:val="24"/>
    </w:rPr>
  </w:style>
  <w:style w:type="paragraph" w:customStyle="1" w:styleId="73">
    <w:name w:val="正文 A"/>
    <w:qFormat/>
    <w:uiPriority w:val="0"/>
    <w:pPr>
      <w:widowControl w:val="0"/>
      <w:pBdr>
        <w:top w:val="none" w:color="FFFFFF" w:sz="0" w:space="31"/>
        <w:left w:val="none" w:color="FFFFFF" w:sz="0" w:space="31"/>
        <w:bottom w:val="none" w:color="FFFFFF" w:sz="0" w:space="31"/>
        <w:right w:val="none" w:color="FFFFFF" w:sz="0" w:space="31"/>
      </w:pBdr>
      <w:jc w:val="both"/>
    </w:pPr>
    <w:rPr>
      <w:rFonts w:ascii="Calibri" w:hAnsi="Arial Unicode MS" w:eastAsia="Times New Roman" w:cs="Arial Unicode MS"/>
      <w:color w:val="000000"/>
      <w:kern w:val="2"/>
      <w:sz w:val="21"/>
      <w:szCs w:val="21"/>
      <w:lang w:val="en-US" w:eastAsia="zh-CN" w:bidi="ar-SA"/>
    </w:rPr>
  </w:style>
  <w:style w:type="paragraph" w:customStyle="1" w:styleId="74">
    <w:name w:val="Other|1"/>
    <w:basedOn w:val="1"/>
    <w:qFormat/>
    <w:uiPriority w:val="0"/>
    <w:pPr>
      <w:spacing w:line="298" w:lineRule="exact"/>
    </w:pPr>
    <w:rPr>
      <w:rFonts w:ascii="宋体" w:hAnsi="宋体" w:cs="宋体"/>
      <w:sz w:val="19"/>
      <w:szCs w:val="19"/>
      <w:lang w:val="zh-TW" w:eastAsia="zh-TW" w:bidi="zh-TW"/>
    </w:rPr>
  </w:style>
  <w:style w:type="table" w:customStyle="1" w:styleId="75">
    <w:name w:val="Table Normal"/>
    <w:qFormat/>
    <w:uiPriority w:val="0"/>
    <w:tblPr>
      <w:tblCellMar>
        <w:top w:w="0" w:type="dxa"/>
        <w:left w:w="0" w:type="dxa"/>
        <w:bottom w:w="0" w:type="dxa"/>
        <w:right w:w="0" w:type="dxa"/>
      </w:tblCellMar>
    </w:tblPr>
  </w:style>
  <w:style w:type="paragraph" w:customStyle="1" w:styleId="76">
    <w:name w:val="Table Text"/>
    <w:basedOn w:val="1"/>
    <w:qFormat/>
    <w:uiPriority w:val="0"/>
    <w:rPr>
      <w:rFonts w:ascii="宋体" w:hAnsi="宋体" w:cs="宋体"/>
      <w:sz w:val="24"/>
      <w:szCs w:val="24"/>
      <w:lang w:eastAsia="en-US"/>
    </w:rPr>
  </w:style>
  <w:style w:type="paragraph" w:styleId="77">
    <w:name w:val="List Paragraph"/>
    <w:basedOn w:val="1"/>
    <w:qFormat/>
    <w:uiPriority w:val="34"/>
    <w:pPr>
      <w:ind w:firstLine="420" w:firstLineChars="200"/>
    </w:pPr>
    <w:rPr>
      <w:szCs w:val="24"/>
    </w:rPr>
  </w:style>
  <w:style w:type="character" w:customStyle="1" w:styleId="78">
    <w:name w:val="layui-layer-tabnow"/>
    <w:basedOn w:val="33"/>
    <w:qFormat/>
    <w:uiPriority w:val="0"/>
    <w:rPr>
      <w:bdr w:val="single" w:color="CCCCCC" w:sz="6" w:space="0"/>
      <w:shd w:val="clear" w:color="auto" w:fill="FFFFFF"/>
    </w:rPr>
  </w:style>
  <w:style w:type="character" w:customStyle="1" w:styleId="79">
    <w:name w:val="first-child"/>
    <w:basedOn w:val="33"/>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d350f4-169a-4677-8453-fd5496114b49}">
  <ds:schemaRefs/>
</ds:datastoreItem>
</file>

<file path=docProps/app.xml><?xml version="1.0" encoding="utf-8"?>
<Properties xmlns="http://schemas.openxmlformats.org/officeDocument/2006/extended-properties" xmlns:vt="http://schemas.openxmlformats.org/officeDocument/2006/docPropsVTypes">
  <Template>Normal</Template>
  <Company>江西省机电设备招标公司</Company>
  <Pages>12</Pages>
  <Words>20393</Words>
  <Characters>21593</Characters>
  <Paragraphs>2494</Paragraphs>
  <TotalTime>30</TotalTime>
  <ScaleCrop>false</ScaleCrop>
  <LinksUpToDate>false</LinksUpToDate>
  <CharactersWithSpaces>21933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2022-04-22T02:06:00Z</dcterms:created>
  <dc:creator>hxw</dc:creator>
  <cp:lastModifiedBy>123</cp:lastModifiedBy>
  <cp:lastPrinted>2026-03-25T02:02:00Z</cp:lastPrinted>
  <dcterms:modified xsi:type="dcterms:W3CDTF">2026-06-12T10:18:33Z</dcterms:modified>
  <dc:title>竞争性谈判文件</dc:title>
  <cp:revision>118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5CE1DA2595A34F439C753F429F9656E9_13</vt:lpwstr>
  </property>
  <property fmtid="{D5CDD505-2E9C-101B-9397-08002B2CF9AE}" pid="4" name="KSOTemplateDocerSaveRecord">
    <vt:lpwstr>eyJoZGlkIjoiMDBiZmNmZTY3ZmMzMzVkOWY4YTY1YmE0MTIxNTE1MDUiLCJ1c2VySWQiOiI1Mzc0MDIwNTkifQ==</vt:lpwstr>
  </property>
</Properties>
</file>