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0BC0FF">
      <w:pPr>
        <w:widowControl w:val="0"/>
        <w:spacing w:before="63" w:line="224" w:lineRule="auto"/>
        <w:jc w:val="center"/>
        <w:outlineLvl w:val="0"/>
        <w:rPr>
          <w:rFonts w:ascii="宋体" w:hAnsi="宋体" w:eastAsia="宋体" w:cs="宋体"/>
          <w:b/>
          <w:bCs/>
          <w:color w:val="auto"/>
          <w:sz w:val="31"/>
          <w:szCs w:val="31"/>
          <w:highlight w:val="none"/>
          <w:lang w:eastAsia="zh-CN"/>
        </w:rPr>
      </w:pPr>
      <w:r>
        <w:rPr>
          <w:rFonts w:ascii="宋体" w:hAnsi="宋体" w:eastAsia="宋体" w:cs="宋体"/>
          <w:b/>
          <w:bCs/>
          <w:color w:val="auto"/>
          <w:spacing w:val="9"/>
          <w:sz w:val="31"/>
          <w:szCs w:val="31"/>
          <w:highlight w:val="none"/>
          <w:lang w:eastAsia="zh-CN"/>
        </w:rPr>
        <w:t>采购需求</w:t>
      </w:r>
    </w:p>
    <w:p w14:paraId="5F5604EE">
      <w:pPr>
        <w:widowControl w:val="0"/>
        <w:spacing w:line="309" w:lineRule="auto"/>
        <w:jc w:val="center"/>
        <w:rPr>
          <w:color w:val="auto"/>
          <w:highlight w:val="none"/>
          <w:lang w:eastAsia="zh-CN"/>
        </w:rPr>
      </w:pPr>
    </w:p>
    <w:p w14:paraId="12DA3B99">
      <w:pPr>
        <w:widowControl w:val="0"/>
        <w:spacing w:before="78" w:line="219" w:lineRule="auto"/>
        <w:outlineLvl w:val="1"/>
        <w:rPr>
          <w:rFonts w:hint="eastAsia" w:ascii="宋体" w:hAnsi="宋体" w:eastAsia="宋体" w:cs="宋体"/>
          <w:color w:val="auto"/>
          <w:highlight w:val="none"/>
        </w:rPr>
      </w:pPr>
      <w:bookmarkStart w:id="0" w:name="_Toc31773"/>
      <w:r>
        <w:rPr>
          <w:rFonts w:hint="eastAsia" w:ascii="宋体" w:hAnsi="宋体" w:eastAsia="宋体" w:cs="宋体"/>
          <w:b/>
          <w:bCs/>
          <w:color w:val="auto"/>
          <w:spacing w:val="-5"/>
          <w:sz w:val="24"/>
          <w:szCs w:val="24"/>
          <w:highlight w:val="none"/>
          <w:lang w:eastAsia="zh-CN"/>
        </w:rPr>
        <w:t>一、服务要求</w:t>
      </w:r>
      <w:bookmarkEnd w:id="0"/>
    </w:p>
    <w:tbl>
      <w:tblPr>
        <w:tblStyle w:val="3"/>
        <w:tblW w:w="90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6379"/>
        <w:gridCol w:w="1224"/>
      </w:tblGrid>
      <w:tr w14:paraId="16D31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1418" w:type="dxa"/>
            <w:noWrap/>
            <w:vAlign w:val="center"/>
          </w:tcPr>
          <w:p w14:paraId="74E65B1A">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货物名称</w:t>
            </w:r>
          </w:p>
        </w:tc>
        <w:tc>
          <w:tcPr>
            <w:tcW w:w="6379" w:type="dxa"/>
            <w:noWrap/>
            <w:vAlign w:val="center"/>
          </w:tcPr>
          <w:p w14:paraId="4C242619">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sz w:val="24"/>
                <w:szCs w:val="24"/>
                <w:lang w:eastAsia="zh-CN"/>
              </w:rPr>
              <w:t>服务</w:t>
            </w:r>
            <w:r>
              <w:rPr>
                <w:rFonts w:hint="eastAsia" w:ascii="宋体" w:hAnsi="宋体" w:eastAsia="宋体" w:cs="宋体"/>
                <w:b/>
                <w:bCs/>
                <w:color w:val="000000"/>
                <w:sz w:val="24"/>
                <w:szCs w:val="24"/>
              </w:rPr>
              <w:t>要求</w:t>
            </w:r>
          </w:p>
        </w:tc>
        <w:tc>
          <w:tcPr>
            <w:tcW w:w="1224" w:type="dxa"/>
            <w:noWrap/>
            <w:vAlign w:val="center"/>
          </w:tcPr>
          <w:p w14:paraId="0B4E1CB3">
            <w:pPr>
              <w:spacing w:line="360" w:lineRule="exact"/>
              <w:jc w:val="center"/>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数量</w:t>
            </w:r>
          </w:p>
          <w:p w14:paraId="56974BB6">
            <w:pPr>
              <w:spacing w:line="360" w:lineRule="exact"/>
              <w:jc w:val="center"/>
              <w:rPr>
                <w:rFonts w:hint="eastAsia" w:ascii="宋体" w:hAnsi="宋体" w:eastAsia="宋体" w:cs="宋体"/>
                <w:b/>
                <w:bCs/>
                <w:color w:val="000000"/>
                <w:kern w:val="0"/>
                <w:sz w:val="24"/>
                <w:szCs w:val="24"/>
                <w:lang w:eastAsia="zh-CN"/>
              </w:rPr>
            </w:pPr>
            <w:r>
              <w:rPr>
                <w:rFonts w:hint="eastAsia" w:ascii="宋体" w:hAnsi="宋体" w:eastAsia="宋体" w:cs="宋体"/>
                <w:b/>
                <w:bCs/>
                <w:color w:val="000000"/>
                <w:kern w:val="0"/>
                <w:sz w:val="24"/>
                <w:szCs w:val="24"/>
                <w:lang w:eastAsia="zh-CN"/>
              </w:rPr>
              <w:t>（单位）</w:t>
            </w:r>
          </w:p>
        </w:tc>
      </w:tr>
      <w:tr w14:paraId="4EB9B7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1418" w:type="dxa"/>
            <w:noWrap/>
            <w:vAlign w:val="center"/>
          </w:tcPr>
          <w:p w14:paraId="06F57667">
            <w:pPr>
              <w:pStyle w:val="5"/>
              <w:spacing w:before="159" w:line="321" w:lineRule="auto"/>
              <w:ind w:left="120" w:leftChars="0" w:right="128" w:rightChars="0" w:firstLine="20" w:firstLineChars="0"/>
              <w:jc w:val="both"/>
              <w:rPr>
                <w:rFonts w:hint="eastAsia" w:ascii="宋体" w:hAnsi="宋体" w:eastAsia="宋体" w:cs="宋体"/>
                <w:b/>
                <w:color w:val="000000"/>
                <w:kern w:val="0"/>
                <w:sz w:val="24"/>
                <w:szCs w:val="24"/>
              </w:rPr>
            </w:pPr>
            <w:r>
              <w:rPr>
                <w:rFonts w:hint="eastAsia" w:ascii="宋体" w:hAnsi="宋体" w:eastAsia="宋体" w:cs="宋体"/>
                <w:kern w:val="2"/>
                <w:sz w:val="24"/>
                <w:szCs w:val="24"/>
                <w:lang w:val="en-US" w:eastAsia="zh-CN" w:bidi="ar-SA"/>
              </w:rPr>
              <w:t>湾里出口1G+本部教育城域网出口链路1G(含湾里与阳明校区互联500M+阳明出口100M)</w:t>
            </w:r>
          </w:p>
        </w:tc>
        <w:tc>
          <w:tcPr>
            <w:tcW w:w="6379" w:type="dxa"/>
            <w:noWrap/>
            <w:vAlign w:val="top"/>
          </w:tcPr>
          <w:p w14:paraId="6E81FB44">
            <w:pPr>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1.总体要求：提供多条稳定、安全、方便管理和扩展的链路；</w:t>
            </w:r>
          </w:p>
          <w:p w14:paraId="585AA316">
            <w:pPr>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具体要求如下：湾里出口1G,湾里本部教育城域网出口 链路1G,湾里与阳明校区互联500M,阳明出口100M。</w:t>
            </w:r>
          </w:p>
          <w:p w14:paraId="01E78B9C">
            <w:pPr>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（1）在不改动</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lang w:val="en-US" w:eastAsia="zh-CN"/>
              </w:rPr>
              <w:t>现有网络环境前提下，提供多条链路 满足需求，且</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lang w:val="en-US" w:eastAsia="zh-CN"/>
              </w:rPr>
              <w:t>已使用IP地址不经</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lang w:val="en-US" w:eastAsia="zh-CN"/>
              </w:rPr>
              <w:t>同意不得转做他 用；</w:t>
            </w:r>
          </w:p>
          <w:p w14:paraId="53416CAD">
            <w:pPr>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（2）湾里出口1G链路，须在湾里中心机房放置传送接入 设备一套，网络设备支持不少于100M/1000M/10000M等类端 口接入能力，可满足不同层级的业务需求；</w:t>
            </w:r>
          </w:p>
          <w:p w14:paraId="02CE263D">
            <w:pPr>
              <w:adjustRightInd w:val="0"/>
              <w:snapToGrid w:val="0"/>
              <w:spacing w:line="360" w:lineRule="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（3）其中，湾里出口1G:IPV4地址≥64个：IPV6地址≥一组子网前缀48位的IPV6地址；</w:t>
            </w:r>
          </w:p>
          <w:p w14:paraId="482EAFF5">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网络服务需求</w:t>
            </w:r>
          </w:p>
          <w:p w14:paraId="04A1DE44">
            <w:pPr>
              <w:adjustRightInd w:val="0"/>
              <w:snapToGrid w:val="0"/>
              <w:spacing w:line="360" w:lineRule="auto"/>
              <w:rPr>
                <w:rFonts w:hint="eastAsia" w:ascii="宋体" w:hAnsi="宋体" w:eastAsia="宋体" w:cs="宋体"/>
                <w:b/>
                <w:bCs/>
                <w:sz w:val="24"/>
                <w:szCs w:val="24"/>
              </w:rPr>
            </w:pPr>
            <w:r>
              <w:rPr>
                <w:rFonts w:hint="eastAsia" w:ascii="宋体" w:hAnsi="宋体" w:eastAsia="宋体" w:cs="宋体"/>
                <w:b/>
                <w:bCs/>
                <w:sz w:val="24"/>
                <w:szCs w:val="24"/>
              </w:rPr>
              <w:t>（</w:t>
            </w:r>
            <w:r>
              <w:rPr>
                <w:rFonts w:hint="eastAsia" w:ascii="宋体" w:hAnsi="宋体" w:eastAsia="宋体" w:cs="宋体"/>
                <w:b/>
                <w:bCs/>
                <w:sz w:val="24"/>
                <w:szCs w:val="24"/>
                <w:lang w:val="en-US" w:eastAsia="zh-CN"/>
              </w:rPr>
              <w:t>一</w:t>
            </w:r>
            <w:r>
              <w:rPr>
                <w:rFonts w:hint="eastAsia" w:ascii="宋体" w:hAnsi="宋体" w:eastAsia="宋体" w:cs="宋体"/>
                <w:b/>
                <w:bCs/>
                <w:sz w:val="24"/>
                <w:szCs w:val="24"/>
              </w:rPr>
              <w:t>）服务内容及职责</w:t>
            </w:r>
          </w:p>
          <w:p w14:paraId="033F6D0C">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服务内容主要包括连接湾里校区和阳明校区电路及相关设备服务，保持网络正常运行。服务范围包括连接湾里的电路等网络节点构成元素，及安放相关设备的机柜、配线间等。</w:t>
            </w:r>
          </w:p>
          <w:p w14:paraId="5505A889">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电路线缆等相关设备的日常维护。</w:t>
            </w:r>
          </w:p>
          <w:p w14:paraId="1C08DCF6">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负责新建设电路接入用户的投诉处理、上门装机及故障处理工作。</w:t>
            </w:r>
          </w:p>
          <w:p w14:paraId="5150182B">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负责新建设电路所有网络设备及线缆资源、用户网管资料的归档及更新。</w:t>
            </w:r>
          </w:p>
          <w:p w14:paraId="3C097AAB">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w:t>
            </w:r>
            <w:r>
              <w:rPr>
                <w:rFonts w:hint="eastAsia" w:ascii="宋体" w:hAnsi="宋体" w:eastAsia="宋体" w:cs="宋体"/>
                <w:sz w:val="24"/>
                <w:szCs w:val="24"/>
              </w:rPr>
              <w:t>定期做好新建设电路网络及接口巡检。</w:t>
            </w:r>
          </w:p>
          <w:p w14:paraId="7B2C23F2">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eastAsia="zh-CN"/>
              </w:rPr>
              <w:t>）</w:t>
            </w:r>
            <w:r>
              <w:rPr>
                <w:rFonts w:hint="eastAsia" w:ascii="宋体" w:hAnsi="宋体" w:eastAsia="宋体" w:cs="宋体"/>
                <w:sz w:val="24"/>
                <w:szCs w:val="24"/>
              </w:rPr>
              <w:t>配合完成新建设电路网络优化改造等工作，安排落实拨测工作。</w:t>
            </w:r>
          </w:p>
          <w:p w14:paraId="666A7564">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6</w:t>
            </w:r>
            <w:r>
              <w:rPr>
                <w:rFonts w:hint="eastAsia" w:ascii="宋体" w:hAnsi="宋体" w:eastAsia="宋体" w:cs="宋体"/>
                <w:sz w:val="24"/>
                <w:szCs w:val="24"/>
                <w:lang w:eastAsia="zh-CN"/>
              </w:rPr>
              <w:t>）</w:t>
            </w:r>
            <w:r>
              <w:rPr>
                <w:rFonts w:hint="eastAsia" w:ascii="宋体" w:hAnsi="宋体" w:eastAsia="宋体" w:cs="宋体"/>
                <w:sz w:val="24"/>
                <w:szCs w:val="24"/>
              </w:rPr>
              <w:t>每年向</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rPr>
              <w:t>汇报新建设电路运行整体情况，并根据学校网络和用户实际使用需求的变化及时优化网络保障服务，要求</w:t>
            </w:r>
            <w:r>
              <w:rPr>
                <w:rFonts w:hint="eastAsia" w:ascii="宋体" w:hAnsi="宋体" w:eastAsia="宋体" w:cs="宋体"/>
                <w:sz w:val="24"/>
                <w:szCs w:val="24"/>
                <w:lang w:val="en-US" w:eastAsia="zh-CN"/>
              </w:rPr>
              <w:t>每半年提供一份</w:t>
            </w:r>
            <w:r>
              <w:rPr>
                <w:rFonts w:hint="eastAsia" w:ascii="宋体" w:hAnsi="宋体" w:eastAsia="宋体" w:cs="宋体"/>
                <w:sz w:val="24"/>
                <w:szCs w:val="24"/>
              </w:rPr>
              <w:t>详细的网络优化方案。</w:t>
            </w:r>
          </w:p>
          <w:p w14:paraId="7165C80D">
            <w:pPr>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二</w:t>
            </w:r>
            <w:r>
              <w:rPr>
                <w:rFonts w:hint="eastAsia" w:ascii="宋体" w:hAnsi="宋体" w:eastAsia="宋体" w:cs="宋体"/>
                <w:b/>
                <w:sz w:val="24"/>
                <w:szCs w:val="24"/>
              </w:rPr>
              <w:t>）网络服务要求</w:t>
            </w:r>
          </w:p>
          <w:p w14:paraId="2780A992">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供应商须严格按照设备维护规程和采购人技术要求进行电路服务工作，确保采购人连接两校区网络的安全、稳定运行，具体要求如下：</w:t>
            </w:r>
          </w:p>
          <w:p w14:paraId="7255999D">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供应商每年</w:t>
            </w:r>
            <w:r>
              <w:rPr>
                <w:rFonts w:hint="eastAsia" w:ascii="宋体" w:hAnsi="宋体" w:eastAsia="宋体" w:cs="宋体"/>
                <w:sz w:val="24"/>
                <w:szCs w:val="24"/>
                <w:lang w:val="en-US" w:eastAsia="zh-CN"/>
              </w:rPr>
              <w:t>一次</w:t>
            </w:r>
            <w:r>
              <w:rPr>
                <w:rFonts w:hint="eastAsia" w:ascii="宋体" w:hAnsi="宋体" w:eastAsia="宋体" w:cs="宋体"/>
                <w:sz w:val="24"/>
                <w:szCs w:val="24"/>
              </w:rPr>
              <w:t>向江西中医药大学提交新建设电路网络运行分析报告（包括电路的可用情况、电路流量报告、当年故障清单、故障原因、故障发生时间和结束时间等），若网络运行状况良好，则不用提供新建设电路网络运行分析报告。</w:t>
            </w:r>
          </w:p>
          <w:p w14:paraId="3D34B81F">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供应商每年</w:t>
            </w:r>
            <w:r>
              <w:rPr>
                <w:rFonts w:hint="eastAsia" w:ascii="宋体" w:hAnsi="宋体" w:eastAsia="宋体" w:cs="宋体"/>
                <w:sz w:val="24"/>
                <w:szCs w:val="24"/>
                <w:lang w:val="en-US" w:eastAsia="zh-CN"/>
              </w:rPr>
              <w:t>一次</w:t>
            </w:r>
            <w:r>
              <w:rPr>
                <w:rFonts w:hint="eastAsia" w:ascii="宋体" w:hAnsi="宋体" w:eastAsia="宋体" w:cs="宋体"/>
                <w:sz w:val="24"/>
                <w:szCs w:val="24"/>
              </w:rPr>
              <w:t>对提供的电路、设备等进行巡检，并将巡检结果以书面形式递交给江西中医药大学，若网络运行状况良好，则不用以书面形式递交。</w:t>
            </w:r>
          </w:p>
          <w:p w14:paraId="48F1FC38">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在新建设电路网络运行期内，供应商负责该网络安全可靠运行，并提供及时的服务。并对一切与之有关的线路、设备及技术接口、技术服务等问题负全部责任。</w:t>
            </w:r>
          </w:p>
          <w:p w14:paraId="31638D27">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供应商将按照以下要求安排每个年度定期维修及检查：</w:t>
            </w:r>
          </w:p>
          <w:p w14:paraId="20270F84">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4.1）</w:t>
            </w:r>
            <w:r>
              <w:rPr>
                <w:rFonts w:hint="eastAsia" w:ascii="宋体" w:hAnsi="宋体" w:eastAsia="宋体" w:cs="宋体"/>
                <w:sz w:val="24"/>
                <w:szCs w:val="24"/>
              </w:rPr>
              <w:t>对所有网络设备进行例行检查；</w:t>
            </w:r>
          </w:p>
          <w:p w14:paraId="0EEDE289">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4.2）</w:t>
            </w:r>
            <w:r>
              <w:rPr>
                <w:rFonts w:hint="eastAsia" w:ascii="宋体" w:hAnsi="宋体" w:eastAsia="宋体" w:cs="宋体"/>
                <w:sz w:val="24"/>
                <w:szCs w:val="24"/>
              </w:rPr>
              <w:t>替换所有损坏的设备。</w:t>
            </w:r>
          </w:p>
          <w:p w14:paraId="3FFE560C">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针对此条电路，供应商的相关技术知识、后勤资源、以及服务体系均每周7天、每天24小时开放---技术支持工程师必须竭尽全力地保证该网络电路的正常运行。</w:t>
            </w:r>
          </w:p>
          <w:p w14:paraId="1BFFB948">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利用电子邮件、传真、手机、电话等方式，对江西中医药大学所反映的任何有关新建设电路网络运行问题在30分钟之内得到及时响应。为江西中医药大学提供每周7天、每天24小时的技术热线。</w:t>
            </w:r>
          </w:p>
          <w:p w14:paraId="47BFD22B">
            <w:pPr>
              <w:adjustRightInd w:val="0"/>
              <w:snapToGrid w:val="0"/>
              <w:spacing w:line="360" w:lineRule="auto"/>
              <w:rPr>
                <w:rFonts w:hint="eastAsia" w:ascii="宋体" w:hAnsi="宋体" w:eastAsia="宋体" w:cs="宋体"/>
                <w:b/>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供应商在接到电话支持服务请求后，如果不能通过电话支持服务解决设备或产品发生的技术故障，供应商派技术支持工程师赴现场排除故障。</w:t>
            </w:r>
          </w:p>
          <w:p w14:paraId="127F9DCC">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当客户端设备（如路由器、光猫等）发生单点故障影响客户电路时，应立即更换相应备件，再进行反复测试，直至网络运行正常。</w:t>
            </w:r>
          </w:p>
          <w:p w14:paraId="647FAB2E">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w:t>
            </w:r>
            <w:r>
              <w:rPr>
                <w:rFonts w:hint="eastAsia" w:ascii="宋体" w:hAnsi="宋体" w:eastAsia="宋体" w:cs="宋体"/>
                <w:sz w:val="24"/>
                <w:szCs w:val="24"/>
              </w:rPr>
              <w:t>当因外线原因导致</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rPr>
              <w:t>新建设电路故障时，供应商应立即启动如下应急预案：</w:t>
            </w:r>
          </w:p>
          <w:p w14:paraId="39585C1C">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9.1）</w:t>
            </w:r>
            <w:r>
              <w:rPr>
                <w:rFonts w:hint="eastAsia" w:ascii="宋体" w:hAnsi="宋体" w:eastAsia="宋体" w:cs="宋体"/>
                <w:sz w:val="24"/>
                <w:szCs w:val="24"/>
              </w:rPr>
              <w:t>在网络通信资源满足的情况下先将</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rPr>
              <w:t>网络进行路由迂回恢复，可采用通过SDH环路保护方式将</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rPr>
              <w:t>故障段落的电路迂回，经过测试直至正常，此修复过程应不超过2小时。</w:t>
            </w:r>
          </w:p>
          <w:p w14:paraId="2B2A6AA4">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9.2）</w:t>
            </w:r>
            <w:r>
              <w:rPr>
                <w:rFonts w:hint="eastAsia" w:ascii="宋体" w:hAnsi="宋体" w:eastAsia="宋体" w:cs="宋体"/>
                <w:sz w:val="24"/>
                <w:szCs w:val="24"/>
              </w:rPr>
              <w:t>运用分段测试法，进行故障定位，查找故障原因，反复论证，直至测试正常，保留测试记录。</w:t>
            </w:r>
          </w:p>
          <w:p w14:paraId="58D39BC2">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9.3）</w:t>
            </w:r>
            <w:r>
              <w:rPr>
                <w:rFonts w:hint="eastAsia" w:ascii="宋体" w:hAnsi="宋体" w:eastAsia="宋体" w:cs="宋体"/>
                <w:sz w:val="24"/>
                <w:szCs w:val="24"/>
              </w:rPr>
              <w:t>电路故障恢复后，进行备案，分析具体原因以防类似事件出现。</w:t>
            </w:r>
          </w:p>
          <w:p w14:paraId="531A9C54">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9.4）</w:t>
            </w:r>
            <w:r>
              <w:rPr>
                <w:rFonts w:hint="eastAsia" w:ascii="宋体" w:hAnsi="宋体" w:eastAsia="宋体" w:cs="宋体"/>
                <w:sz w:val="24"/>
                <w:szCs w:val="24"/>
              </w:rPr>
              <w:t>供应商准备足够的备件，确保</w:t>
            </w:r>
            <w:r>
              <w:rPr>
                <w:rFonts w:hint="eastAsia" w:ascii="宋体" w:hAnsi="宋体" w:eastAsia="宋体" w:cs="宋体"/>
                <w:kern w:val="2"/>
                <w:sz w:val="24"/>
                <w:szCs w:val="24"/>
                <w:lang w:val="en-US" w:eastAsia="zh-CN" w:bidi="ar-SA"/>
              </w:rPr>
              <w:t>采购人</w:t>
            </w:r>
            <w:r>
              <w:rPr>
                <w:rFonts w:hint="eastAsia" w:ascii="宋体" w:hAnsi="宋体" w:eastAsia="宋体" w:cs="宋体"/>
                <w:sz w:val="24"/>
                <w:szCs w:val="24"/>
              </w:rPr>
              <w:t>设备故障时能及时完成替换。</w:t>
            </w:r>
          </w:p>
          <w:p w14:paraId="4D3A771E">
            <w:pPr>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三</w:t>
            </w:r>
            <w:r>
              <w:rPr>
                <w:rFonts w:hint="eastAsia" w:ascii="宋体" w:hAnsi="宋体" w:eastAsia="宋体" w:cs="宋体"/>
                <w:b/>
                <w:sz w:val="24"/>
                <w:szCs w:val="24"/>
              </w:rPr>
              <w:t>）日常运维服务要求</w:t>
            </w:r>
          </w:p>
          <w:p w14:paraId="6E6A3E70">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故障申报</w:t>
            </w:r>
          </w:p>
          <w:p w14:paraId="5C56F99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严格执行网络电路故障汇报制度，遇到重大故障（如出现网络节点脱网），造成业务受影响时，供应商第一时间优先抢通重要电路。同时组织技术力量抢修故障，启动应急保障预案。</w:t>
            </w:r>
          </w:p>
          <w:p w14:paraId="36504669">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响应服务机制</w:t>
            </w:r>
          </w:p>
          <w:p w14:paraId="6380EEC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 xml:space="preserve">供应商根据故障现象描述及询问进行故障判断、定位，并根据故障性质指导用户配合和局端处理解决，供应商电路负责人及时沟通和协调各相关部门作业，确保时限内恢复故障。                         </w:t>
            </w:r>
          </w:p>
          <w:p w14:paraId="5EC42B59">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 xml:space="preserve">故障的原因及处理 </w:t>
            </w:r>
          </w:p>
          <w:p w14:paraId="2C29D64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采购人</w:t>
            </w:r>
            <w:r>
              <w:rPr>
                <w:rFonts w:hint="eastAsia" w:ascii="宋体" w:hAnsi="宋体" w:eastAsia="宋体" w:cs="宋体"/>
                <w:sz w:val="24"/>
                <w:szCs w:val="24"/>
              </w:rPr>
              <w:t>自身原因</w:t>
            </w:r>
          </w:p>
          <w:p w14:paraId="1F50CD01">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因</w:t>
            </w:r>
            <w:r>
              <w:rPr>
                <w:rFonts w:hint="eastAsia" w:ascii="宋体" w:hAnsi="宋体" w:eastAsia="宋体" w:cs="宋体"/>
                <w:sz w:val="24"/>
                <w:szCs w:val="24"/>
                <w:lang w:eastAsia="zh-CN"/>
              </w:rPr>
              <w:t>采购人</w:t>
            </w:r>
            <w:r>
              <w:rPr>
                <w:rFonts w:hint="eastAsia" w:ascii="宋体" w:hAnsi="宋体" w:eastAsia="宋体" w:cs="宋体"/>
                <w:sz w:val="24"/>
                <w:szCs w:val="24"/>
              </w:rPr>
              <w:t>在新建设电路使用过程中操作不当造成设备告警，不影响</w:t>
            </w:r>
            <w:r>
              <w:rPr>
                <w:rFonts w:hint="eastAsia" w:ascii="宋体" w:hAnsi="宋体" w:eastAsia="宋体" w:cs="宋体"/>
                <w:sz w:val="24"/>
                <w:szCs w:val="24"/>
                <w:lang w:eastAsia="zh-CN"/>
              </w:rPr>
              <w:t>采购人</w:t>
            </w:r>
            <w:r>
              <w:rPr>
                <w:rFonts w:hint="eastAsia" w:ascii="宋体" w:hAnsi="宋体" w:eastAsia="宋体" w:cs="宋体"/>
                <w:sz w:val="24"/>
                <w:szCs w:val="24"/>
              </w:rPr>
              <w:t>电路业务正常运行，技术维护人员将提供7ⅹ24小时远程电话技术支持或现场协助用户解决问题。</w:t>
            </w:r>
          </w:p>
          <w:p w14:paraId="4FA35266">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线路中断原因</w:t>
            </w:r>
          </w:p>
          <w:p w14:paraId="1682E9F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定期对新建设电路使用的线路进行巡检。</w:t>
            </w:r>
          </w:p>
          <w:p w14:paraId="4454B330">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设备原因</w:t>
            </w:r>
          </w:p>
          <w:p w14:paraId="038E6363">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定期对相关设备运行情况进行巡检，同时保证备品备件充足。对相关设备问题引发的业务中断，供应商根据实际情况进行相关设备调试和更换备件。</w:t>
            </w:r>
          </w:p>
          <w:p w14:paraId="51963447">
            <w:pPr>
              <w:adjustRightInd w:val="0"/>
              <w:snapToGrid w:val="0"/>
              <w:spacing w:line="360" w:lineRule="auto"/>
              <w:rPr>
                <w:rFonts w:hint="eastAsia" w:ascii="宋体" w:hAnsi="宋体" w:eastAsia="宋体" w:cs="宋体"/>
                <w:b/>
                <w:sz w:val="24"/>
                <w:szCs w:val="24"/>
              </w:rPr>
            </w:pPr>
            <w:r>
              <w:rPr>
                <w:rFonts w:hint="eastAsia" w:ascii="宋体" w:hAnsi="宋体" w:eastAsia="宋体" w:cs="宋体"/>
                <w:b/>
                <w:sz w:val="24"/>
                <w:szCs w:val="24"/>
              </w:rPr>
              <w:t>（</w:t>
            </w:r>
            <w:r>
              <w:rPr>
                <w:rFonts w:hint="eastAsia" w:ascii="宋体" w:hAnsi="宋体" w:eastAsia="宋体" w:cs="宋体"/>
                <w:b/>
                <w:sz w:val="24"/>
                <w:szCs w:val="24"/>
                <w:lang w:val="en-US" w:eastAsia="zh-CN"/>
              </w:rPr>
              <w:t>四</w:t>
            </w:r>
            <w:r>
              <w:rPr>
                <w:rFonts w:hint="eastAsia" w:ascii="宋体" w:hAnsi="宋体" w:eastAsia="宋体" w:cs="宋体"/>
                <w:b/>
                <w:sz w:val="24"/>
                <w:szCs w:val="24"/>
              </w:rPr>
              <w:t>）管理制度要求</w:t>
            </w:r>
          </w:p>
          <w:p w14:paraId="37B1F13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rPr>
              <w:t>供应商至少建立如下管理制度，以加强网络服务工作的落实和管理：</w:t>
            </w:r>
          </w:p>
          <w:p w14:paraId="01C0E6A9">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明确该条电路管理人员岗位职责。</w:t>
            </w:r>
          </w:p>
          <w:p w14:paraId="14066853">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建立应急网络通信保障机制和安全生产责任制。</w:t>
            </w:r>
          </w:p>
          <w:p w14:paraId="35A19C3A">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建立监督、检查、绩效考核等制度。</w:t>
            </w:r>
          </w:p>
          <w:p w14:paraId="124F3D24">
            <w:pPr>
              <w:adjustRightInd w:val="0"/>
              <w:snapToGrid w:val="0"/>
              <w:spacing w:line="360" w:lineRule="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制定各项管理工作的规范化工作流程，以及服务工作准则。</w:t>
            </w:r>
          </w:p>
          <w:p w14:paraId="1219A09F">
            <w:pPr>
              <w:pStyle w:val="2"/>
              <w:rPr>
                <w:rFonts w:hint="eastAsia" w:ascii="宋体" w:hAnsi="宋体" w:eastAsia="宋体" w:cs="宋体"/>
                <w:color w:val="000000"/>
                <w:sz w:val="24"/>
                <w:szCs w:val="24"/>
              </w:rPr>
            </w:pPr>
            <w:r>
              <w:rPr>
                <w:rFonts w:hint="eastAsia" w:ascii="宋体" w:hAnsi="宋体" w:eastAsia="宋体" w:cs="宋体"/>
                <w:b/>
                <w:bCs/>
                <w:snapToGrid w:val="0"/>
                <w:color w:val="000000"/>
                <w:kern w:val="0"/>
                <w:sz w:val="24"/>
                <w:szCs w:val="24"/>
                <w:lang w:eastAsia="en-US"/>
              </w:rPr>
              <w:t>以上</w:t>
            </w:r>
            <w:r>
              <w:rPr>
                <w:rFonts w:hint="eastAsia" w:ascii="宋体" w:hAnsi="宋体" w:eastAsia="宋体" w:cs="宋体"/>
                <w:b/>
                <w:sz w:val="24"/>
                <w:szCs w:val="24"/>
              </w:rPr>
              <w:t>（</w:t>
            </w:r>
            <w:r>
              <w:rPr>
                <w:rFonts w:hint="eastAsia" w:ascii="宋体" w:hAnsi="宋体" w:eastAsia="宋体" w:cs="宋体"/>
                <w:b/>
                <w:sz w:val="24"/>
                <w:szCs w:val="24"/>
                <w:lang w:val="en-US" w:eastAsia="zh-CN"/>
              </w:rPr>
              <w:t>四</w:t>
            </w:r>
            <w:r>
              <w:rPr>
                <w:rFonts w:hint="eastAsia" w:ascii="宋体" w:hAnsi="宋体" w:eastAsia="宋体" w:cs="宋体"/>
                <w:b/>
                <w:sz w:val="24"/>
                <w:szCs w:val="24"/>
              </w:rPr>
              <w:t>）</w:t>
            </w:r>
            <w:r>
              <w:rPr>
                <w:rFonts w:hint="eastAsia" w:ascii="宋体" w:hAnsi="宋体" w:eastAsia="宋体" w:cs="宋体"/>
                <w:b/>
                <w:bCs/>
                <w:snapToGrid w:val="0"/>
                <w:color w:val="000000"/>
                <w:kern w:val="0"/>
                <w:sz w:val="24"/>
                <w:szCs w:val="24"/>
                <w:lang w:val="en-US" w:eastAsia="zh-CN"/>
              </w:rPr>
              <w:t>1-4项</w:t>
            </w:r>
            <w:r>
              <w:rPr>
                <w:rFonts w:hint="eastAsia" w:ascii="宋体" w:hAnsi="宋体" w:eastAsia="宋体" w:cs="宋体"/>
                <w:b/>
                <w:bCs/>
                <w:snapToGrid w:val="0"/>
                <w:color w:val="000000"/>
                <w:kern w:val="0"/>
                <w:sz w:val="24"/>
                <w:szCs w:val="24"/>
                <w:lang w:eastAsia="en-US"/>
              </w:rPr>
              <w:t>管理制度供应商在成交后需向采购人提供纸质文档并加盖公章。</w:t>
            </w:r>
          </w:p>
        </w:tc>
        <w:tc>
          <w:tcPr>
            <w:tcW w:w="1224" w:type="dxa"/>
            <w:noWrap/>
            <w:vAlign w:val="center"/>
          </w:tcPr>
          <w:p w14:paraId="12778D12">
            <w:pPr>
              <w:pStyle w:val="6"/>
              <w:spacing w:line="360" w:lineRule="exact"/>
              <w:ind w:firstLine="0" w:firstLineChars="0"/>
              <w:jc w:val="center"/>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1年</w:t>
            </w:r>
          </w:p>
        </w:tc>
      </w:tr>
    </w:tbl>
    <w:p w14:paraId="13C616CA">
      <w:pPr>
        <w:rPr>
          <w:rFonts w:hint="eastAsia" w:ascii="宋体" w:hAnsi="宋体" w:eastAsia="宋体" w:cs="宋体"/>
          <w:b/>
          <w:bCs/>
          <w:color w:val="auto"/>
          <w:spacing w:val="-6"/>
          <w:sz w:val="24"/>
          <w:szCs w:val="24"/>
          <w:highlight w:val="none"/>
          <w:lang w:eastAsia="zh-CN"/>
        </w:rPr>
      </w:pPr>
    </w:p>
    <w:p w14:paraId="5F889989">
      <w:pPr>
        <w:spacing w:line="400" w:lineRule="exact"/>
        <w:rPr>
          <w:rFonts w:hint="eastAsia"/>
          <w:color w:val="auto"/>
          <w:highlight w:val="none"/>
          <w:lang w:eastAsia="zh-CN"/>
        </w:rPr>
      </w:pPr>
      <w:r>
        <w:rPr>
          <w:rFonts w:hint="eastAsia" w:ascii="宋体" w:hAnsi="宋体" w:eastAsia="宋体" w:cs="宋体"/>
          <w:b/>
          <w:color w:val="auto"/>
          <w:spacing w:val="2"/>
          <w:kern w:val="0"/>
          <w:sz w:val="24"/>
          <w:highlight w:val="none"/>
        </w:rPr>
        <w:t>注：</w:t>
      </w:r>
      <w:r>
        <w:rPr>
          <w:rFonts w:hint="eastAsia" w:ascii="宋体" w:hAnsi="宋体" w:eastAsia="宋体" w:cs="宋体"/>
          <w:b/>
          <w:color w:val="auto"/>
          <w:sz w:val="24"/>
          <w:szCs w:val="24"/>
          <w:highlight w:val="none"/>
        </w:rPr>
        <w:t>以上</w:t>
      </w:r>
      <w:r>
        <w:rPr>
          <w:rFonts w:hint="eastAsia" w:ascii="宋体" w:hAnsi="宋体" w:eastAsia="宋体" w:cs="宋体"/>
          <w:b/>
          <w:color w:val="auto"/>
          <w:sz w:val="24"/>
          <w:szCs w:val="24"/>
          <w:highlight w:val="none"/>
          <w:lang w:eastAsia="zh-CN"/>
        </w:rPr>
        <w:t>所有的服务要求</w:t>
      </w:r>
      <w:r>
        <w:rPr>
          <w:rFonts w:hint="eastAsia" w:ascii="宋体" w:hAnsi="宋体" w:eastAsia="宋体" w:cs="宋体"/>
          <w:b/>
          <w:color w:val="auto"/>
          <w:sz w:val="24"/>
          <w:szCs w:val="24"/>
          <w:highlight w:val="none"/>
        </w:rPr>
        <w:t>为必须满足项，否则作无效响应处理。</w:t>
      </w:r>
    </w:p>
    <w:p w14:paraId="266BA256">
      <w:bookmarkStart w:id="1" w:name="_GoBack"/>
      <w:bookmarkEnd w:id="1"/>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232BAA"/>
    <w:rsid w:val="74232BA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annotation text"/>
    <w:basedOn w:val="1"/>
    <w:qFormat/>
    <w:uiPriority w:val="0"/>
  </w:style>
  <w:style w:type="paragraph" w:customStyle="1" w:styleId="5">
    <w:name w:val="Table Text"/>
    <w:basedOn w:val="1"/>
    <w:semiHidden/>
    <w:qFormat/>
    <w:uiPriority w:val="0"/>
  </w:style>
  <w:style w:type="paragraph" w:styleId="6">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2026-06-02T06:31:00Z</dcterms:created>
  <dc:creator>江西安澜李欢</dc:creator>
  <cp:lastModifiedBy>江西安澜李欢</cp:lastModifiedBy>
  <dcterms:modified xsi:type="dcterms:W3CDTF">2026-06-02T06:31:36Z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7A0EB792749B40D2B1D90789364DF9F0_11</vt:lpwstr>
  </property>
  <property fmtid="{D5CDD505-2E9C-101B-9397-08002B2CF9AE}" pid="4" name="KSOTemplateDocerSaveRecord">
    <vt:lpwstr>eyJoZGlkIjoiOWJhZWU4ZjE5MDc2NzRjZmFhM2EzNTgwYTZlMDBiNDgiLCJ1c2VySWQiOiI1NDQ4NjM5MjEifQ==</vt:lpwstr>
  </property>
</Properties>
</file>