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0BC0FF">
      <w:pPr>
        <w:widowControl w:val="0"/>
        <w:spacing w:before="63" w:line="224" w:lineRule="auto"/>
        <w:jc w:val="center"/>
        <w:outlineLvl w:val="0"/>
        <w:rPr>
          <w:rFonts w:ascii="宋体" w:hAnsi="宋体" w:eastAsia="宋体" w:cs="宋体"/>
          <w:b/>
          <w:bCs/>
          <w:color w:val="auto"/>
          <w:sz w:val="31"/>
          <w:szCs w:val="31"/>
          <w:highlight w:val="none"/>
          <w:lang w:eastAsia="zh-CN"/>
        </w:rPr>
      </w:pPr>
      <w:r>
        <w:rPr>
          <w:rFonts w:ascii="宋体" w:hAnsi="宋体" w:eastAsia="宋体" w:cs="宋体"/>
          <w:b/>
          <w:bCs/>
          <w:color w:val="auto"/>
          <w:spacing w:val="9"/>
          <w:sz w:val="31"/>
          <w:szCs w:val="31"/>
          <w:highlight w:val="none"/>
          <w:lang w:eastAsia="zh-CN"/>
        </w:rPr>
        <w:t>采购需求</w:t>
      </w:r>
    </w:p>
    <w:p w14:paraId="5F5604EE">
      <w:pPr>
        <w:widowControl w:val="0"/>
        <w:spacing w:line="309" w:lineRule="auto"/>
        <w:jc w:val="center"/>
        <w:rPr>
          <w:color w:val="auto"/>
          <w:highlight w:val="none"/>
          <w:lang w:eastAsia="zh-CN"/>
        </w:rPr>
      </w:pPr>
    </w:p>
    <w:p w14:paraId="12DA3B99">
      <w:pPr>
        <w:widowControl w:val="0"/>
        <w:spacing w:before="78" w:line="219" w:lineRule="auto"/>
        <w:outlineLvl w:val="1"/>
        <w:rPr>
          <w:rFonts w:hint="eastAsia" w:ascii="宋体" w:hAnsi="宋体" w:eastAsia="宋体" w:cs="宋体"/>
          <w:color w:val="auto"/>
          <w:highlight w:val="none"/>
        </w:rPr>
      </w:pPr>
      <w:bookmarkStart w:id="0" w:name="_Toc226"/>
      <w:r>
        <w:rPr>
          <w:rFonts w:hint="eastAsia" w:ascii="宋体" w:hAnsi="宋体" w:eastAsia="宋体" w:cs="宋体"/>
          <w:b/>
          <w:bCs/>
          <w:color w:val="auto"/>
          <w:spacing w:val="-5"/>
          <w:sz w:val="24"/>
          <w:szCs w:val="24"/>
          <w:highlight w:val="none"/>
          <w:lang w:eastAsia="zh-CN"/>
        </w:rPr>
        <w:t>一、服务要求</w:t>
      </w:r>
      <w:bookmarkEnd w:id="0"/>
    </w:p>
    <w:tbl>
      <w:tblPr>
        <w:tblStyle w:val="3"/>
        <w:tblW w:w="90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6379"/>
        <w:gridCol w:w="1227"/>
      </w:tblGrid>
      <w:tr w14:paraId="2838D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418" w:type="dxa"/>
            <w:noWrap/>
            <w:vAlign w:val="center"/>
          </w:tcPr>
          <w:p w14:paraId="3D56D763">
            <w:pPr>
              <w:spacing w:line="36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lang w:eastAsia="zh-CN"/>
              </w:rPr>
              <w:t>服务</w:t>
            </w:r>
            <w:r>
              <w:rPr>
                <w:rFonts w:hint="eastAsia" w:ascii="宋体" w:hAnsi="宋体" w:eastAsia="宋体" w:cs="宋体"/>
                <w:b/>
                <w:bCs/>
                <w:color w:val="000000"/>
                <w:kern w:val="0"/>
                <w:sz w:val="24"/>
                <w:szCs w:val="24"/>
              </w:rPr>
              <w:t>名称</w:t>
            </w:r>
          </w:p>
        </w:tc>
        <w:tc>
          <w:tcPr>
            <w:tcW w:w="6379" w:type="dxa"/>
            <w:noWrap/>
            <w:vAlign w:val="center"/>
          </w:tcPr>
          <w:p w14:paraId="747E0170">
            <w:pPr>
              <w:spacing w:line="36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sz w:val="24"/>
                <w:szCs w:val="24"/>
                <w:lang w:eastAsia="zh-CN"/>
              </w:rPr>
              <w:t>服务</w:t>
            </w:r>
            <w:r>
              <w:rPr>
                <w:rFonts w:hint="eastAsia" w:ascii="宋体" w:hAnsi="宋体" w:eastAsia="宋体" w:cs="宋体"/>
                <w:b/>
                <w:bCs/>
                <w:color w:val="000000"/>
                <w:sz w:val="24"/>
                <w:szCs w:val="24"/>
              </w:rPr>
              <w:t>要求</w:t>
            </w:r>
          </w:p>
        </w:tc>
        <w:tc>
          <w:tcPr>
            <w:tcW w:w="1227" w:type="dxa"/>
            <w:noWrap/>
            <w:vAlign w:val="center"/>
          </w:tcPr>
          <w:p w14:paraId="707BF04F">
            <w:pPr>
              <w:spacing w:line="36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p w14:paraId="4A2029AF">
            <w:pPr>
              <w:spacing w:line="360" w:lineRule="auto"/>
              <w:jc w:val="center"/>
              <w:rPr>
                <w:rFonts w:hint="eastAsia" w:ascii="宋体" w:hAnsi="宋体" w:eastAsia="宋体" w:cs="宋体"/>
                <w:b/>
                <w:bCs/>
                <w:color w:val="000000"/>
                <w:kern w:val="0"/>
                <w:sz w:val="24"/>
                <w:szCs w:val="24"/>
                <w:lang w:eastAsia="zh-CN"/>
              </w:rPr>
            </w:pPr>
            <w:r>
              <w:rPr>
                <w:rFonts w:hint="eastAsia" w:ascii="宋体" w:hAnsi="宋体" w:eastAsia="宋体" w:cs="宋体"/>
                <w:b/>
                <w:bCs/>
                <w:color w:val="000000"/>
                <w:kern w:val="0"/>
                <w:sz w:val="24"/>
                <w:szCs w:val="24"/>
                <w:lang w:eastAsia="zh-CN"/>
              </w:rPr>
              <w:t>（单位）</w:t>
            </w:r>
          </w:p>
        </w:tc>
      </w:tr>
      <w:tr w14:paraId="74CCA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1418" w:type="dxa"/>
            <w:noWrap/>
            <w:vAlign w:val="center"/>
          </w:tcPr>
          <w:p w14:paraId="29E24DC4">
            <w:pPr>
              <w:spacing w:line="360" w:lineRule="auto"/>
              <w:jc w:val="center"/>
              <w:rPr>
                <w:rFonts w:hint="eastAsia" w:ascii="宋体" w:hAnsi="宋体" w:eastAsia="宋体" w:cs="宋体"/>
                <w:b/>
                <w:color w:val="000000"/>
                <w:kern w:val="0"/>
                <w:sz w:val="24"/>
                <w:szCs w:val="24"/>
              </w:rPr>
            </w:pPr>
            <w:r>
              <w:rPr>
                <w:rFonts w:hint="eastAsia" w:ascii="宋体" w:hAnsi="宋体" w:eastAsia="宋体" w:cs="宋体"/>
                <w:color w:val="000000"/>
                <w:sz w:val="24"/>
                <w:szCs w:val="24"/>
              </w:rPr>
              <w:t>200M教育网出口</w:t>
            </w:r>
          </w:p>
        </w:tc>
        <w:tc>
          <w:tcPr>
            <w:tcW w:w="6379" w:type="dxa"/>
            <w:noWrap/>
            <w:vAlign w:val="top"/>
          </w:tcPr>
          <w:p w14:paraId="4E3FCC94">
            <w:pPr>
              <w:pStyle w:val="2"/>
              <w:spacing w:after="0" w:line="360" w:lineRule="auto"/>
              <w:ind w:left="0" w:leftChars="0" w:firstLine="0" w:firstLineChars="0"/>
              <w:rPr>
                <w:rFonts w:hint="eastAsia" w:ascii="宋体" w:hAnsi="宋体" w:eastAsia="宋体" w:cs="宋体"/>
                <w:b w:val="0"/>
                <w:bCs w:val="0"/>
                <w:kern w:val="0"/>
                <w:sz w:val="24"/>
                <w:szCs w:val="24"/>
              </w:rPr>
            </w:pPr>
            <w:r>
              <w:rPr>
                <w:rFonts w:hint="eastAsia" w:ascii="宋体" w:hAnsi="宋体" w:eastAsia="宋体" w:cs="宋体"/>
                <w:b w:val="0"/>
                <w:bCs w:val="0"/>
                <w:kern w:val="0"/>
                <w:sz w:val="24"/>
                <w:szCs w:val="24"/>
              </w:rPr>
              <w:t>1.服务内容：</w:t>
            </w:r>
          </w:p>
          <w:p w14:paraId="75870FC6">
            <w:pPr>
              <w:pStyle w:val="2"/>
              <w:spacing w:after="0" w:line="360" w:lineRule="auto"/>
              <w:ind w:left="0" w:leftChars="0" w:firstLine="0" w:firstLineChars="0"/>
              <w:rPr>
                <w:rFonts w:hint="eastAsia" w:ascii="宋体" w:hAnsi="宋体" w:eastAsia="宋体" w:cs="宋体"/>
                <w:b w:val="0"/>
                <w:bCs w:val="0"/>
                <w:kern w:val="0"/>
                <w:sz w:val="24"/>
                <w:szCs w:val="24"/>
              </w:rPr>
            </w:pPr>
            <w:r>
              <w:rPr>
                <w:rFonts w:hint="eastAsia" w:ascii="宋体" w:hAnsi="宋体" w:eastAsia="宋体" w:cs="宋体"/>
                <w:b w:val="0"/>
                <w:bCs w:val="0"/>
                <w:kern w:val="0"/>
                <w:sz w:val="24"/>
                <w:szCs w:val="24"/>
              </w:rPr>
              <w:t>（1）IPV4带宽： IPV4国内带宽包月≥200M、IPV4地址≥256个。</w:t>
            </w:r>
          </w:p>
          <w:p w14:paraId="1BD3DE2B">
            <w:pPr>
              <w:pStyle w:val="2"/>
              <w:numPr>
                <w:ilvl w:val="0"/>
                <w:numId w:val="0"/>
              </w:numPr>
              <w:spacing w:after="0" w:line="360" w:lineRule="auto"/>
              <w:rPr>
                <w:rFonts w:hint="eastAsia" w:ascii="宋体" w:hAnsi="宋体" w:eastAsia="宋体" w:cs="宋体"/>
                <w:b w:val="0"/>
                <w:bCs w:val="0"/>
                <w:kern w:val="0"/>
                <w:sz w:val="24"/>
                <w:szCs w:val="24"/>
              </w:rPr>
            </w:pPr>
            <w:r>
              <w:rPr>
                <w:rFonts w:hint="eastAsia" w:ascii="宋体" w:hAnsi="宋体" w:eastAsia="宋体" w:cs="宋体"/>
                <w:b w:val="0"/>
                <w:bCs w:val="0"/>
                <w:kern w:val="0"/>
                <w:sz w:val="24"/>
                <w:szCs w:val="24"/>
                <w:lang w:eastAsia="zh-CN"/>
              </w:rPr>
              <w:t>（</w:t>
            </w:r>
            <w:r>
              <w:rPr>
                <w:rFonts w:hint="eastAsia" w:ascii="宋体" w:hAnsi="宋体" w:eastAsia="宋体" w:cs="宋体"/>
                <w:b w:val="0"/>
                <w:bCs w:val="0"/>
                <w:kern w:val="0"/>
                <w:sz w:val="24"/>
                <w:szCs w:val="24"/>
                <w:lang w:val="en-US" w:eastAsia="zh-CN"/>
              </w:rPr>
              <w:t>2</w:t>
            </w:r>
            <w:r>
              <w:rPr>
                <w:rFonts w:hint="eastAsia" w:ascii="宋体" w:hAnsi="宋体" w:eastAsia="宋体" w:cs="宋体"/>
                <w:b w:val="0"/>
                <w:bCs w:val="0"/>
                <w:kern w:val="0"/>
                <w:sz w:val="24"/>
                <w:szCs w:val="24"/>
                <w:lang w:eastAsia="zh-CN"/>
              </w:rPr>
              <w:t>）</w:t>
            </w:r>
            <w:r>
              <w:rPr>
                <w:rFonts w:hint="eastAsia" w:ascii="宋体" w:hAnsi="宋体" w:eastAsia="宋体" w:cs="宋体"/>
                <w:b w:val="0"/>
                <w:bCs w:val="0"/>
                <w:kern w:val="0"/>
                <w:sz w:val="24"/>
                <w:szCs w:val="24"/>
              </w:rPr>
              <w:t>IPV6带宽：供应商向采购人提供CNGI-CERNET2（IPV6）接入服务，提供免费带宽包月通信服务（如果CNGI-CERNET2商用，则停止免费服务）；子网前缀48位的IPV6地址一组。</w:t>
            </w:r>
          </w:p>
          <w:p w14:paraId="482C6DF0">
            <w:pPr>
              <w:pStyle w:val="2"/>
              <w:numPr>
                <w:ilvl w:val="0"/>
                <w:numId w:val="0"/>
              </w:numPr>
              <w:spacing w:after="0" w:line="360" w:lineRule="auto"/>
              <w:rPr>
                <w:rFonts w:hint="eastAsia" w:ascii="宋体" w:hAnsi="宋体" w:eastAsia="宋体" w:cs="宋体"/>
                <w:b w:val="0"/>
                <w:bCs w:val="0"/>
                <w:kern w:val="0"/>
                <w:sz w:val="24"/>
                <w:szCs w:val="24"/>
              </w:rPr>
            </w:pPr>
            <w:r>
              <w:rPr>
                <w:rFonts w:hint="eastAsia" w:ascii="宋体" w:hAnsi="宋体" w:eastAsia="宋体" w:cs="宋体"/>
                <w:b w:val="0"/>
                <w:bCs w:val="0"/>
                <w:kern w:val="0"/>
                <w:sz w:val="24"/>
                <w:szCs w:val="24"/>
                <w:lang w:val="en-US" w:eastAsia="zh-CN"/>
              </w:rPr>
              <w:t>2.</w:t>
            </w:r>
            <w:r>
              <w:rPr>
                <w:rFonts w:hint="eastAsia" w:ascii="宋体" w:hAnsi="宋体" w:eastAsia="宋体" w:cs="宋体"/>
                <w:b w:val="0"/>
                <w:bCs w:val="0"/>
                <w:kern w:val="0"/>
                <w:sz w:val="24"/>
                <w:szCs w:val="24"/>
              </w:rPr>
              <w:t>详细技术参数要求：</w:t>
            </w:r>
          </w:p>
          <w:p w14:paraId="3FA3EEEB">
            <w:pPr>
              <w:pStyle w:val="5"/>
              <w:spacing w:line="360" w:lineRule="auto"/>
              <w:ind w:firstLine="0" w:firstLineChars="0"/>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200M速率的光纤宽带。</w:t>
            </w:r>
          </w:p>
          <w:p w14:paraId="579871E1">
            <w:pPr>
              <w:pStyle w:val="5"/>
              <w:spacing w:line="360" w:lineRule="auto"/>
              <w:ind w:firstLine="0" w:firstLineChars="0"/>
              <w:rPr>
                <w:rFonts w:hint="eastAsia" w:ascii="宋体" w:hAnsi="宋体" w:eastAsia="宋体" w:cs="宋体"/>
                <w:color w:val="000000"/>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丢包率：指在24小时内以太网帧在客户设备之间传送过程中丢掉的帧数占总发送帧数的百分比。该指标暂定为≤1*10</w:t>
            </w:r>
            <w:r>
              <w:rPr>
                <w:rFonts w:hint="eastAsia" w:ascii="宋体" w:hAnsi="宋体" w:eastAsia="宋体" w:cs="宋体"/>
                <w:sz w:val="24"/>
                <w:szCs w:val="24"/>
                <w:vertAlign w:val="superscript"/>
              </w:rPr>
              <w:t>-6</w:t>
            </w:r>
            <w:r>
              <w:rPr>
                <w:rFonts w:hint="eastAsia" w:ascii="宋体" w:hAnsi="宋体" w:eastAsia="宋体" w:cs="宋体"/>
                <w:sz w:val="24"/>
                <w:szCs w:val="24"/>
              </w:rPr>
              <w:t>。</w:t>
            </w:r>
          </w:p>
          <w:p w14:paraId="5C05BCB1">
            <w:pPr>
              <w:pStyle w:val="5"/>
              <w:spacing w:line="360" w:lineRule="auto"/>
              <w:ind w:firstLine="0" w:firstLineChars="0"/>
              <w:rPr>
                <w:rFonts w:hint="eastAsia" w:ascii="宋体" w:hAnsi="宋体" w:eastAsia="宋体" w:cs="宋体"/>
                <w:color w:val="000000"/>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时延小于60ms。</w:t>
            </w:r>
          </w:p>
          <w:p w14:paraId="022A44E9">
            <w:pPr>
              <w:pStyle w:val="5"/>
              <w:spacing w:line="360" w:lineRule="auto"/>
              <w:ind w:firstLine="0" w:firstLineChars="0"/>
              <w:rPr>
                <w:rFonts w:hint="eastAsia" w:ascii="宋体" w:hAnsi="宋体" w:eastAsia="宋体" w:cs="宋体"/>
                <w:color w:val="000000"/>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每月运营商的网络或线路能够为客户提供正常服务时间占服务总时间的百分比。可用率默认承诺为99％。</w:t>
            </w:r>
          </w:p>
          <w:p w14:paraId="467B775B">
            <w:pPr>
              <w:pStyle w:val="5"/>
              <w:spacing w:line="360" w:lineRule="auto"/>
              <w:ind w:firstLine="0" w:firstLineChars="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 xml:space="preserve"> </w:t>
            </w:r>
            <w:r>
              <w:rPr>
                <w:rFonts w:hint="eastAsia" w:ascii="宋体" w:hAnsi="宋体" w:eastAsia="宋体" w:cs="宋体"/>
                <w:sz w:val="24"/>
                <w:szCs w:val="24"/>
              </w:rPr>
              <w:t>IPV4国内带宽包月≥200M；IPV4地址≥256个。</w:t>
            </w:r>
          </w:p>
          <w:p w14:paraId="030CF3F3">
            <w:pPr>
              <w:pStyle w:val="5"/>
              <w:spacing w:line="360" w:lineRule="auto"/>
              <w:ind w:firstLine="0" w:firstLineChars="0"/>
              <w:rPr>
                <w:rFonts w:hint="eastAsia" w:ascii="宋体" w:hAnsi="宋体" w:eastAsia="宋体" w:cs="宋体"/>
                <w:color w:val="000000"/>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供应商向采购人提供CNGI-CERNET2（IPV6）接入服务，提供免费带宽包月通信服务（如果CNGI-CERNET2商用，则停止免费服务）；子网前缀48位的IPV6地址一组。</w:t>
            </w:r>
          </w:p>
          <w:p w14:paraId="13515B57">
            <w:pPr>
              <w:pStyle w:val="5"/>
              <w:spacing w:line="360" w:lineRule="auto"/>
              <w:ind w:firstLine="0" w:firstLineChars="0"/>
              <w:rPr>
                <w:rFonts w:hint="eastAsia" w:ascii="宋体" w:hAnsi="宋体" w:eastAsia="宋体" w:cs="宋体"/>
                <w:color w:val="000000"/>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w:t>
            </w:r>
            <w:r>
              <w:rPr>
                <w:rFonts w:hint="eastAsia" w:ascii="宋体" w:hAnsi="宋体" w:eastAsia="宋体" w:cs="宋体"/>
                <w:sz w:val="24"/>
                <w:szCs w:val="24"/>
              </w:rPr>
              <w:t>用户指定edu.cn域名一个</w:t>
            </w:r>
          </w:p>
        </w:tc>
        <w:tc>
          <w:tcPr>
            <w:tcW w:w="1227" w:type="dxa"/>
            <w:noWrap/>
            <w:vAlign w:val="center"/>
          </w:tcPr>
          <w:p w14:paraId="18B32EDB">
            <w:pPr>
              <w:pStyle w:val="5"/>
              <w:spacing w:line="360" w:lineRule="auto"/>
              <w:ind w:firstLine="0" w:firstLineChars="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1年</w:t>
            </w:r>
          </w:p>
        </w:tc>
      </w:tr>
    </w:tbl>
    <w:p w14:paraId="07BA473A">
      <w:pPr>
        <w:rPr>
          <w:rFonts w:hint="eastAsia" w:ascii="宋体" w:hAnsi="宋体" w:eastAsia="宋体" w:cs="宋体"/>
          <w:b/>
          <w:bCs/>
          <w:color w:val="auto"/>
          <w:spacing w:val="-6"/>
          <w:sz w:val="24"/>
          <w:szCs w:val="24"/>
          <w:highlight w:val="none"/>
          <w:lang w:eastAsia="zh-CN"/>
        </w:rPr>
      </w:pPr>
    </w:p>
    <w:p w14:paraId="5F889989">
      <w:pPr>
        <w:spacing w:line="400" w:lineRule="exact"/>
        <w:rPr>
          <w:rFonts w:hint="eastAsia"/>
          <w:color w:val="auto"/>
          <w:highlight w:val="none"/>
          <w:lang w:eastAsia="zh-CN"/>
        </w:rPr>
      </w:pPr>
      <w:r>
        <w:rPr>
          <w:rFonts w:hint="eastAsia" w:ascii="宋体" w:hAnsi="宋体" w:eastAsia="宋体" w:cs="宋体"/>
          <w:b/>
          <w:color w:val="auto"/>
          <w:spacing w:val="2"/>
          <w:kern w:val="0"/>
          <w:sz w:val="24"/>
          <w:highlight w:val="none"/>
        </w:rPr>
        <w:t>注：</w:t>
      </w:r>
      <w:r>
        <w:rPr>
          <w:rFonts w:hint="eastAsia" w:ascii="宋体" w:hAnsi="宋体" w:eastAsia="宋体" w:cs="宋体"/>
          <w:b/>
          <w:color w:val="auto"/>
          <w:sz w:val="24"/>
          <w:szCs w:val="24"/>
          <w:highlight w:val="none"/>
        </w:rPr>
        <w:t>以上</w:t>
      </w:r>
      <w:r>
        <w:rPr>
          <w:rFonts w:hint="eastAsia" w:ascii="宋体" w:hAnsi="宋体" w:eastAsia="宋体" w:cs="宋体"/>
          <w:b/>
          <w:color w:val="auto"/>
          <w:sz w:val="24"/>
          <w:szCs w:val="24"/>
          <w:highlight w:val="none"/>
          <w:lang w:eastAsia="zh-CN"/>
        </w:rPr>
        <w:t>所有的服务要求</w:t>
      </w:r>
      <w:r>
        <w:rPr>
          <w:rFonts w:hint="eastAsia" w:ascii="宋体" w:hAnsi="宋体" w:eastAsia="宋体" w:cs="宋体"/>
          <w:b/>
          <w:color w:val="auto"/>
          <w:sz w:val="24"/>
          <w:szCs w:val="24"/>
          <w:highlight w:val="none"/>
        </w:rPr>
        <w:t>为必须满足项，否则作无效响应处理。</w:t>
      </w:r>
    </w:p>
    <w:p w14:paraId="6CC4AC93">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0A5550"/>
    <w:rsid w:val="630A55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Indent"/>
    <w:basedOn w:val="1"/>
    <w:unhideWhenUsed/>
    <w:qFormat/>
    <w:uiPriority w:val="99"/>
    <w:pPr>
      <w:spacing w:after="120"/>
      <w:ind w:left="420" w:leftChars="200"/>
    </w:pPr>
    <w:rPr>
      <w:rFonts w:eastAsia="微软雅黑"/>
      <w:sz w:val="24"/>
      <w:szCs w:val="20"/>
    </w:rPr>
  </w:style>
  <w:style w:type="paragraph" w:styleId="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2026-06-02T06:06:00Z</dcterms:created>
  <dc:creator>江西安澜李欢</dc:creator>
  <cp:lastModifiedBy>江西安澜李欢</cp:lastModifiedBy>
  <dcterms:modified xsi:type="dcterms:W3CDTF">2026-06-02T06:06:39Z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26308D33061C44C79DB747E06D3393D9_11</vt:lpwstr>
  </property>
  <property fmtid="{D5CDD505-2E9C-101B-9397-08002B2CF9AE}" pid="4" name="KSOTemplateDocerSaveRecord">
    <vt:lpwstr>eyJoZGlkIjoiOWJhZWU4ZjE5MDc2NzRjZmFhM2EzNTgwYTZlMDBiNDgiLCJ1c2VySWQiOiI1NDQ4NjM5MjEifQ==</vt:lpwstr>
  </property>
</Properties>
</file>