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E925C9">
      <w:pPr>
        <w:widowControl w:val="0"/>
        <w:spacing w:line="257" w:lineRule="auto"/>
        <w:jc w:val="center"/>
        <w:rPr>
          <w:b/>
          <w:bCs/>
          <w:color w:val="000000" w:themeColor="text1"/>
          <w:sz w:val="28"/>
          <w:szCs w:val="28"/>
          <w14:textFill>
            <w14:solidFill>
              <w14:schemeClr w14:val="tx1"/>
            </w14:solidFill>
          </w14:textFill>
        </w:rPr>
      </w:pPr>
      <w:r>
        <w:rPr>
          <w:rFonts w:hint="eastAsia"/>
          <w:b/>
          <w:bCs/>
          <w:color w:val="000000" w:themeColor="text1"/>
          <w:sz w:val="28"/>
          <w:szCs w:val="28"/>
          <w14:textFill>
            <w14:solidFill>
              <w14:schemeClr w14:val="tx1"/>
            </w14:solidFill>
          </w14:textFill>
        </w:rPr>
        <w:t>采购需求</w:t>
      </w:r>
    </w:p>
    <w:p w14:paraId="2E5B9924">
      <w:pPr>
        <w:widowControl w:val="0"/>
        <w:spacing w:line="258" w:lineRule="auto"/>
        <w:rPr>
          <w:color w:val="000000" w:themeColor="text1"/>
          <w14:textFill>
            <w14:solidFill>
              <w14:schemeClr w14:val="tx1"/>
            </w14:solidFill>
          </w14:textFill>
        </w:rPr>
      </w:pPr>
    </w:p>
    <w:tbl>
      <w:tblPr>
        <w:tblStyle w:val="2"/>
        <w:tblpPr w:leftFromText="180" w:rightFromText="180" w:vertAnchor="text" w:horzAnchor="page" w:tblpX="974" w:tblpY="274"/>
        <w:tblOverlap w:val="never"/>
        <w:tblW w:w="10303" w:type="dxa"/>
        <w:tblInd w:w="0" w:type="dxa"/>
        <w:tblLayout w:type="fixed"/>
        <w:tblCellMar>
          <w:top w:w="0" w:type="dxa"/>
          <w:left w:w="108" w:type="dxa"/>
          <w:bottom w:w="0" w:type="dxa"/>
          <w:right w:w="108" w:type="dxa"/>
        </w:tblCellMar>
      </w:tblPr>
      <w:tblGrid>
        <w:gridCol w:w="756"/>
        <w:gridCol w:w="951"/>
        <w:gridCol w:w="5677"/>
        <w:gridCol w:w="674"/>
        <w:gridCol w:w="675"/>
        <w:gridCol w:w="1570"/>
      </w:tblGrid>
      <w:tr w14:paraId="4B6FBC0F">
        <w:tblPrEx>
          <w:tblCellMar>
            <w:top w:w="0" w:type="dxa"/>
            <w:left w:w="108" w:type="dxa"/>
            <w:bottom w:w="0" w:type="dxa"/>
            <w:right w:w="108" w:type="dxa"/>
          </w:tblCellMar>
        </w:tblPrEx>
        <w:trPr>
          <w:trHeight w:val="90"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EBD24">
            <w:pPr>
              <w:jc w:val="center"/>
              <w:textAlignment w:val="center"/>
              <w:rPr>
                <w:rFonts w:asciiTheme="minorEastAsia" w:hAnsiTheme="minorEastAsia" w:eastAsiaTheme="minorEastAsia" w:cstheme="minorEastAsia"/>
                <w:sz w:val="24"/>
                <w:szCs w:val="24"/>
              </w:rPr>
            </w:pPr>
            <w:bookmarkStart w:id="0" w:name="_GoBack"/>
            <w:r>
              <w:rPr>
                <w:rFonts w:hint="eastAsia" w:asciiTheme="minorEastAsia" w:hAnsiTheme="minorEastAsia" w:eastAsiaTheme="minorEastAsia" w:cstheme="minorEastAsia"/>
                <w:sz w:val="24"/>
                <w:szCs w:val="24"/>
                <w:lang w:eastAsia="zh-CN" w:bidi="ar"/>
              </w:rPr>
              <w:t>序号</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AD75B">
            <w:pPr>
              <w:jc w:val="center"/>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货物</w:t>
            </w:r>
          </w:p>
          <w:p w14:paraId="36A4B0A0">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名称</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8B98C">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 xml:space="preserve">技术参数 </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31E61">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单位</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14602">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数量</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77B3E">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参考图片/说明</w:t>
            </w:r>
          </w:p>
        </w:tc>
      </w:tr>
      <w:tr w14:paraId="34E920A3">
        <w:tblPrEx>
          <w:tblCellMar>
            <w:top w:w="0" w:type="dxa"/>
            <w:left w:w="108" w:type="dxa"/>
            <w:bottom w:w="0" w:type="dxa"/>
            <w:right w:w="108" w:type="dxa"/>
          </w:tblCellMar>
        </w:tblPrEx>
        <w:trPr>
          <w:trHeight w:val="416"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E70AE">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5915D">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呼吸机</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66192">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1.适用于成人、小儿和婴幼儿进行通气辅助及呼吸支持的呼吸机。</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2.电动电控呼吸机，涡轮驱动产生空气气源，方便进行转运。</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3.主机重量10千克（不含台车），方便手提转运。</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4.采用不小于12英寸彩色TFT触摸控制屏，分辨率1280*800。</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5.中文操作界面、中文报警、操作提示信息、参数调节防错确认。具备便利的锁屏功能。</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6.不小于120分钟内置后备可充电电池（1块电池），可选配电池延长至不小于240分钟（2块电池）。电池总剩余电量能显示在屏幕上。</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7.吸气安全阀组件可拆卸，并能高温高压蒸汽消毒（134℃），以防止交叉感染。</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8.呼气阀组件一体化设计可拆卸，内置金属膜片压差流量传感器，精度高，寿命长，并能高温高压蒸汽消毒（134℃），以防止交叉感染。</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二、呼吸模式及功能</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常规模式：容量控制通气下的辅助控制通气A/C和同步间歇指令通气SIMV（容量模式流速波形可调方波、50%或100%递减波）、压力控制通气下的辅助控制通气A/C和同步间歇指令通气SIMV、持续气道正压通气和压力支持CPAP/PSV、窒息通气模式及SIGH叹息模式。</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可选高级模式：双相气道正压通气（例如BIPAP或Bi-vent或Bilevel），压力调节容量控制通气（例如AUTOFLOW或PRVC或VC+）及其压力调节容量控制同步间歇指令通气SIMV（例如SIMV-PRVC）、压力释放通气APRV，智能通气模式（如自适应分钟通气AMV，自适应支持通气ASV等），心肺复苏通气模式（如CPRV，CPR mode等）。</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3.具备无创通气模式。</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4.具备通气模式自定义显示功能，方便用户个性化配置常用通气模式。</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5.具备高流速氧疗功能，氧疗流速不低于80L/min，并具有氧疗计时功能。</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6.具有智能同步技术提高病人自主呼吸时的舒适度和人机同步性，具备吸气触发、压力上升时间、呼气触发自动调节功能，无需医护人员频繁手动调节上述参数。</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7.其他功能：具备手动呼吸、吸气保持、呼气保持、同步雾化、纯氧灌注、智能吸痰、内源性PEEP、口腔闭合压P0.1和最大吸气负压NIF的测定。</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8.具有动态肺视图，图形化实时显示肺力学参数。</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9.具备自动气管插管阻力补偿功能（例如TRC或ATRC或ATC），插管孔径和补偿百分比可设，使插管末端的压力与呼吸机压力设置值一致。</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10. 具备低流速P-V工具，帮助确定最佳PEEP设置值。</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三、设置参数要求</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1.潮气量：20ml-2000ml</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2.呼吸频率：1-100次/min</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3.SIMV频率：1-60次/min</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4.吸/呼比：1:10-4:1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5.最大峰值流速：≥210L/min</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6.吸气压力： 5-80 cmH2O</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7.压力支持：0-80cmH2O</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8.呼气末正压PEEP：0-50 cmH2O</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9.流量触发灵敏度： 0.5-20L/ min</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10.呼气触发灵敏度：Auto, 1-85%</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11.氧浓度：21-100%</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12.压力上升时间：0-2s</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13.吸气时间：0.1-10s  (0.2-30s @ DuoLevel)</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四、监测参数要求</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1.气道压力参数：呼气末正压PEEP、气道峰压、平台压、平均压。</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2.分钟通气量参数：总的分钟呼出通气量、自主呼吸分钟呼出通气量、泄漏的分钟通气量、气体泄漏百分比。</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3.潮气量参数：吸入潮气量、呼出潮气量、单位理想体重输送的潮气量（例如TVe/IBW或VT/PBW）。</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4.呼吸频率参数：总呼吸频率、自主呼吸频率、机控呼吸频率。</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5.氧浓度参数：吸入氧浓度。</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6.肺力学参数：吸气阻力、呼气阻力、静态顺应性、动态顺应性、呼气时间常数。</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7.其他参数：具备浅快呼吸指数、呼吸功监测。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8.具备压力/容量、容量/流速、流速/压力环3种呼吸环监测，最多可同屏显示2种环图。</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9.呼吸波形及呼吸环可冻结，呼吸环可存储、对比。支持波形、环图、监测值同屏显示。</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10.趋势记录：提供72小时的全部监测参数的趋势图、表分析。</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9EE23">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1953A">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683C0">
            <w:pPr>
              <w:jc w:val="center"/>
              <w:rPr>
                <w:rFonts w:asciiTheme="minorEastAsia" w:hAnsiTheme="minorEastAsia" w:eastAsiaTheme="minorEastAsia" w:cstheme="minorEastAsia"/>
                <w:sz w:val="24"/>
                <w:szCs w:val="24"/>
              </w:rPr>
            </w:pPr>
          </w:p>
        </w:tc>
      </w:tr>
      <w:tr w14:paraId="3A795653">
        <w:tblPrEx>
          <w:tblCellMar>
            <w:top w:w="0" w:type="dxa"/>
            <w:left w:w="108" w:type="dxa"/>
            <w:bottom w:w="0" w:type="dxa"/>
            <w:right w:w="108" w:type="dxa"/>
          </w:tblCellMar>
        </w:tblPrEx>
        <w:trPr>
          <w:trHeight w:val="2542" w:hRule="atLeast"/>
        </w:trPr>
        <w:tc>
          <w:tcPr>
            <w:tcW w:w="756" w:type="dxa"/>
            <w:tcBorders>
              <w:top w:val="single" w:color="000000" w:sz="4" w:space="0"/>
              <w:left w:val="single" w:color="000000" w:sz="4" w:space="0"/>
              <w:bottom w:val="single" w:color="auto" w:sz="4" w:space="0"/>
              <w:right w:val="single" w:color="000000" w:sz="4" w:space="0"/>
            </w:tcBorders>
            <w:shd w:val="clear" w:color="auto" w:fill="auto"/>
            <w:vAlign w:val="center"/>
          </w:tcPr>
          <w:p w14:paraId="6E95D66B">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w:t>
            </w:r>
          </w:p>
        </w:tc>
        <w:tc>
          <w:tcPr>
            <w:tcW w:w="951" w:type="dxa"/>
            <w:tcBorders>
              <w:top w:val="single" w:color="000000" w:sz="4" w:space="0"/>
              <w:left w:val="single" w:color="000000" w:sz="4" w:space="0"/>
              <w:bottom w:val="single" w:color="auto" w:sz="4" w:space="0"/>
              <w:right w:val="single" w:color="000000" w:sz="4" w:space="0"/>
            </w:tcBorders>
            <w:shd w:val="clear" w:color="auto" w:fill="auto"/>
            <w:vAlign w:val="center"/>
          </w:tcPr>
          <w:p w14:paraId="054FB279">
            <w:pPr>
              <w:jc w:val="center"/>
              <w:textAlignment w:val="center"/>
              <w:rPr>
                <w:rFonts w:hint="default" w:asciiTheme="minorEastAsia" w:hAnsiTheme="minorEastAsia" w:eastAsiaTheme="minorEastAsia" w:cstheme="minorEastAsia"/>
                <w:sz w:val="24"/>
                <w:szCs w:val="24"/>
                <w:lang w:val="en-US"/>
              </w:rPr>
            </w:pPr>
            <w:r>
              <w:rPr>
                <w:rFonts w:hint="eastAsia" w:asciiTheme="minorEastAsia" w:hAnsiTheme="minorEastAsia" w:eastAsiaTheme="minorEastAsia" w:cstheme="minorEastAsia"/>
                <w:sz w:val="24"/>
                <w:szCs w:val="24"/>
                <w:lang w:eastAsia="zh-CN" w:bidi="ar"/>
              </w:rPr>
              <w:t>监护仪</w:t>
            </w:r>
            <w:r>
              <w:rPr>
                <w:rFonts w:hint="eastAsia" w:asciiTheme="minorEastAsia" w:hAnsiTheme="minorEastAsia" w:eastAsiaTheme="minorEastAsia" w:cstheme="minorEastAsia"/>
                <w:sz w:val="24"/>
                <w:szCs w:val="24"/>
                <w:lang w:val="en-US" w:eastAsia="zh-CN" w:bidi="ar"/>
              </w:rPr>
              <w:t>1</w:t>
            </w:r>
          </w:p>
        </w:tc>
        <w:tc>
          <w:tcPr>
            <w:tcW w:w="5677" w:type="dxa"/>
            <w:tcBorders>
              <w:top w:val="single" w:color="000000" w:sz="4" w:space="0"/>
              <w:left w:val="single" w:color="000000" w:sz="4" w:space="0"/>
              <w:bottom w:val="single" w:color="auto" w:sz="4" w:space="0"/>
              <w:right w:val="single" w:color="000000" w:sz="4" w:space="0"/>
            </w:tcBorders>
            <w:shd w:val="clear" w:color="auto" w:fill="auto"/>
            <w:vAlign w:val="center"/>
          </w:tcPr>
          <w:p w14:paraId="5D7E7923">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1. 模块化插件式床边监护仪，主机、显示屏和插件槽一体化设计，主机模块插槽数≥6个。</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 监护仪主机（非辅助插件箱）每个槽位均具备插件模块红外通讯接口以及金属硬件通讯接口（非供电接口），保证模块通讯速率及稳定性</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3. ≥15英寸彩色电容触摸屏，≥10通道显示，显示屏亮度自动调节，屏幕支持手势滑动操作，支持穿戴医用防护手套操作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监测参数：</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4. 基本功能模块支持心电，呼吸，心率，无创血压，血氧饱和度，脉搏，双通道体温和双通道有创血压</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5. 可选配基本功能模块从监护仪拔出后作为一个独立的监护仪支持病人的无缝转移，插入监护仪模块插槽作为主机模块，具有独立操作显示屏，屏幕尺寸≥5.5英寸，内置锂电池供电≥4小时，无风扇设计</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6. 转运模块可以实现插入监护仪主机的任意插槽</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7. ECG支持3/5导心电监测，可选配6/12导联心电监测</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8. 心电支持3个分析导联实时动态同步分析，并非多个导联波形同屏显示及12导联静息分析。</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9. 支持室上性心动过速和SVCs/min等室上性心律失常分析</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10. 提供ST段分析功能，适用于成人，小儿和新生儿，支持在专门的窗口中分组显示心脏前壁，下壁和侧壁的ST实时片段和参考片段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11. 支持多达6道IBP波形叠加显示，满足临床对比查看和节约显示空间的需求</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12. 支持升级肌松NMT模块</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13. 可升级具备微创连续血流动力学监测模块，非无创电阻抗法，具有更好的监测准确性，可采用PiCCO或类似技术，实现CCO连续心排量、SVV每搏变异量等血液动力学监测参数，直观观察病人的变化情况</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系统功能：</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14. 具有图形化报警指示功能，帮助医护团队快速识别报警来源</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15. 具有特殊报警音，当监护仪在病人发生致命性参数报警时，发出特殊的报警音进行提示病人处于危急状态</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16. 具备参数组合报警功能（并非早期预警评分EWS），可对患者同时多个参数变化给出统一报警提示，预示病人不同生理系统状态改变，提供≥10个预设组合报警，并允许自定义≥10个组合报警</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17. 具备输注泵用药信息回顾工具，可同时间轴显示病人生命体征参数及用药信息回顾，呈现病人生命体征变化趋势与药物输注流速变化之间的关系</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18. 支持≥100小时趋势表和趋势图回顾，最小分辨率1分钟</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19. 支持≥800条事件回顾。每条报警事件至少能够存储32秒三道相关波形，以及报警触发时所有测量参数值</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20. 具备≥40小时全息波形的存储与回顾功能</w:t>
            </w:r>
          </w:p>
        </w:tc>
        <w:tc>
          <w:tcPr>
            <w:tcW w:w="674" w:type="dxa"/>
            <w:tcBorders>
              <w:top w:val="single" w:color="000000" w:sz="4" w:space="0"/>
              <w:left w:val="single" w:color="000000" w:sz="4" w:space="0"/>
              <w:bottom w:val="single" w:color="auto" w:sz="4" w:space="0"/>
              <w:right w:val="single" w:color="000000" w:sz="4" w:space="0"/>
            </w:tcBorders>
            <w:shd w:val="clear" w:color="auto" w:fill="auto"/>
            <w:vAlign w:val="center"/>
          </w:tcPr>
          <w:p w14:paraId="57FA21DC">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auto" w:sz="4" w:space="0"/>
              <w:right w:val="single" w:color="000000" w:sz="4" w:space="0"/>
            </w:tcBorders>
            <w:shd w:val="clear" w:color="auto" w:fill="auto"/>
            <w:vAlign w:val="center"/>
          </w:tcPr>
          <w:p w14:paraId="31F1CF36">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w:t>
            </w:r>
          </w:p>
        </w:tc>
        <w:tc>
          <w:tcPr>
            <w:tcW w:w="1570" w:type="dxa"/>
            <w:tcBorders>
              <w:top w:val="single" w:color="000000" w:sz="4" w:space="0"/>
              <w:left w:val="single" w:color="000000" w:sz="4" w:space="0"/>
              <w:bottom w:val="single" w:color="auto" w:sz="4" w:space="0"/>
              <w:right w:val="single" w:color="000000" w:sz="4" w:space="0"/>
            </w:tcBorders>
            <w:shd w:val="clear" w:color="auto" w:fill="auto"/>
            <w:vAlign w:val="center"/>
          </w:tcPr>
          <w:p w14:paraId="24A71FBD">
            <w:pPr>
              <w:jc w:val="center"/>
              <w:rPr>
                <w:rFonts w:asciiTheme="minorEastAsia" w:hAnsiTheme="minorEastAsia" w:eastAsiaTheme="minorEastAsia" w:cstheme="minorEastAsia"/>
                <w:sz w:val="24"/>
                <w:szCs w:val="24"/>
              </w:rPr>
            </w:pPr>
          </w:p>
        </w:tc>
      </w:tr>
      <w:tr w14:paraId="490246C9">
        <w:tblPrEx>
          <w:tblCellMar>
            <w:top w:w="0" w:type="dxa"/>
            <w:left w:w="108" w:type="dxa"/>
            <w:bottom w:w="0" w:type="dxa"/>
            <w:right w:w="108" w:type="dxa"/>
          </w:tblCellMar>
        </w:tblPrEx>
        <w:trPr>
          <w:trHeight w:val="2756" w:hRule="atLeast"/>
        </w:trPr>
        <w:tc>
          <w:tcPr>
            <w:tcW w:w="756" w:type="dxa"/>
            <w:tcBorders>
              <w:top w:val="single" w:color="auto" w:sz="4" w:space="0"/>
              <w:left w:val="single" w:color="auto" w:sz="4" w:space="0"/>
              <w:bottom w:val="single" w:color="auto" w:sz="4" w:space="0"/>
              <w:right w:val="single" w:color="auto" w:sz="4" w:space="0"/>
            </w:tcBorders>
            <w:shd w:val="clear" w:color="auto" w:fill="auto"/>
            <w:vAlign w:val="center"/>
          </w:tcPr>
          <w:p w14:paraId="5BF17EA0">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3</w:t>
            </w:r>
          </w:p>
        </w:tc>
        <w:tc>
          <w:tcPr>
            <w:tcW w:w="951" w:type="dxa"/>
            <w:tcBorders>
              <w:top w:val="single" w:color="auto" w:sz="4" w:space="0"/>
              <w:left w:val="single" w:color="auto" w:sz="4" w:space="0"/>
              <w:bottom w:val="single" w:color="auto" w:sz="4" w:space="0"/>
              <w:right w:val="single" w:color="auto" w:sz="4" w:space="0"/>
            </w:tcBorders>
            <w:shd w:val="clear" w:color="auto" w:fill="auto"/>
            <w:vAlign w:val="center"/>
          </w:tcPr>
          <w:p w14:paraId="5A939D1C">
            <w:pPr>
              <w:jc w:val="center"/>
              <w:textAlignment w:val="center"/>
              <w:rPr>
                <w:rFonts w:hint="default" w:asciiTheme="minorEastAsia" w:hAnsiTheme="minorEastAsia" w:eastAsiaTheme="minorEastAsia" w:cstheme="minorEastAsia"/>
                <w:sz w:val="24"/>
                <w:szCs w:val="24"/>
                <w:lang w:val="en-US"/>
              </w:rPr>
            </w:pPr>
            <w:r>
              <w:rPr>
                <w:rFonts w:hint="eastAsia" w:asciiTheme="minorEastAsia" w:hAnsiTheme="minorEastAsia" w:eastAsiaTheme="minorEastAsia" w:cstheme="minorEastAsia"/>
                <w:sz w:val="24"/>
                <w:szCs w:val="24"/>
                <w:lang w:eastAsia="zh-CN" w:bidi="ar"/>
              </w:rPr>
              <w:t>监护仪</w:t>
            </w:r>
            <w:r>
              <w:rPr>
                <w:rFonts w:hint="eastAsia" w:asciiTheme="minorEastAsia" w:hAnsiTheme="minorEastAsia" w:eastAsiaTheme="minorEastAsia" w:cstheme="minorEastAsia"/>
                <w:sz w:val="24"/>
                <w:szCs w:val="24"/>
                <w:lang w:val="en-US" w:eastAsia="zh-CN" w:bidi="ar"/>
              </w:rPr>
              <w:t>2</w:t>
            </w:r>
          </w:p>
        </w:tc>
        <w:tc>
          <w:tcPr>
            <w:tcW w:w="56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BFF24F8">
            <w:pPr>
              <w:jc w:val="both"/>
              <w:textAlignment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bidi="ar"/>
              </w:rPr>
              <w:t>1.适用于成人、小儿、新生儿的监测。2.转运监护仪，满足救护车，直升飞机和固定翼飞机,通过相关转运标准。≥5.5英寸彩色触摸电容显示屏，支持屏幕手势滑动操作，支持穿戴医用防护手套操作， 3.整机重量＜1Kg，小巧便携。4.IP44防尘防水，易清洁和适用医院内外不同临床救治环境。5.内置锂电池供电，支持≥5小时的持续监测。6.内置DC电源接口，可以进行车载充电。7.具备3/5导心电，阻抗呼吸，血氧、无创血压、2通道体温。8.支持2通道有创血压及模拟输出/除颤同步。9.可选配内置EtCO2监测，与主机一体化设计，最小抽气流速50ml/min；10.选配便携插件箱，可扩展1个参数插槽，满足插入更多参数模块的监测扩展。11.可选配外置2通道IBP有创血压监测模块，主机最多支持4通道IBP有创压力监测；12.可选配外置主流、旁流、微流EtCO2监测模块；</w:t>
            </w:r>
            <w:r>
              <w:rPr>
                <w:rFonts w:asciiTheme="minorEastAsia" w:hAnsiTheme="minorEastAsia" w:eastAsiaTheme="minorEastAsia" w:cstheme="minorEastAsia"/>
                <w:color w:val="auto"/>
                <w:sz w:val="24"/>
                <w:szCs w:val="24"/>
                <w:lang w:eastAsia="zh-CN" w:bidi="ar"/>
              </w:rPr>
              <w:t>13.</w:t>
            </w:r>
            <w:r>
              <w:rPr>
                <w:rFonts w:hint="eastAsia" w:asciiTheme="minorEastAsia" w:hAnsiTheme="minorEastAsia" w:eastAsiaTheme="minorEastAsia" w:cstheme="minorEastAsia"/>
                <w:color w:val="auto"/>
                <w:sz w:val="24"/>
                <w:szCs w:val="24"/>
                <w:lang w:eastAsia="zh-CN" w:bidi="ar"/>
              </w:rPr>
              <w:t>可具备微创连续血流动力学监测模块，非无创电阻抗法，具有更好的监测准确性，可采用PiCCO或类似技术，实现CCO连续心排量、SVV每搏变异量等血液动力学监测参数，直观观察病人的变化情况；14.可选配19英寸外接显示屏，将模块数据传输显示，进行大屏幕监护，满足临床护理人员在床旁的监护需要。15.支持提供EWS早期预警评分工具，包括NEWS、NEWS2和MEWS，可支持定时自动EWS评分功能，支持动态刷新EWS和EWS报警。16.监护仪支持插入床旁监护仪任意模块插槽作为参数模块使用，即插即用。17.心电支持≥3个分析导联实时动态同步分析，并非多个导联波形同屏显示及12导联静息分析；18.心率测量范围：成人15 -300 bpm，小儿/新生儿15 - 350 bpm。19.波速提供50mm/s，25 mm/s、12.5 mm/s、6.25 mm/s可选。20.滤波模式提供诊断模式（0.05 -150Hz），监护模式（0.5 -40Hz），ST模式（0.05 - 40Hz），手术模式（1-20Hz）。21.支持室上性心动过速和SVCs/min等室上性心律失常分析；22.提供ST段分析，提供显示和存储ST值和每个ST的模板。23.具有QT/QTc测量功能，提供QT，QTc和ΔQTc参数值，QT和QTc实时监测参数测量范围：200～800 ms；24.可显示弱灌注指数（PI）。25.提供双通道体温和温差参数的监测, 并可根据需要更改体温通道标名。25.提供手动、自动间隔、连续、序列和整点五种无创血压测量模式。26.IBP测量范围：-50 – 360 mmHg，支持实时PPV测量。27.≥800条事件回顾。每条报警事件至少能够存储32秒三道相关波形，以及报警触发时所有测量参数值。28.≥800条NIBP测量结果回顾。29.≥40小时全息波形回顾。30.≥100小时趋势数据回顾</w:t>
            </w:r>
          </w:p>
        </w:tc>
        <w:tc>
          <w:tcPr>
            <w:tcW w:w="674" w:type="dxa"/>
            <w:tcBorders>
              <w:top w:val="single" w:color="auto" w:sz="4" w:space="0"/>
              <w:left w:val="single" w:color="auto" w:sz="4" w:space="0"/>
              <w:bottom w:val="single" w:color="auto" w:sz="4" w:space="0"/>
              <w:right w:val="single" w:color="auto" w:sz="4" w:space="0"/>
            </w:tcBorders>
            <w:shd w:val="clear" w:color="auto" w:fill="auto"/>
            <w:vAlign w:val="center"/>
          </w:tcPr>
          <w:p w14:paraId="363A2A37">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auto" w:sz="4" w:space="0"/>
              <w:left w:val="single" w:color="auto" w:sz="4" w:space="0"/>
              <w:bottom w:val="single" w:color="auto" w:sz="4" w:space="0"/>
              <w:right w:val="single" w:color="auto" w:sz="4" w:space="0"/>
            </w:tcBorders>
            <w:shd w:val="clear" w:color="auto" w:fill="auto"/>
            <w:vAlign w:val="center"/>
          </w:tcPr>
          <w:p w14:paraId="70725E03">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w:t>
            </w:r>
          </w:p>
        </w:tc>
        <w:tc>
          <w:tcPr>
            <w:tcW w:w="1570" w:type="dxa"/>
            <w:tcBorders>
              <w:top w:val="single" w:color="auto" w:sz="4" w:space="0"/>
              <w:left w:val="single" w:color="auto" w:sz="4" w:space="0"/>
              <w:bottom w:val="single" w:color="auto" w:sz="4" w:space="0"/>
              <w:right w:val="single" w:color="auto" w:sz="4" w:space="0"/>
            </w:tcBorders>
            <w:shd w:val="clear" w:color="auto" w:fill="auto"/>
            <w:vAlign w:val="center"/>
          </w:tcPr>
          <w:p w14:paraId="6E8D97B7">
            <w:pPr>
              <w:jc w:val="center"/>
              <w:rPr>
                <w:rFonts w:asciiTheme="minorEastAsia" w:hAnsiTheme="minorEastAsia" w:eastAsiaTheme="minorEastAsia" w:cstheme="minorEastAsia"/>
                <w:sz w:val="24"/>
                <w:szCs w:val="24"/>
              </w:rPr>
            </w:pPr>
          </w:p>
        </w:tc>
      </w:tr>
      <w:tr w14:paraId="6D596393">
        <w:tblPrEx>
          <w:tblCellMar>
            <w:top w:w="0" w:type="dxa"/>
            <w:left w:w="108" w:type="dxa"/>
            <w:bottom w:w="0" w:type="dxa"/>
            <w:right w:w="108" w:type="dxa"/>
          </w:tblCellMar>
        </w:tblPrEx>
        <w:trPr>
          <w:trHeight w:val="4696" w:hRule="atLeast"/>
        </w:trPr>
        <w:tc>
          <w:tcPr>
            <w:tcW w:w="756" w:type="dxa"/>
            <w:tcBorders>
              <w:top w:val="single" w:color="auto" w:sz="4" w:space="0"/>
              <w:left w:val="single" w:color="000000" w:sz="4" w:space="0"/>
              <w:bottom w:val="single" w:color="000000" w:sz="4" w:space="0"/>
              <w:right w:val="single" w:color="auto" w:sz="4" w:space="0"/>
            </w:tcBorders>
            <w:shd w:val="clear" w:color="auto" w:fill="auto"/>
            <w:vAlign w:val="center"/>
          </w:tcPr>
          <w:p w14:paraId="776257DF">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4</w:t>
            </w:r>
          </w:p>
        </w:tc>
        <w:tc>
          <w:tcPr>
            <w:tcW w:w="951" w:type="dxa"/>
            <w:tcBorders>
              <w:top w:val="single" w:color="auto" w:sz="4" w:space="0"/>
              <w:left w:val="single" w:color="auto" w:sz="4" w:space="0"/>
              <w:bottom w:val="single" w:color="auto" w:sz="4" w:space="0"/>
              <w:right w:val="single" w:color="auto" w:sz="4" w:space="0"/>
            </w:tcBorders>
            <w:shd w:val="clear" w:color="auto" w:fill="auto"/>
            <w:vAlign w:val="center"/>
          </w:tcPr>
          <w:p w14:paraId="12D1F176">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中药熏洗仪</w:t>
            </w:r>
          </w:p>
        </w:tc>
        <w:tc>
          <w:tcPr>
            <w:tcW w:w="56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6C62A48">
            <w:pPr>
              <w:jc w:val="both"/>
              <w:textAlignment w:val="center"/>
              <w:rPr>
                <w:rFonts w:asciiTheme="minorEastAsia" w:hAnsiTheme="minorEastAsia" w:eastAsiaTheme="minorEastAsia" w:cstheme="minorEastAsia"/>
                <w:color w:val="auto"/>
                <w:sz w:val="24"/>
                <w:szCs w:val="24"/>
                <w:lang w:eastAsia="zh-CN"/>
              </w:rPr>
            </w:pPr>
            <w:r>
              <w:rPr>
                <w:rFonts w:asciiTheme="minorEastAsia" w:hAnsiTheme="minorEastAsia" w:eastAsiaTheme="minorEastAsia" w:cstheme="minorEastAsia"/>
                <w:color w:val="auto"/>
                <w:sz w:val="24"/>
                <w:szCs w:val="24"/>
                <w:lang w:eastAsia="zh-CN"/>
              </w:rPr>
              <w:t>1.</w:t>
            </w:r>
            <w:r>
              <w:rPr>
                <w:rFonts w:hint="eastAsia" w:asciiTheme="minorEastAsia" w:hAnsiTheme="minorEastAsia" w:eastAsiaTheme="minorEastAsia" w:cstheme="minorEastAsia"/>
                <w:color w:val="auto"/>
                <w:sz w:val="24"/>
                <w:szCs w:val="24"/>
                <w:lang w:eastAsia="zh-CN"/>
              </w:rPr>
              <w:t>环境条件</w:t>
            </w:r>
          </w:p>
          <w:p w14:paraId="1B50D79D">
            <w:pPr>
              <w:jc w:val="both"/>
              <w:textAlignment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环境温度</w:t>
            </w:r>
            <w:r>
              <w:rPr>
                <w:rFonts w:asciiTheme="minorEastAsia" w:hAnsiTheme="minorEastAsia" w:eastAsiaTheme="minorEastAsia" w:cstheme="minorEastAsia"/>
                <w:color w:val="auto"/>
                <w:sz w:val="24"/>
                <w:szCs w:val="24"/>
                <w:lang w:eastAsia="zh-CN"/>
              </w:rPr>
              <w:t>:5°C~40°C</w:t>
            </w:r>
            <w:r>
              <w:rPr>
                <w:rFonts w:hint="eastAsia" w:asciiTheme="minorEastAsia" w:hAnsiTheme="minorEastAsia" w:eastAsiaTheme="minorEastAsia" w:cstheme="minorEastAsia"/>
                <w:color w:val="auto"/>
                <w:sz w:val="24"/>
                <w:szCs w:val="24"/>
                <w:lang w:eastAsia="zh-CN"/>
              </w:rPr>
              <w:t>，相对湿度</w:t>
            </w:r>
            <w:r>
              <w:rPr>
                <w:rFonts w:asciiTheme="minorEastAsia" w:hAnsiTheme="minorEastAsia" w:eastAsiaTheme="minorEastAsia" w:cstheme="minorEastAsia"/>
                <w:color w:val="auto"/>
                <w:sz w:val="24"/>
                <w:szCs w:val="24"/>
                <w:lang w:eastAsia="zh-CN"/>
              </w:rPr>
              <w:t>:30%~75%;</w:t>
            </w:r>
            <w:r>
              <w:rPr>
                <w:rFonts w:hint="eastAsia" w:asciiTheme="minorEastAsia" w:hAnsiTheme="minorEastAsia" w:eastAsiaTheme="minorEastAsia" w:cstheme="minorEastAsia"/>
                <w:color w:val="auto"/>
                <w:sz w:val="24"/>
                <w:szCs w:val="24"/>
                <w:lang w:eastAsia="zh-CN"/>
              </w:rPr>
              <w:t>大气压力</w:t>
            </w:r>
            <w:r>
              <w:rPr>
                <w:rFonts w:asciiTheme="minorEastAsia" w:hAnsiTheme="minorEastAsia" w:eastAsiaTheme="minorEastAsia" w:cstheme="minorEastAsia"/>
                <w:color w:val="auto"/>
                <w:sz w:val="24"/>
                <w:szCs w:val="24"/>
                <w:lang w:eastAsia="zh-CN"/>
              </w:rPr>
              <w:t>:86kPa~106kPa,</w:t>
            </w:r>
            <w:r>
              <w:rPr>
                <w:rFonts w:hint="eastAsia" w:asciiTheme="minorEastAsia" w:hAnsiTheme="minorEastAsia" w:eastAsiaTheme="minorEastAsia" w:cstheme="minorEastAsia"/>
                <w:color w:val="auto"/>
                <w:sz w:val="24"/>
                <w:szCs w:val="24"/>
                <w:lang w:eastAsia="zh-CN"/>
              </w:rPr>
              <w:t>使用电源</w:t>
            </w:r>
            <w:r>
              <w:rPr>
                <w:rFonts w:asciiTheme="minorEastAsia" w:hAnsiTheme="minorEastAsia" w:eastAsiaTheme="minorEastAsia" w:cstheme="minorEastAsia"/>
                <w:color w:val="auto"/>
                <w:sz w:val="24"/>
                <w:szCs w:val="24"/>
                <w:lang w:eastAsia="zh-CN"/>
              </w:rPr>
              <w:t>:~220V,50Hz</w:t>
            </w:r>
            <w:r>
              <w:rPr>
                <w:rFonts w:hint="eastAsia" w:asciiTheme="minorEastAsia" w:hAnsiTheme="minorEastAsia" w:eastAsiaTheme="minorEastAsia" w:cstheme="minorEastAsia"/>
                <w:color w:val="auto"/>
                <w:sz w:val="24"/>
                <w:szCs w:val="24"/>
                <w:lang w:eastAsia="zh-CN"/>
              </w:rPr>
              <w:t>。</w:t>
            </w:r>
            <w:r>
              <w:rPr>
                <w:rFonts w:asciiTheme="minorEastAsia" w:hAnsiTheme="minorEastAsia" w:eastAsiaTheme="minorEastAsia" w:cstheme="minorEastAsia"/>
                <w:color w:val="auto"/>
                <w:sz w:val="24"/>
                <w:szCs w:val="24"/>
                <w:lang w:eastAsia="zh-CN"/>
              </w:rPr>
              <w:t>-</w:t>
            </w:r>
          </w:p>
          <w:p w14:paraId="076C5225">
            <w:pPr>
              <w:jc w:val="both"/>
              <w:textAlignment w:val="center"/>
              <w:rPr>
                <w:rFonts w:asciiTheme="minorEastAsia" w:hAnsiTheme="minorEastAsia" w:eastAsiaTheme="minorEastAsia" w:cstheme="minorEastAsia"/>
                <w:color w:val="auto"/>
                <w:sz w:val="24"/>
                <w:szCs w:val="24"/>
                <w:lang w:eastAsia="zh-CN"/>
              </w:rPr>
            </w:pPr>
            <w:r>
              <w:rPr>
                <w:rFonts w:asciiTheme="minorEastAsia" w:hAnsiTheme="minorEastAsia" w:eastAsiaTheme="minorEastAsia" w:cstheme="minorEastAsia"/>
                <w:color w:val="auto"/>
                <w:sz w:val="24"/>
                <w:szCs w:val="24"/>
                <w:lang w:eastAsia="zh-CN"/>
              </w:rPr>
              <w:t>2.</w:t>
            </w:r>
            <w:r>
              <w:rPr>
                <w:rFonts w:hint="eastAsia" w:asciiTheme="minorEastAsia" w:hAnsiTheme="minorEastAsia" w:eastAsiaTheme="minorEastAsia" w:cstheme="minorEastAsia"/>
                <w:color w:val="auto"/>
                <w:sz w:val="24"/>
                <w:szCs w:val="24"/>
                <w:lang w:eastAsia="zh-CN"/>
              </w:rPr>
              <w:t>储运环境</w:t>
            </w:r>
          </w:p>
          <w:p w14:paraId="6197FA14">
            <w:pPr>
              <w:jc w:val="both"/>
              <w:textAlignment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环境温度</w:t>
            </w:r>
            <w:r>
              <w:rPr>
                <w:rFonts w:asciiTheme="minorEastAsia" w:hAnsiTheme="minorEastAsia" w:eastAsiaTheme="minorEastAsia" w:cstheme="minorEastAsia"/>
                <w:color w:val="auto"/>
                <w:sz w:val="24"/>
                <w:szCs w:val="24"/>
                <w:lang w:eastAsia="zh-CN"/>
              </w:rPr>
              <w:t>:-20°C~+55°C,</w:t>
            </w:r>
            <w:r>
              <w:rPr>
                <w:rFonts w:hint="eastAsia" w:asciiTheme="minorEastAsia" w:hAnsiTheme="minorEastAsia" w:eastAsiaTheme="minorEastAsia" w:cstheme="minorEastAsia"/>
                <w:color w:val="auto"/>
                <w:sz w:val="24"/>
                <w:szCs w:val="24"/>
                <w:lang w:eastAsia="zh-CN"/>
              </w:rPr>
              <w:t>相对湿度</w:t>
            </w:r>
            <w:r>
              <w:rPr>
                <w:rFonts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eastAsia="zh-CN"/>
              </w:rPr>
              <w:t>≤</w:t>
            </w:r>
            <w:r>
              <w:rPr>
                <w:rFonts w:asciiTheme="minorEastAsia" w:hAnsiTheme="minorEastAsia" w:eastAsiaTheme="minorEastAsia" w:cstheme="minorEastAsia"/>
                <w:color w:val="auto"/>
                <w:sz w:val="24"/>
                <w:szCs w:val="24"/>
                <w:lang w:eastAsia="zh-CN"/>
              </w:rPr>
              <w:t>95%(</w:t>
            </w:r>
            <w:r>
              <w:rPr>
                <w:rFonts w:hint="eastAsia" w:asciiTheme="minorEastAsia" w:hAnsiTheme="minorEastAsia" w:eastAsiaTheme="minorEastAsia" w:cstheme="minorEastAsia"/>
                <w:color w:val="auto"/>
                <w:sz w:val="24"/>
                <w:szCs w:val="24"/>
                <w:lang w:eastAsia="zh-CN"/>
              </w:rPr>
              <w:t>无水凝</w:t>
            </w:r>
            <w:r>
              <w:rPr>
                <w:rFonts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eastAsia="zh-CN"/>
              </w:rPr>
              <w:t>大气压力</w:t>
            </w:r>
            <w:r>
              <w:rPr>
                <w:rFonts w:asciiTheme="minorEastAsia" w:hAnsiTheme="minorEastAsia" w:eastAsiaTheme="minorEastAsia" w:cstheme="minorEastAsia"/>
                <w:color w:val="auto"/>
                <w:sz w:val="24"/>
                <w:szCs w:val="24"/>
                <w:lang w:eastAsia="zh-CN"/>
              </w:rPr>
              <w:t>:70kPa~106kPa</w:t>
            </w:r>
            <w:r>
              <w:rPr>
                <w:rFonts w:hint="eastAsia" w:asciiTheme="minorEastAsia" w:hAnsiTheme="minorEastAsia" w:eastAsiaTheme="minorEastAsia" w:cstheme="minorEastAsia"/>
                <w:color w:val="auto"/>
                <w:sz w:val="24"/>
                <w:szCs w:val="24"/>
                <w:lang w:eastAsia="zh-CN"/>
              </w:rPr>
              <w:t>。</w:t>
            </w:r>
            <w:r>
              <w:rPr>
                <w:rFonts w:asciiTheme="minorEastAsia" w:hAnsiTheme="minorEastAsia" w:eastAsiaTheme="minorEastAsia" w:cstheme="minorEastAsia"/>
                <w:color w:val="auto"/>
                <w:sz w:val="24"/>
                <w:szCs w:val="24"/>
                <w:lang w:eastAsia="zh-CN"/>
              </w:rPr>
              <w:t>3.</w:t>
            </w:r>
            <w:r>
              <w:rPr>
                <w:rFonts w:hint="eastAsia" w:asciiTheme="minorEastAsia" w:hAnsiTheme="minorEastAsia" w:eastAsiaTheme="minorEastAsia" w:cstheme="minorEastAsia"/>
                <w:color w:val="auto"/>
                <w:sz w:val="24"/>
                <w:szCs w:val="24"/>
                <w:lang w:eastAsia="zh-CN"/>
              </w:rPr>
              <w:t>基本参数</w:t>
            </w:r>
          </w:p>
          <w:p w14:paraId="1E61CAA7">
            <w:pPr>
              <w:jc w:val="both"/>
              <w:textAlignment w:val="center"/>
              <w:rPr>
                <w:rFonts w:asciiTheme="minorEastAsia" w:hAnsiTheme="minorEastAsia" w:eastAsiaTheme="minorEastAsia" w:cstheme="minorEastAsia"/>
                <w:color w:val="auto"/>
                <w:sz w:val="24"/>
                <w:szCs w:val="24"/>
                <w:lang w:eastAsia="zh-CN"/>
              </w:rPr>
            </w:pPr>
            <w:r>
              <w:rPr>
                <w:rFonts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eastAsia="zh-CN"/>
              </w:rPr>
              <w:t>冲洗功能</w:t>
            </w:r>
            <w:r>
              <w:rPr>
                <w:rFonts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eastAsia="zh-CN"/>
              </w:rPr>
              <w:t>单次药液使用量</w:t>
            </w:r>
            <w:r>
              <w:rPr>
                <w:rFonts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eastAsia="zh-CN"/>
              </w:rPr>
              <w:t>≤</w:t>
            </w:r>
            <w:r>
              <w:rPr>
                <w:rFonts w:asciiTheme="minorEastAsia" w:hAnsiTheme="minorEastAsia" w:eastAsiaTheme="minorEastAsia" w:cstheme="minorEastAsia"/>
                <w:color w:val="auto"/>
                <w:sz w:val="24"/>
                <w:szCs w:val="24"/>
                <w:lang w:eastAsia="zh-CN"/>
              </w:rPr>
              <w:t>60omL</w:t>
            </w:r>
            <w:r>
              <w:rPr>
                <w:rFonts w:hint="eastAsia" w:asciiTheme="minorEastAsia" w:hAnsiTheme="minorEastAsia" w:eastAsiaTheme="minorEastAsia" w:cstheme="minorEastAsia"/>
                <w:color w:val="auto"/>
                <w:sz w:val="24"/>
                <w:szCs w:val="24"/>
                <w:lang w:eastAsia="zh-CN"/>
              </w:rPr>
              <w:t>，设备单次不间断冲洗时间≥</w:t>
            </w:r>
            <w:r>
              <w:rPr>
                <w:rFonts w:asciiTheme="minorEastAsia" w:hAnsiTheme="minorEastAsia" w:eastAsiaTheme="minorEastAsia" w:cstheme="minorEastAsia"/>
                <w:color w:val="auto"/>
                <w:sz w:val="24"/>
                <w:szCs w:val="24"/>
                <w:lang w:eastAsia="zh-CN"/>
              </w:rPr>
              <w:t>60min;</w:t>
            </w:r>
            <w:r>
              <w:rPr>
                <w:rFonts w:hint="eastAsia" w:asciiTheme="minorEastAsia" w:hAnsiTheme="minorEastAsia" w:eastAsiaTheme="minorEastAsia" w:cstheme="minorEastAsia"/>
                <w:color w:val="auto"/>
                <w:sz w:val="24"/>
                <w:szCs w:val="24"/>
                <w:lang w:eastAsia="zh-CN"/>
              </w:rPr>
              <w:t>冲洗扬程</w:t>
            </w:r>
            <w:r>
              <w:rPr>
                <w:rFonts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eastAsia="zh-CN"/>
              </w:rPr>
              <w:t>出水高度可调且≤</w:t>
            </w:r>
            <w:r>
              <w:rPr>
                <w:rFonts w:asciiTheme="minorEastAsia" w:hAnsiTheme="minorEastAsia" w:eastAsiaTheme="minorEastAsia" w:cstheme="minorEastAsia"/>
                <w:color w:val="auto"/>
                <w:sz w:val="24"/>
                <w:szCs w:val="24"/>
                <w:lang w:eastAsia="zh-CN"/>
              </w:rPr>
              <w:t>30cm</w:t>
            </w:r>
            <w:r>
              <w:rPr>
                <w:rFonts w:hint="eastAsia" w:asciiTheme="minorEastAsia" w:hAnsiTheme="minorEastAsia" w:eastAsiaTheme="minorEastAsia" w:cstheme="minorEastAsia"/>
                <w:color w:val="auto"/>
                <w:sz w:val="24"/>
                <w:szCs w:val="24"/>
                <w:lang w:eastAsia="zh-CN"/>
              </w:rPr>
              <w:t>。</w:t>
            </w:r>
          </w:p>
          <w:p w14:paraId="28A82609">
            <w:pPr>
              <w:jc w:val="both"/>
              <w:textAlignment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雾化功能</w:t>
            </w:r>
            <w:r>
              <w:rPr>
                <w:rFonts w:asciiTheme="minorEastAsia" w:hAnsiTheme="minorEastAsia" w:eastAsiaTheme="minorEastAsia" w:cstheme="minorEastAsia"/>
                <w:color w:val="auto"/>
                <w:sz w:val="24"/>
                <w:szCs w:val="24"/>
                <w:lang w:eastAsia="zh-CN"/>
              </w:rPr>
              <w:t>:</w:t>
            </w:r>
          </w:p>
          <w:p w14:paraId="55C7F80B">
            <w:pPr>
              <w:jc w:val="both"/>
              <w:textAlignment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雾化盒药液容量</w:t>
            </w:r>
            <w:r>
              <w:rPr>
                <w:rFonts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eastAsia="zh-CN"/>
              </w:rPr>
              <w:t>≥</w:t>
            </w:r>
            <w:r>
              <w:rPr>
                <w:rFonts w:asciiTheme="minorEastAsia" w:hAnsiTheme="minorEastAsia" w:eastAsiaTheme="minorEastAsia" w:cstheme="minorEastAsia"/>
                <w:color w:val="auto"/>
                <w:sz w:val="24"/>
                <w:szCs w:val="24"/>
                <w:lang w:eastAsia="zh-CN"/>
              </w:rPr>
              <w:t>10oml</w:t>
            </w:r>
            <w:r>
              <w:rPr>
                <w:rFonts w:hint="eastAsia" w:asciiTheme="minorEastAsia" w:hAnsiTheme="minorEastAsia" w:eastAsiaTheme="minorEastAsia" w:cstheme="minorEastAsia"/>
                <w:color w:val="auto"/>
                <w:sz w:val="24"/>
                <w:szCs w:val="24"/>
                <w:lang w:eastAsia="zh-CN"/>
              </w:rPr>
              <w:t>，最大雾化量</w:t>
            </w:r>
            <w:r>
              <w:rPr>
                <w:rFonts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eastAsia="zh-CN"/>
              </w:rPr>
              <w:t>≥</w:t>
            </w:r>
            <w:r>
              <w:rPr>
                <w:rFonts w:asciiTheme="minorEastAsia" w:hAnsiTheme="minorEastAsia" w:eastAsiaTheme="minorEastAsia" w:cstheme="minorEastAsia"/>
                <w:color w:val="auto"/>
                <w:sz w:val="24"/>
                <w:szCs w:val="24"/>
                <w:lang w:eastAsia="zh-CN"/>
              </w:rPr>
              <w:t>2ml/min</w:t>
            </w:r>
            <w:r>
              <w:rPr>
                <w:rFonts w:hint="eastAsia" w:asciiTheme="minorEastAsia" w:hAnsiTheme="minorEastAsia" w:eastAsiaTheme="minorEastAsia" w:cstheme="minorEastAsia"/>
                <w:color w:val="auto"/>
                <w:sz w:val="24"/>
                <w:szCs w:val="24"/>
                <w:lang w:eastAsia="zh-CN"/>
              </w:rPr>
              <w:t>，冲洗和雾化功能可以同时进行。设备功率</w:t>
            </w:r>
            <w:r>
              <w:rPr>
                <w:rFonts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eastAsia="zh-CN"/>
              </w:rPr>
              <w:t>设备额定输入功率≤</w:t>
            </w:r>
            <w:r>
              <w:rPr>
                <w:rFonts w:asciiTheme="minorEastAsia" w:hAnsiTheme="minorEastAsia" w:eastAsiaTheme="minorEastAsia" w:cstheme="minorEastAsia"/>
                <w:color w:val="auto"/>
                <w:sz w:val="24"/>
                <w:szCs w:val="24"/>
                <w:lang w:eastAsia="zh-CN"/>
              </w:rPr>
              <w:t>100w</w:t>
            </w:r>
            <w:r>
              <w:rPr>
                <w:rFonts w:hint="eastAsia" w:asciiTheme="minorEastAsia" w:hAnsiTheme="minorEastAsia" w:eastAsiaTheme="minorEastAsia" w:cstheme="minorEastAsia"/>
                <w:color w:val="auto"/>
                <w:sz w:val="24"/>
                <w:szCs w:val="24"/>
                <w:lang w:eastAsia="zh-CN"/>
              </w:rPr>
              <w:t>。</w:t>
            </w:r>
            <w:r>
              <w:rPr>
                <w:rFonts w:asciiTheme="minorEastAsia" w:hAnsiTheme="minorEastAsia" w:eastAsiaTheme="minorEastAsia" w:cstheme="minorEastAsia"/>
                <w:color w:val="auto"/>
                <w:sz w:val="24"/>
                <w:szCs w:val="24"/>
                <w:lang w:eastAsia="zh-CN"/>
              </w:rPr>
              <w:t>-</w:t>
            </w:r>
          </w:p>
          <w:p w14:paraId="7383907D">
            <w:pPr>
              <w:jc w:val="both"/>
              <w:textAlignment w:val="center"/>
              <w:rPr>
                <w:rFonts w:asciiTheme="minorEastAsia" w:hAnsiTheme="minorEastAsia" w:eastAsiaTheme="minorEastAsia" w:cstheme="minorEastAsia"/>
                <w:color w:val="auto"/>
                <w:sz w:val="24"/>
                <w:szCs w:val="24"/>
                <w:lang w:eastAsia="zh-CN"/>
              </w:rPr>
            </w:pPr>
            <w:r>
              <w:rPr>
                <w:rFonts w:asciiTheme="minorEastAsia" w:hAnsiTheme="minorEastAsia" w:eastAsiaTheme="minorEastAsia" w:cstheme="minorEastAsia"/>
                <w:color w:val="auto"/>
                <w:sz w:val="24"/>
                <w:szCs w:val="24"/>
                <w:lang w:eastAsia="zh-CN"/>
              </w:rPr>
              <w:t>4.</w:t>
            </w:r>
            <w:r>
              <w:rPr>
                <w:rFonts w:hint="eastAsia" w:asciiTheme="minorEastAsia" w:hAnsiTheme="minorEastAsia" w:eastAsiaTheme="minorEastAsia" w:cstheme="minorEastAsia"/>
                <w:color w:val="auto"/>
                <w:sz w:val="24"/>
                <w:szCs w:val="24"/>
                <w:lang w:eastAsia="zh-CN"/>
              </w:rPr>
              <w:t>便携性</w:t>
            </w:r>
          </w:p>
          <w:p w14:paraId="194B0B17">
            <w:pPr>
              <w:jc w:val="both"/>
              <w:textAlignment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不需要为产品施工布局上水和下水通道</w:t>
            </w:r>
            <w:r>
              <w:rPr>
                <w:rFonts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eastAsia="zh-CN"/>
              </w:rPr>
              <w:t>产品轻便小巧，设备尺寸≤长</w:t>
            </w:r>
            <w:r>
              <w:rPr>
                <w:rFonts w:asciiTheme="minorEastAsia" w:hAnsiTheme="minorEastAsia" w:eastAsiaTheme="minorEastAsia" w:cstheme="minorEastAsia"/>
                <w:color w:val="auto"/>
                <w:sz w:val="24"/>
                <w:szCs w:val="24"/>
                <w:lang w:eastAsia="zh-CN"/>
              </w:rPr>
              <w:t>50ommX</w:t>
            </w:r>
            <w:r>
              <w:rPr>
                <w:rFonts w:hint="eastAsia" w:asciiTheme="minorEastAsia" w:hAnsiTheme="minorEastAsia" w:eastAsiaTheme="minorEastAsia" w:cstheme="minorEastAsia"/>
                <w:color w:val="auto"/>
                <w:sz w:val="24"/>
                <w:szCs w:val="24"/>
                <w:lang w:eastAsia="zh-CN"/>
              </w:rPr>
              <w:t>宽</w:t>
            </w:r>
            <w:r>
              <w:rPr>
                <w:rFonts w:asciiTheme="minorEastAsia" w:hAnsiTheme="minorEastAsia" w:eastAsiaTheme="minorEastAsia" w:cstheme="minorEastAsia"/>
                <w:color w:val="auto"/>
                <w:sz w:val="24"/>
                <w:szCs w:val="24"/>
                <w:lang w:eastAsia="zh-CN"/>
              </w:rPr>
              <w:t>35ommX</w:t>
            </w:r>
            <w:r>
              <w:rPr>
                <w:rFonts w:hint="eastAsia" w:asciiTheme="minorEastAsia" w:hAnsiTheme="minorEastAsia" w:eastAsiaTheme="minorEastAsia" w:cstheme="minorEastAsia"/>
                <w:color w:val="auto"/>
                <w:sz w:val="24"/>
                <w:szCs w:val="24"/>
                <w:lang w:eastAsia="zh-CN"/>
              </w:rPr>
              <w:t>高</w:t>
            </w:r>
            <w:r>
              <w:rPr>
                <w:rFonts w:asciiTheme="minorEastAsia" w:hAnsiTheme="minorEastAsia" w:eastAsiaTheme="minorEastAsia" w:cstheme="minorEastAsia"/>
                <w:color w:val="auto"/>
                <w:sz w:val="24"/>
                <w:szCs w:val="24"/>
                <w:lang w:eastAsia="zh-CN"/>
              </w:rPr>
              <w:t>50omm</w:t>
            </w:r>
            <w:r>
              <w:rPr>
                <w:rFonts w:hint="eastAsia" w:asciiTheme="minorEastAsia" w:hAnsiTheme="minorEastAsia" w:eastAsiaTheme="minorEastAsia" w:cstheme="minorEastAsia"/>
                <w:color w:val="auto"/>
                <w:sz w:val="24"/>
                <w:szCs w:val="24"/>
                <w:lang w:eastAsia="zh-CN"/>
              </w:rPr>
              <w:t>，单台设备总重量≤</w:t>
            </w:r>
            <w:r>
              <w:rPr>
                <w:rFonts w:asciiTheme="minorEastAsia" w:hAnsiTheme="minorEastAsia" w:eastAsiaTheme="minorEastAsia" w:cstheme="minorEastAsia"/>
                <w:color w:val="auto"/>
                <w:sz w:val="24"/>
                <w:szCs w:val="24"/>
                <w:lang w:eastAsia="zh-CN"/>
              </w:rPr>
              <w:t>12KG</w:t>
            </w:r>
            <w:r>
              <w:rPr>
                <w:rFonts w:hint="eastAsia" w:asciiTheme="minorEastAsia" w:hAnsiTheme="minorEastAsia" w:eastAsiaTheme="minorEastAsia" w:cstheme="minorEastAsia"/>
                <w:color w:val="auto"/>
                <w:sz w:val="24"/>
                <w:szCs w:val="24"/>
                <w:lang w:eastAsia="zh-CN"/>
              </w:rPr>
              <w:t>，方便移动到任何位置进行使用。</w:t>
            </w:r>
          </w:p>
          <w:p w14:paraId="6EF5389C">
            <w:pPr>
              <w:jc w:val="both"/>
              <w:textAlignment w:val="center"/>
              <w:rPr>
                <w:rFonts w:asciiTheme="minorEastAsia" w:hAnsiTheme="minorEastAsia" w:eastAsiaTheme="minorEastAsia" w:cstheme="minorEastAsia"/>
                <w:color w:val="auto"/>
                <w:sz w:val="24"/>
                <w:szCs w:val="24"/>
                <w:lang w:eastAsia="zh-CN"/>
              </w:rPr>
            </w:pPr>
            <w:r>
              <w:rPr>
                <w:rFonts w:asciiTheme="minorEastAsia" w:hAnsiTheme="minorEastAsia" w:eastAsiaTheme="minorEastAsia" w:cstheme="minorEastAsia"/>
                <w:color w:val="auto"/>
                <w:sz w:val="24"/>
                <w:szCs w:val="24"/>
                <w:lang w:eastAsia="zh-CN"/>
              </w:rPr>
              <w:t>5.*</w:t>
            </w:r>
            <w:r>
              <w:rPr>
                <w:rFonts w:hint="eastAsia" w:asciiTheme="minorEastAsia" w:hAnsiTheme="minorEastAsia" w:eastAsiaTheme="minorEastAsia" w:cstheme="minorEastAsia"/>
                <w:color w:val="auto"/>
                <w:sz w:val="24"/>
                <w:szCs w:val="24"/>
                <w:lang w:eastAsia="zh-CN"/>
              </w:rPr>
              <w:t>合规性</w:t>
            </w:r>
          </w:p>
          <w:p w14:paraId="5089AEE8">
            <w:pPr>
              <w:jc w:val="both"/>
              <w:textAlignment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产品必须符合二类医疗器械相关法律法规要求，具备二类医疗器械注册证、生产许可证等相关证件。</w:t>
            </w:r>
            <w:r>
              <w:rPr>
                <w:rFonts w:asciiTheme="minorEastAsia" w:hAnsiTheme="minorEastAsia" w:eastAsiaTheme="minorEastAsia" w:cstheme="minorEastAsia"/>
                <w:color w:val="auto"/>
                <w:sz w:val="24"/>
                <w:szCs w:val="24"/>
                <w:lang w:eastAsia="zh-CN"/>
              </w:rPr>
              <w:t>-</w:t>
            </w:r>
          </w:p>
          <w:p w14:paraId="4D07EC66">
            <w:pPr>
              <w:jc w:val="both"/>
              <w:textAlignment w:val="center"/>
              <w:rPr>
                <w:rFonts w:asciiTheme="minorEastAsia" w:hAnsiTheme="minorEastAsia" w:eastAsiaTheme="minorEastAsia" w:cstheme="minorEastAsia"/>
                <w:color w:val="auto"/>
                <w:sz w:val="24"/>
                <w:szCs w:val="24"/>
                <w:lang w:eastAsia="zh-CN"/>
              </w:rPr>
            </w:pPr>
            <w:r>
              <w:rPr>
                <w:rFonts w:asciiTheme="minorEastAsia" w:hAnsiTheme="minorEastAsia" w:eastAsiaTheme="minorEastAsia" w:cstheme="minorEastAsia"/>
                <w:color w:val="auto"/>
                <w:sz w:val="24"/>
                <w:szCs w:val="24"/>
                <w:lang w:eastAsia="zh-CN"/>
              </w:rPr>
              <w:t>6.</w:t>
            </w:r>
            <w:r>
              <w:rPr>
                <w:rFonts w:hint="eastAsia" w:asciiTheme="minorEastAsia" w:hAnsiTheme="minorEastAsia" w:eastAsiaTheme="minorEastAsia" w:cstheme="minorEastAsia"/>
                <w:color w:val="auto"/>
                <w:sz w:val="24"/>
                <w:szCs w:val="24"/>
                <w:lang w:eastAsia="zh-CN"/>
              </w:rPr>
              <w:t>产品配置</w:t>
            </w:r>
          </w:p>
          <w:p w14:paraId="4404D108">
            <w:pPr>
              <w:jc w:val="both"/>
              <w:textAlignment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每台设备要求配备</w:t>
            </w:r>
            <w:r>
              <w:rPr>
                <w:rFonts w:asciiTheme="minorEastAsia" w:hAnsiTheme="minorEastAsia" w:eastAsiaTheme="minorEastAsia" w:cstheme="minorEastAsia"/>
                <w:color w:val="auto"/>
                <w:sz w:val="24"/>
                <w:szCs w:val="24"/>
                <w:lang w:eastAsia="zh-CN"/>
              </w:rPr>
              <w:t>10</w:t>
            </w:r>
            <w:r>
              <w:rPr>
                <w:rFonts w:hint="eastAsia" w:asciiTheme="minorEastAsia" w:hAnsiTheme="minorEastAsia" w:eastAsiaTheme="minorEastAsia" w:cstheme="minorEastAsia"/>
                <w:color w:val="auto"/>
                <w:sz w:val="24"/>
                <w:szCs w:val="24"/>
                <w:lang w:eastAsia="zh-CN"/>
              </w:rPr>
              <w:t>个专用一次性冲洗盆，配备</w:t>
            </w:r>
            <w:r>
              <w:rPr>
                <w:rFonts w:asciiTheme="minorEastAsia" w:hAnsiTheme="minorEastAsia" w:eastAsiaTheme="minorEastAsia" w:cstheme="minorEastAsia"/>
                <w:color w:val="auto"/>
                <w:sz w:val="24"/>
                <w:szCs w:val="24"/>
                <w:lang w:eastAsia="zh-CN"/>
              </w:rPr>
              <w:t>10</w:t>
            </w:r>
            <w:r>
              <w:rPr>
                <w:rFonts w:hint="eastAsia" w:asciiTheme="minorEastAsia" w:hAnsiTheme="minorEastAsia" w:eastAsiaTheme="minorEastAsia" w:cstheme="minorEastAsia"/>
                <w:color w:val="auto"/>
                <w:sz w:val="24"/>
                <w:szCs w:val="24"/>
                <w:lang w:eastAsia="zh-CN"/>
              </w:rPr>
              <w:t>张专用隔离坐垫，患者一人一盆</w:t>
            </w:r>
          </w:p>
          <w:p w14:paraId="07D400CB">
            <w:pPr>
              <w:jc w:val="both"/>
              <w:textAlignment w:val="center"/>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一垫避免交叉感染。</w:t>
            </w:r>
          </w:p>
          <w:p w14:paraId="1B2901A1">
            <w:pPr>
              <w:jc w:val="both"/>
              <w:textAlignment w:val="center"/>
              <w:rPr>
                <w:rFonts w:asciiTheme="minorEastAsia" w:hAnsiTheme="minorEastAsia" w:eastAsiaTheme="minorEastAsia" w:cstheme="minorEastAsia"/>
                <w:color w:val="auto"/>
                <w:sz w:val="24"/>
                <w:szCs w:val="24"/>
                <w:lang w:eastAsia="zh-CN"/>
              </w:rPr>
            </w:pPr>
            <w:r>
              <w:rPr>
                <w:rFonts w:asciiTheme="minorEastAsia" w:hAnsiTheme="minorEastAsia" w:eastAsiaTheme="minorEastAsia" w:cstheme="minorEastAsia"/>
                <w:color w:val="auto"/>
                <w:sz w:val="24"/>
                <w:szCs w:val="24"/>
                <w:lang w:eastAsia="zh-CN"/>
              </w:rPr>
              <w:t>7.</w:t>
            </w:r>
            <w:r>
              <w:rPr>
                <w:rFonts w:hint="eastAsia" w:asciiTheme="minorEastAsia" w:hAnsiTheme="minorEastAsia" w:eastAsiaTheme="minorEastAsia" w:cstheme="minorEastAsia"/>
                <w:color w:val="auto"/>
                <w:sz w:val="24"/>
                <w:szCs w:val="24"/>
                <w:lang w:eastAsia="zh-CN"/>
              </w:rPr>
              <w:t>质保期</w:t>
            </w:r>
            <w:r>
              <w:rPr>
                <w:rFonts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eastAsia="zh-CN"/>
              </w:rPr>
              <w:t>产品整机质保一年。</w:t>
            </w:r>
          </w:p>
        </w:tc>
        <w:tc>
          <w:tcPr>
            <w:tcW w:w="674" w:type="dxa"/>
            <w:tcBorders>
              <w:top w:val="single" w:color="auto" w:sz="4" w:space="0"/>
              <w:left w:val="single" w:color="auto" w:sz="4" w:space="0"/>
              <w:bottom w:val="single" w:color="auto" w:sz="4" w:space="0"/>
              <w:right w:val="single" w:color="auto" w:sz="4" w:space="0"/>
            </w:tcBorders>
            <w:shd w:val="clear" w:color="auto" w:fill="auto"/>
            <w:vAlign w:val="center"/>
          </w:tcPr>
          <w:p w14:paraId="0F303517">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auto" w:sz="4" w:space="0"/>
              <w:left w:val="single" w:color="auto" w:sz="4" w:space="0"/>
              <w:bottom w:val="single" w:color="auto" w:sz="4" w:space="0"/>
              <w:right w:val="single" w:color="auto" w:sz="4" w:space="0"/>
            </w:tcBorders>
            <w:shd w:val="clear" w:color="auto" w:fill="auto"/>
            <w:vAlign w:val="center"/>
          </w:tcPr>
          <w:p w14:paraId="47715E4A">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w:t>
            </w:r>
          </w:p>
        </w:tc>
        <w:tc>
          <w:tcPr>
            <w:tcW w:w="1570" w:type="dxa"/>
            <w:tcBorders>
              <w:top w:val="single" w:color="auto" w:sz="4" w:space="0"/>
              <w:left w:val="single" w:color="auto" w:sz="4" w:space="0"/>
              <w:bottom w:val="single" w:color="auto" w:sz="4" w:space="0"/>
              <w:right w:val="single" w:color="auto" w:sz="4" w:space="0"/>
            </w:tcBorders>
            <w:shd w:val="clear" w:color="auto" w:fill="auto"/>
            <w:vAlign w:val="center"/>
          </w:tcPr>
          <w:p w14:paraId="633B19CB">
            <w:pPr>
              <w:jc w:val="center"/>
              <w:rPr>
                <w:rFonts w:asciiTheme="minorEastAsia" w:hAnsiTheme="minorEastAsia" w:eastAsiaTheme="minorEastAsia" w:cstheme="minorEastAsia"/>
                <w:sz w:val="24"/>
                <w:szCs w:val="24"/>
              </w:rPr>
            </w:pPr>
          </w:p>
        </w:tc>
      </w:tr>
      <w:tr w14:paraId="765E7A4B">
        <w:tblPrEx>
          <w:tblCellMar>
            <w:top w:w="0" w:type="dxa"/>
            <w:left w:w="108" w:type="dxa"/>
            <w:bottom w:w="0" w:type="dxa"/>
            <w:right w:w="108" w:type="dxa"/>
          </w:tblCellMar>
        </w:tblPrEx>
        <w:trPr>
          <w:trHeight w:val="3060" w:hRule="atLeast"/>
        </w:trPr>
        <w:tc>
          <w:tcPr>
            <w:tcW w:w="756" w:type="dxa"/>
            <w:tcBorders>
              <w:top w:val="single" w:color="000000" w:sz="4" w:space="0"/>
              <w:left w:val="single" w:color="000000" w:sz="4" w:space="0"/>
              <w:bottom w:val="single" w:color="auto" w:sz="4" w:space="0"/>
              <w:right w:val="single" w:color="000000" w:sz="4" w:space="0"/>
            </w:tcBorders>
            <w:shd w:val="clear" w:color="auto" w:fill="auto"/>
            <w:vAlign w:val="center"/>
          </w:tcPr>
          <w:p w14:paraId="194DEEA6">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5</w:t>
            </w:r>
          </w:p>
        </w:tc>
        <w:tc>
          <w:tcPr>
            <w:tcW w:w="951" w:type="dxa"/>
            <w:tcBorders>
              <w:top w:val="single" w:color="auto" w:sz="4" w:space="0"/>
              <w:left w:val="single" w:color="000000" w:sz="4" w:space="0"/>
              <w:bottom w:val="single" w:color="auto" w:sz="4" w:space="0"/>
              <w:right w:val="single" w:color="000000" w:sz="4" w:space="0"/>
            </w:tcBorders>
            <w:shd w:val="clear" w:color="auto" w:fill="auto"/>
            <w:vAlign w:val="center"/>
          </w:tcPr>
          <w:p w14:paraId="5DC90DAD">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中频脉冲治疗仪</w:t>
            </w:r>
          </w:p>
        </w:tc>
        <w:tc>
          <w:tcPr>
            <w:tcW w:w="5677" w:type="dxa"/>
            <w:tcBorders>
              <w:top w:val="single" w:color="auto" w:sz="4" w:space="0"/>
              <w:left w:val="single" w:color="000000" w:sz="4" w:space="0"/>
              <w:bottom w:val="single" w:color="auto" w:sz="4" w:space="0"/>
              <w:right w:val="single" w:color="000000" w:sz="4" w:space="0"/>
            </w:tcBorders>
            <w:shd w:val="clear" w:color="auto" w:fill="auto"/>
            <w:vAlign w:val="center"/>
          </w:tcPr>
          <w:p w14:paraId="051E889B">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1、中频频率范围：2-6KHz。2、低频调制波频率范围：</w:t>
            </w:r>
            <w:r>
              <w:rPr>
                <w:rFonts w:hint="eastAsia" w:asciiTheme="minorEastAsia" w:hAnsiTheme="minorEastAsia" w:eastAsiaTheme="minorEastAsia" w:cstheme="minorEastAsia"/>
                <w:color w:val="auto"/>
                <w:sz w:val="24"/>
                <w:szCs w:val="24"/>
                <w:lang w:val="en-US" w:eastAsia="zh-CN" w:bidi="ar"/>
              </w:rPr>
              <w:t>0-150Hz</w:t>
            </w:r>
            <w:r>
              <w:rPr>
                <w:rFonts w:hint="eastAsia" w:asciiTheme="minorEastAsia" w:hAnsiTheme="minorEastAsia" w:eastAsiaTheme="minorEastAsia" w:cstheme="minorEastAsia"/>
                <w:sz w:val="24"/>
                <w:szCs w:val="24"/>
                <w:lang w:eastAsia="zh-CN" w:bidi="ar"/>
              </w:rPr>
              <w:t>。3、调制方式：连续调制、间歇调制。4、低频调幅度：0、25%、50%、75%、100%、间歇调制，允差±5%。5、输出电流：最大输出电流有效值不大于50mA，分0～99级可调,无量纲数。6、不同负载下的电流变化率不大于±10%。7、治疗定时：1～99分钟连续可调，步长为1分钟 。治疗时间到有蜂鸣器报警提示，并停止输出。8、分多步、干扰、音频和脉冲4种模式，多种处方。</w:t>
            </w:r>
          </w:p>
        </w:tc>
        <w:tc>
          <w:tcPr>
            <w:tcW w:w="674" w:type="dxa"/>
            <w:tcBorders>
              <w:top w:val="single" w:color="auto" w:sz="4" w:space="0"/>
              <w:left w:val="single" w:color="000000" w:sz="4" w:space="0"/>
              <w:bottom w:val="single" w:color="auto" w:sz="4" w:space="0"/>
              <w:right w:val="single" w:color="000000" w:sz="4" w:space="0"/>
            </w:tcBorders>
            <w:shd w:val="clear" w:color="auto" w:fill="auto"/>
            <w:vAlign w:val="center"/>
          </w:tcPr>
          <w:p w14:paraId="7F6B6537">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auto" w:sz="4" w:space="0"/>
              <w:left w:val="single" w:color="000000" w:sz="4" w:space="0"/>
              <w:bottom w:val="single" w:color="auto" w:sz="4" w:space="0"/>
              <w:right w:val="single" w:color="000000" w:sz="4" w:space="0"/>
            </w:tcBorders>
            <w:shd w:val="clear" w:color="auto" w:fill="auto"/>
            <w:vAlign w:val="center"/>
          </w:tcPr>
          <w:p w14:paraId="5616F70D">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w:t>
            </w:r>
          </w:p>
        </w:tc>
        <w:tc>
          <w:tcPr>
            <w:tcW w:w="1570" w:type="dxa"/>
            <w:tcBorders>
              <w:top w:val="single" w:color="auto" w:sz="4" w:space="0"/>
              <w:left w:val="single" w:color="000000" w:sz="4" w:space="0"/>
              <w:bottom w:val="single" w:color="auto" w:sz="4" w:space="0"/>
              <w:right w:val="single" w:color="000000" w:sz="4" w:space="0"/>
            </w:tcBorders>
            <w:shd w:val="clear" w:color="auto" w:fill="auto"/>
            <w:vAlign w:val="center"/>
          </w:tcPr>
          <w:p w14:paraId="4A10822B">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59264" behindDoc="0" locked="0" layoutInCell="1" allowOverlap="1">
                  <wp:simplePos x="0" y="0"/>
                  <wp:positionH relativeFrom="column">
                    <wp:posOffset>-33020</wp:posOffset>
                  </wp:positionH>
                  <wp:positionV relativeFrom="paragraph">
                    <wp:posOffset>128270</wp:posOffset>
                  </wp:positionV>
                  <wp:extent cx="800100" cy="1327785"/>
                  <wp:effectExtent l="0" t="0" r="0" b="5715"/>
                  <wp:wrapNone/>
                  <wp:docPr id="88" name="图片_2"/>
                  <wp:cNvGraphicFramePr/>
                  <a:graphic xmlns:a="http://schemas.openxmlformats.org/drawingml/2006/main">
                    <a:graphicData uri="http://schemas.openxmlformats.org/drawingml/2006/picture">
                      <pic:pic xmlns:pic="http://schemas.openxmlformats.org/drawingml/2006/picture">
                        <pic:nvPicPr>
                          <pic:cNvPr id="88" name="图片_2"/>
                          <pic:cNvPicPr/>
                        </pic:nvPicPr>
                        <pic:blipFill>
                          <a:blip r:embed="rId4"/>
                          <a:stretch>
                            <a:fillRect/>
                          </a:stretch>
                        </pic:blipFill>
                        <pic:spPr>
                          <a:xfrm>
                            <a:off x="0" y="0"/>
                            <a:ext cx="800100" cy="1327785"/>
                          </a:xfrm>
                          <a:prstGeom prst="rect">
                            <a:avLst/>
                          </a:prstGeom>
                          <a:noFill/>
                          <a:ln>
                            <a:noFill/>
                          </a:ln>
                        </pic:spPr>
                      </pic:pic>
                    </a:graphicData>
                  </a:graphic>
                </wp:anchor>
              </w:drawing>
            </w:r>
          </w:p>
        </w:tc>
      </w:tr>
      <w:tr w14:paraId="6868C395">
        <w:tblPrEx>
          <w:tblCellMar>
            <w:top w:w="0" w:type="dxa"/>
            <w:left w:w="108" w:type="dxa"/>
            <w:bottom w:w="0" w:type="dxa"/>
            <w:right w:w="108" w:type="dxa"/>
          </w:tblCellMar>
        </w:tblPrEx>
        <w:trPr>
          <w:trHeight w:val="700" w:hRule="atLeast"/>
        </w:trPr>
        <w:tc>
          <w:tcPr>
            <w:tcW w:w="756" w:type="dxa"/>
            <w:tcBorders>
              <w:top w:val="single" w:color="auto" w:sz="4" w:space="0"/>
              <w:left w:val="single" w:color="auto" w:sz="4" w:space="0"/>
              <w:bottom w:val="single" w:color="auto" w:sz="4" w:space="0"/>
              <w:right w:val="single" w:color="auto" w:sz="4" w:space="0"/>
            </w:tcBorders>
            <w:shd w:val="clear" w:color="auto" w:fill="auto"/>
            <w:vAlign w:val="center"/>
          </w:tcPr>
          <w:p w14:paraId="218684D0">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6</w:t>
            </w:r>
          </w:p>
        </w:tc>
        <w:tc>
          <w:tcPr>
            <w:tcW w:w="951" w:type="dxa"/>
            <w:tcBorders>
              <w:top w:val="single" w:color="auto" w:sz="4" w:space="0"/>
              <w:left w:val="single" w:color="auto" w:sz="4" w:space="0"/>
              <w:bottom w:val="single" w:color="auto" w:sz="4" w:space="0"/>
              <w:right w:val="single" w:color="auto" w:sz="4" w:space="0"/>
            </w:tcBorders>
            <w:shd w:val="clear" w:color="auto" w:fill="auto"/>
            <w:vAlign w:val="center"/>
          </w:tcPr>
          <w:p w14:paraId="40A1D2E3">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中药熏蒸仪</w:t>
            </w:r>
          </w:p>
        </w:tc>
        <w:tc>
          <w:tcPr>
            <w:tcW w:w="567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B243891">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定时时间：1-99min任意可调，连续工作时间≥8h；温度显示范围：0℃-150℃，显示精度±1℃。</w:t>
            </w:r>
          </w:p>
          <w:p w14:paraId="579ACDF1">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压力调节范围：20-35KPa  ，即16档可调；输入功率：2000VA：熏蒸锅容积：7L；</w:t>
            </w:r>
          </w:p>
          <w:p w14:paraId="68DB8A63">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正常工作加药量V：2.2L≤V≤5L；双路输出中药蒸汽,既可为一个患者提供两个部位治疗,也可同时治疗两个患者,互不影响、效益倍增。；两种工作模式可任意设定（即常规模式、强弱模式）；</w:t>
            </w:r>
          </w:p>
          <w:p w14:paraId="4958F120">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采用广视角液晶屏显示仪器的工作参数，并具有实时状态提示功能。如“液体缺少，请加液体、”“正在预热”、“正在治疗”、“压力超高，正在减压”等。</w:t>
            </w:r>
          </w:p>
          <w:p w14:paraId="74272772">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熏蒸容器具有六重安全防护装置，如达到压力自动泄压、限压阀失效后安全阀自动泄气等多重安全保护装置。</w:t>
            </w:r>
          </w:p>
          <w:p w14:paraId="1D2143EA">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具有超温、超压、缺水保护并具有声响提示，多重保护措施，使仪器工作过程更加安全。</w:t>
            </w:r>
          </w:p>
          <w:p w14:paraId="20373975">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设有两个独立的熏蒸容器，并在熏蒸容器内设置具有过滤功能的蒸汽输出装置，防止药渣进入，堵塞蒸汽管道；蒸汽输出装置可拆卸，方便清洗药垢。</w:t>
            </w:r>
          </w:p>
          <w:p w14:paraId="01A401FE">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配备冷凝水收集系统，保证喷出的蒸汽中没有凝聚的水珠，从而避免烫伤患者。</w:t>
            </w:r>
          </w:p>
          <w:p w14:paraId="0BED2181">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翻盖0～90°范围内任意悬停。</w:t>
            </w:r>
          </w:p>
          <w:p w14:paraId="232AF622">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喷头配有嵌入式吸水海绵隔离罩，吸附多余水珠，使病人和喷嘴之间保持安全距离，防止烫伤。</w:t>
            </w:r>
          </w:p>
          <w:p w14:paraId="42313208">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配置自动、手动两种排废液方式，互不干扰，方便医护人员使用。</w:t>
            </w:r>
          </w:p>
          <w:p w14:paraId="74593D86">
            <w:pPr>
              <w:numPr>
                <w:ilvl w:val="0"/>
                <w:numId w:val="1"/>
              </w:numPr>
              <w:jc w:val="both"/>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熏蒸容器采用外置式一体成型加热器，有效防止药液对加热装置的腐蚀，延长使用寿命。</w:t>
            </w:r>
          </w:p>
          <w:p w14:paraId="1E9A3352">
            <w:pPr>
              <w:jc w:val="both"/>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13.多角度治疗：三维万向旋转臂杆，360°旋转喷头，针对于某个部位的熏蒸灵活性大，无需患者脱衣治疗，只需露出熏蒸部位熏蒸治疗，方便灵活。14.具有浓度检测功能，通过数值大小指示运行时药物的浓度，清晰直观。</w:t>
            </w:r>
          </w:p>
        </w:tc>
        <w:tc>
          <w:tcPr>
            <w:tcW w:w="674" w:type="dxa"/>
            <w:tcBorders>
              <w:top w:val="single" w:color="auto" w:sz="4" w:space="0"/>
              <w:left w:val="single" w:color="auto" w:sz="4" w:space="0"/>
              <w:bottom w:val="single" w:color="auto" w:sz="4" w:space="0"/>
              <w:right w:val="single" w:color="auto" w:sz="4" w:space="0"/>
            </w:tcBorders>
            <w:shd w:val="clear" w:color="auto" w:fill="auto"/>
            <w:vAlign w:val="center"/>
          </w:tcPr>
          <w:p w14:paraId="1CAF8B29">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auto" w:sz="4" w:space="0"/>
              <w:left w:val="single" w:color="auto" w:sz="4" w:space="0"/>
              <w:bottom w:val="single" w:color="auto" w:sz="4" w:space="0"/>
              <w:right w:val="single" w:color="auto" w:sz="4" w:space="0"/>
            </w:tcBorders>
            <w:shd w:val="clear" w:color="auto" w:fill="auto"/>
            <w:vAlign w:val="center"/>
          </w:tcPr>
          <w:p w14:paraId="157A6A7B">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w:t>
            </w:r>
          </w:p>
        </w:tc>
        <w:tc>
          <w:tcPr>
            <w:tcW w:w="1570" w:type="dxa"/>
            <w:tcBorders>
              <w:top w:val="single" w:color="auto" w:sz="4" w:space="0"/>
              <w:left w:val="single" w:color="auto" w:sz="4" w:space="0"/>
              <w:bottom w:val="single" w:color="auto" w:sz="4" w:space="0"/>
              <w:right w:val="single" w:color="auto" w:sz="4" w:space="0"/>
            </w:tcBorders>
            <w:shd w:val="clear" w:color="auto" w:fill="auto"/>
            <w:vAlign w:val="center"/>
          </w:tcPr>
          <w:p w14:paraId="1453A835">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60288" behindDoc="0" locked="0" layoutInCell="1" allowOverlap="1">
                  <wp:simplePos x="0" y="0"/>
                  <wp:positionH relativeFrom="column">
                    <wp:posOffset>-31750</wp:posOffset>
                  </wp:positionH>
                  <wp:positionV relativeFrom="paragraph">
                    <wp:posOffset>60960</wp:posOffset>
                  </wp:positionV>
                  <wp:extent cx="923290" cy="1812925"/>
                  <wp:effectExtent l="0" t="0" r="10160" b="15875"/>
                  <wp:wrapNone/>
                  <wp:docPr id="90" name="图片_6"/>
                  <wp:cNvGraphicFramePr/>
                  <a:graphic xmlns:a="http://schemas.openxmlformats.org/drawingml/2006/main">
                    <a:graphicData uri="http://schemas.openxmlformats.org/drawingml/2006/picture">
                      <pic:pic xmlns:pic="http://schemas.openxmlformats.org/drawingml/2006/picture">
                        <pic:nvPicPr>
                          <pic:cNvPr id="90" name="图片_6"/>
                          <pic:cNvPicPr/>
                        </pic:nvPicPr>
                        <pic:blipFill>
                          <a:blip r:embed="rId5"/>
                          <a:stretch>
                            <a:fillRect/>
                          </a:stretch>
                        </pic:blipFill>
                        <pic:spPr>
                          <a:xfrm>
                            <a:off x="0" y="0"/>
                            <a:ext cx="923290" cy="1812925"/>
                          </a:xfrm>
                          <a:prstGeom prst="rect">
                            <a:avLst/>
                          </a:prstGeom>
                          <a:noFill/>
                          <a:ln>
                            <a:noFill/>
                          </a:ln>
                        </pic:spPr>
                      </pic:pic>
                    </a:graphicData>
                  </a:graphic>
                </wp:anchor>
              </w:drawing>
            </w:r>
          </w:p>
        </w:tc>
      </w:tr>
      <w:tr w14:paraId="794D637E">
        <w:tblPrEx>
          <w:tblCellMar>
            <w:top w:w="0" w:type="dxa"/>
            <w:left w:w="108" w:type="dxa"/>
            <w:bottom w:w="0" w:type="dxa"/>
            <w:right w:w="108" w:type="dxa"/>
          </w:tblCellMar>
        </w:tblPrEx>
        <w:trPr>
          <w:trHeight w:val="3924" w:hRule="atLeast"/>
        </w:trPr>
        <w:tc>
          <w:tcPr>
            <w:tcW w:w="756" w:type="dxa"/>
            <w:tcBorders>
              <w:top w:val="single" w:color="auto" w:sz="4" w:space="0"/>
              <w:left w:val="single" w:color="000000" w:sz="4" w:space="0"/>
              <w:bottom w:val="single" w:color="000000" w:sz="4" w:space="0"/>
              <w:right w:val="single" w:color="000000" w:sz="4" w:space="0"/>
            </w:tcBorders>
            <w:shd w:val="clear" w:color="auto" w:fill="auto"/>
            <w:vAlign w:val="center"/>
          </w:tcPr>
          <w:p w14:paraId="16240C2A">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7</w:t>
            </w:r>
          </w:p>
        </w:tc>
        <w:tc>
          <w:tcPr>
            <w:tcW w:w="951" w:type="dxa"/>
            <w:tcBorders>
              <w:top w:val="single" w:color="auto" w:sz="4" w:space="0"/>
              <w:left w:val="single" w:color="000000" w:sz="4" w:space="0"/>
              <w:bottom w:val="single" w:color="000000" w:sz="4" w:space="0"/>
              <w:right w:val="single" w:color="000000" w:sz="4" w:space="0"/>
            </w:tcBorders>
            <w:shd w:val="clear" w:color="auto" w:fill="auto"/>
            <w:vAlign w:val="center"/>
          </w:tcPr>
          <w:p w14:paraId="7FF36359">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微量泵(单泵）</w:t>
            </w:r>
          </w:p>
        </w:tc>
        <w:tc>
          <w:tcPr>
            <w:tcW w:w="5677" w:type="dxa"/>
            <w:tcBorders>
              <w:top w:val="single" w:color="auto" w:sz="4" w:space="0"/>
              <w:left w:val="single" w:color="000000" w:sz="4" w:space="0"/>
              <w:bottom w:val="single" w:color="000000" w:sz="4" w:space="0"/>
              <w:right w:val="single" w:color="000000" w:sz="4" w:space="0"/>
            </w:tcBorders>
            <w:shd w:val="clear" w:color="auto" w:fill="auto"/>
            <w:vAlign w:val="center"/>
          </w:tcPr>
          <w:p w14:paraId="37374119">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1 注射器规格  20ml 、30ml 、50ml</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 注射速率   50ml：0.1ml/h---1200ml/h（0.1-999ml每级0.1ml/h，1000ml以上每级1ml/h）30ml：0.1ml/h---600ml/h （每级0.1ml/h）</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20ml：0.1ml/h---399.9ml/h（每级0.1ml/h）</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3 快速速率  1200ml/h (50ml 注射器)600ml/h ( 30ml注射器)99.9ml/h ( 20ml 注射器)</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4 累计容量 0.1—9999ml（0.1-999，以0.1ml/h递增；1000ml以上，以1ml/h递增）</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5 限制量 0—9999ml</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6 精度 ≤±2% （泵本身机械精度≤±1%）</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7 电源AC220V±22V  50HZ±1HZ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DC12V 充电16小时后可持续工作3.8小时以上</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8 环境条件温度- 5—40℃ 相对湿度  20%---90%</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9 报警残留提示、注射完毕报警、阻塞报警、针筒装夹不正确报警、注射器推杆安装错误报警、系统出错报警、开机后遗忘操作报警、速率超范围提示、输出量等于限制量提示、电源线脱落报警、电池欠压报警、电池电量耗尽报警。</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10 自动识别注射器规格</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11 可使用一次性注射器（包含13种不同品牌）</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12 阻塞后针筒内压力自动释放</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13 可记录500条以上（含500条）历史纪录）</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14 具有压力限制选择：低压（L）、中压（C）、高压(H)，出厂值为中压（C）。</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15 快速输液控制</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16 RS232 电脑接口</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17 限制量设定：设定使用限制量，当实际注射总量等于限制量时即发出限制量到报警。</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18 KVO速率</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19 安全类型：Ⅰ类CF型</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20 IP等级IP×4（防溅水）</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color w:val="auto"/>
                <w:sz w:val="24"/>
                <w:szCs w:val="24"/>
                <w:lang w:eastAsia="zh-CN" w:bidi="ar"/>
              </w:rPr>
              <w:t>21 通过CE认证（暨符合最新标准YY0709-2009. 符合IEC60601-2-24标准和IEC60601-1-2标准）</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22 快速推进键保险</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23 注射过程中快速推注功能</w:t>
            </w:r>
          </w:p>
        </w:tc>
        <w:tc>
          <w:tcPr>
            <w:tcW w:w="674" w:type="dxa"/>
            <w:tcBorders>
              <w:top w:val="single" w:color="auto" w:sz="4" w:space="0"/>
              <w:left w:val="single" w:color="000000" w:sz="4" w:space="0"/>
              <w:bottom w:val="single" w:color="000000" w:sz="4" w:space="0"/>
              <w:right w:val="single" w:color="000000" w:sz="4" w:space="0"/>
            </w:tcBorders>
            <w:shd w:val="clear" w:color="auto" w:fill="auto"/>
            <w:vAlign w:val="center"/>
          </w:tcPr>
          <w:p w14:paraId="5DC927FC">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auto" w:sz="4" w:space="0"/>
              <w:left w:val="single" w:color="000000" w:sz="4" w:space="0"/>
              <w:bottom w:val="single" w:color="000000" w:sz="4" w:space="0"/>
              <w:right w:val="single" w:color="000000" w:sz="4" w:space="0"/>
            </w:tcBorders>
            <w:shd w:val="clear" w:color="auto" w:fill="auto"/>
            <w:vAlign w:val="center"/>
          </w:tcPr>
          <w:p w14:paraId="090FC877">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w:t>
            </w:r>
          </w:p>
        </w:tc>
        <w:tc>
          <w:tcPr>
            <w:tcW w:w="1570" w:type="dxa"/>
            <w:tcBorders>
              <w:top w:val="single" w:color="auto" w:sz="4" w:space="0"/>
              <w:left w:val="single" w:color="000000" w:sz="4" w:space="0"/>
              <w:bottom w:val="single" w:color="000000" w:sz="4" w:space="0"/>
              <w:right w:val="single" w:color="000000" w:sz="4" w:space="0"/>
            </w:tcBorders>
            <w:shd w:val="clear" w:color="auto" w:fill="auto"/>
            <w:vAlign w:val="center"/>
          </w:tcPr>
          <w:p w14:paraId="3D8A2F82">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61312" behindDoc="0" locked="0" layoutInCell="1" allowOverlap="1">
                  <wp:simplePos x="0" y="0"/>
                  <wp:positionH relativeFrom="column">
                    <wp:posOffset>-607695</wp:posOffset>
                  </wp:positionH>
                  <wp:positionV relativeFrom="paragraph">
                    <wp:posOffset>191770</wp:posOffset>
                  </wp:positionV>
                  <wp:extent cx="2038350" cy="852805"/>
                  <wp:effectExtent l="0" t="0" r="4445" b="0"/>
                  <wp:wrapNone/>
                  <wp:docPr id="87" name="图片_3"/>
                  <wp:cNvGraphicFramePr/>
                  <a:graphic xmlns:a="http://schemas.openxmlformats.org/drawingml/2006/main">
                    <a:graphicData uri="http://schemas.openxmlformats.org/drawingml/2006/picture">
                      <pic:pic xmlns:pic="http://schemas.openxmlformats.org/drawingml/2006/picture">
                        <pic:nvPicPr>
                          <pic:cNvPr id="87" name="图片_3"/>
                          <pic:cNvPicPr/>
                        </pic:nvPicPr>
                        <pic:blipFill>
                          <a:blip r:embed="rId6"/>
                          <a:stretch>
                            <a:fillRect/>
                          </a:stretch>
                        </pic:blipFill>
                        <pic:spPr>
                          <a:xfrm rot="5400000">
                            <a:off x="0" y="0"/>
                            <a:ext cx="2038350" cy="852805"/>
                          </a:xfrm>
                          <a:prstGeom prst="rect">
                            <a:avLst/>
                          </a:prstGeom>
                          <a:noFill/>
                          <a:ln>
                            <a:noFill/>
                          </a:ln>
                        </pic:spPr>
                      </pic:pic>
                    </a:graphicData>
                  </a:graphic>
                </wp:anchor>
              </w:drawing>
            </w:r>
          </w:p>
        </w:tc>
      </w:tr>
      <w:tr w14:paraId="73800844">
        <w:tblPrEx>
          <w:tblCellMar>
            <w:top w:w="0" w:type="dxa"/>
            <w:left w:w="108" w:type="dxa"/>
            <w:bottom w:w="0" w:type="dxa"/>
            <w:right w:w="108" w:type="dxa"/>
          </w:tblCellMar>
        </w:tblPrEx>
        <w:trPr>
          <w:trHeight w:val="5220"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ECDBD">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8</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793F7">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微量注射泵(双泵）</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44F6E">
            <w:pPr>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‌1 注射器规格 10 ml 、20ml 、30ml 、50ml</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 注射速率 50ml：0.1ml/h---1200ml/h（0.1-999ml每级0.1ml/h，1000ml以上每级1ml/h） 30ml：0.1ml/h---600ml/h （每级0.1ml/h）</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20ml：0.1ml/h---399.9ml/h（每级0.1ml/h）</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10ml：0.1ml/h---300ml/h（每级0.1ml/h）</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3 快速推注    1200ml/h (50ml 注射器)600.0ml/h ( 30ml注射器)399.9ml/h ( 20ml 注射器300.0ml/h ( 10ml 注射器)</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4 累计容量 0.1—9999ml（0.1-999，以0.1ml/h递增；1000ml以上，以1ml/h递增）</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5 限制量 0—9999ml</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6 精度 ≤±2% （泵本身机械精度≤±1%）</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7 电源 AC220V±22V  50HZ±1HZ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DC12V 充电16小时后以5ml/h可持续工作不低于3小时</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8 环境条件温度- 5—40℃ 相对湿度  20%---90%</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9 报警残留提示、注射完毕报警、阻塞报警、针筒装夹不正确报警、注射器推杆安装错误报警、系统出错报警、开机后遗忘操作报警、速率超范围提示、输出量等于限制量提示、电源线脱落报警、电池欠压报警、电池电量耗尽报警。</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10 报警优先级</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11 自动识别注射器规格</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12 可使用一次性注射器（包含13种不同品牌），并且可为客户量身校准其他品牌</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13 阻塞后针筒内压力自动释放</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14 可记录500条以上（含500条）历史纪录）</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15 RS232 电脑接口</w:t>
            </w:r>
          </w:p>
          <w:p w14:paraId="49F833F5">
            <w:pPr>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16 限制量设定：设定使用限制量，当实际注射总量等于限制量时即发出限制量到报警</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17 重量 3.2kg 不含固定夹</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18 三档阻塞压力等级选择 低（L300mmHg+/100mmHg</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中（C）500mmHg+/- 100mmHg  高（H）800mmHg+/- 200mmHg</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19 KVO速率</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20 类型：Ⅰ类CF型</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21 IP等级：IP×4（防溅水）</w:t>
            </w:r>
          </w:p>
          <w:p w14:paraId="51EE27BA">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22 符合YY0709国家标准</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23 符合YY0505国家标准</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24 快速推进键保险</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25 注射过程中快速推注</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6EFB9">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76E4A">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6</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EDDCD">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62336" behindDoc="0" locked="0" layoutInCell="1" allowOverlap="1">
                  <wp:simplePos x="0" y="0"/>
                  <wp:positionH relativeFrom="column">
                    <wp:posOffset>-439420</wp:posOffset>
                  </wp:positionH>
                  <wp:positionV relativeFrom="paragraph">
                    <wp:posOffset>-518795</wp:posOffset>
                  </wp:positionV>
                  <wp:extent cx="1751965" cy="957580"/>
                  <wp:effectExtent l="0" t="0" r="13970" b="635"/>
                  <wp:wrapNone/>
                  <wp:docPr id="89" name="图片_1"/>
                  <wp:cNvGraphicFramePr/>
                  <a:graphic xmlns:a="http://schemas.openxmlformats.org/drawingml/2006/main">
                    <a:graphicData uri="http://schemas.openxmlformats.org/drawingml/2006/picture">
                      <pic:pic xmlns:pic="http://schemas.openxmlformats.org/drawingml/2006/picture">
                        <pic:nvPicPr>
                          <pic:cNvPr id="89" name="图片_1"/>
                          <pic:cNvPicPr/>
                        </pic:nvPicPr>
                        <pic:blipFill>
                          <a:blip r:embed="rId7"/>
                          <a:stretch>
                            <a:fillRect/>
                          </a:stretch>
                        </pic:blipFill>
                        <pic:spPr>
                          <a:xfrm rot="5400000">
                            <a:off x="0" y="0"/>
                            <a:ext cx="1751965" cy="957580"/>
                          </a:xfrm>
                          <a:prstGeom prst="rect">
                            <a:avLst/>
                          </a:prstGeom>
                          <a:noFill/>
                          <a:ln>
                            <a:noFill/>
                          </a:ln>
                        </pic:spPr>
                      </pic:pic>
                    </a:graphicData>
                  </a:graphic>
                </wp:anchor>
              </w:drawing>
            </w:r>
          </w:p>
        </w:tc>
      </w:tr>
      <w:tr w14:paraId="705327E3">
        <w:tblPrEx>
          <w:tblCellMar>
            <w:top w:w="0" w:type="dxa"/>
            <w:left w:w="108" w:type="dxa"/>
            <w:bottom w:w="0" w:type="dxa"/>
            <w:right w:w="108" w:type="dxa"/>
          </w:tblCellMar>
        </w:tblPrEx>
        <w:trPr>
          <w:trHeight w:val="2484"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A1038">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9</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CDD08">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可视喉镜</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84796">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分辨率：≥3.72lp/mm。</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景深范围：</w:t>
            </w:r>
            <w:r>
              <w:rPr>
                <w:rFonts w:hint="eastAsia" w:asciiTheme="minorEastAsia" w:hAnsiTheme="minorEastAsia" w:eastAsiaTheme="minorEastAsia" w:cstheme="minorEastAsia"/>
                <w:sz w:val="24"/>
                <w:szCs w:val="24"/>
                <w:lang w:val="en-US" w:eastAsia="zh-CN" w:bidi="ar"/>
              </w:rPr>
              <w:t>3-100mm</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摄像头：30万像素。</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光照度：≥150Lux。</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视场角：60°±15%。</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显示系统</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液晶屏像素：320×240。</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显示器调节：上下0°</w:t>
            </w:r>
            <w:r>
              <w:rPr>
                <w:rFonts w:hint="eastAsia" w:asciiTheme="minorEastAsia" w:hAnsiTheme="minorEastAsia" w:eastAsiaTheme="minorEastAsia" w:cstheme="minorEastAsia"/>
                <w:sz w:val="24"/>
                <w:szCs w:val="24"/>
                <w:lang w:val="en-US" w:eastAsia="zh-CN" w:bidi="ar"/>
              </w:rPr>
              <w:t>-</w:t>
            </w:r>
            <w:r>
              <w:rPr>
                <w:rFonts w:hint="eastAsia" w:asciiTheme="minorEastAsia" w:hAnsiTheme="minorEastAsia" w:eastAsiaTheme="minorEastAsia" w:cstheme="minorEastAsia"/>
                <w:sz w:val="24"/>
                <w:szCs w:val="24"/>
                <w:lang w:eastAsia="zh-CN" w:bidi="ar"/>
              </w:rPr>
              <w:t>130°转动，左右</w:t>
            </w:r>
            <w:r>
              <w:rPr>
                <w:rFonts w:hint="eastAsia" w:asciiTheme="minorEastAsia" w:hAnsiTheme="minorEastAsia" w:eastAsiaTheme="minorEastAsia" w:cstheme="minorEastAsia"/>
                <w:color w:val="auto"/>
                <w:sz w:val="24"/>
                <w:szCs w:val="24"/>
                <w:lang w:eastAsia="zh-CN" w:bidi="ar"/>
              </w:rPr>
              <w:t>0°</w:t>
            </w:r>
            <w:r>
              <w:rPr>
                <w:rFonts w:hint="eastAsia" w:asciiTheme="minorEastAsia" w:hAnsiTheme="minorEastAsia" w:eastAsiaTheme="minorEastAsia" w:cstheme="minorEastAsia"/>
                <w:color w:val="auto"/>
                <w:sz w:val="24"/>
                <w:szCs w:val="24"/>
                <w:lang w:val="en-US" w:eastAsia="zh-CN" w:bidi="ar"/>
              </w:rPr>
              <w:t>-180</w:t>
            </w:r>
            <w:r>
              <w:rPr>
                <w:rFonts w:hint="eastAsia" w:asciiTheme="minorEastAsia" w:hAnsiTheme="minorEastAsia" w:eastAsiaTheme="minorEastAsia" w:cstheme="minorEastAsia"/>
                <w:color w:val="auto"/>
                <w:sz w:val="24"/>
                <w:szCs w:val="24"/>
                <w:lang w:eastAsia="zh-CN" w:bidi="ar"/>
              </w:rPr>
              <w:t>°转动。</w:t>
            </w:r>
            <w:r>
              <w:rPr>
                <w:rFonts w:hint="eastAsia" w:asciiTheme="minorEastAsia" w:hAnsiTheme="minorEastAsia" w:eastAsiaTheme="minorEastAsia" w:cstheme="minorEastAsia"/>
                <w:color w:val="auto"/>
                <w:sz w:val="24"/>
                <w:szCs w:val="24"/>
                <w:lang w:eastAsia="zh-CN" w:bidi="ar"/>
              </w:rPr>
              <w:br w:type="textWrapping"/>
            </w:r>
            <w:r>
              <w:rPr>
                <w:rFonts w:hint="eastAsia" w:asciiTheme="minorEastAsia" w:hAnsiTheme="minorEastAsia" w:eastAsiaTheme="minorEastAsia" w:cstheme="minorEastAsia"/>
                <w:sz w:val="24"/>
                <w:szCs w:val="24"/>
                <w:lang w:eastAsia="zh-CN" w:bidi="ar"/>
              </w:rPr>
              <w:t>产品结构</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组成部分：显示部件、镜片支架部件（含摄像头、LED灯）、充电器。</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适用范围：与一次性使用喉镜片配套使用，供临床挑起患者会厌部暴露声门，指引气道插管，也可用于口腔内诊察治疗。</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F0A80">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2B581">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9EA02">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63360" behindDoc="0" locked="0" layoutInCell="1" allowOverlap="1">
                  <wp:simplePos x="0" y="0"/>
                  <wp:positionH relativeFrom="column">
                    <wp:posOffset>66675</wp:posOffset>
                  </wp:positionH>
                  <wp:positionV relativeFrom="paragraph">
                    <wp:posOffset>-364490</wp:posOffset>
                  </wp:positionV>
                  <wp:extent cx="709930" cy="982980"/>
                  <wp:effectExtent l="0" t="0" r="13970" b="7620"/>
                  <wp:wrapNone/>
                  <wp:docPr id="74" name="图片_4"/>
                  <wp:cNvGraphicFramePr/>
                  <a:graphic xmlns:a="http://schemas.openxmlformats.org/drawingml/2006/main">
                    <a:graphicData uri="http://schemas.openxmlformats.org/drawingml/2006/picture">
                      <pic:pic xmlns:pic="http://schemas.openxmlformats.org/drawingml/2006/picture">
                        <pic:nvPicPr>
                          <pic:cNvPr id="74" name="图片_4"/>
                          <pic:cNvPicPr/>
                        </pic:nvPicPr>
                        <pic:blipFill>
                          <a:blip r:embed="rId8"/>
                          <a:stretch>
                            <a:fillRect/>
                          </a:stretch>
                        </pic:blipFill>
                        <pic:spPr>
                          <a:xfrm>
                            <a:off x="0" y="0"/>
                            <a:ext cx="709930" cy="982980"/>
                          </a:xfrm>
                          <a:prstGeom prst="rect">
                            <a:avLst/>
                          </a:prstGeom>
                          <a:noFill/>
                          <a:ln>
                            <a:noFill/>
                          </a:ln>
                        </pic:spPr>
                      </pic:pic>
                    </a:graphicData>
                  </a:graphic>
                </wp:anchor>
              </w:drawing>
            </w:r>
          </w:p>
        </w:tc>
      </w:tr>
      <w:tr w14:paraId="60A62EA3">
        <w:tblPrEx>
          <w:tblCellMar>
            <w:top w:w="0" w:type="dxa"/>
            <w:left w:w="108" w:type="dxa"/>
            <w:bottom w:w="0" w:type="dxa"/>
            <w:right w:w="108" w:type="dxa"/>
          </w:tblCellMar>
        </w:tblPrEx>
        <w:trPr>
          <w:trHeight w:val="1776"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E3583">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10</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7BAC8">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床单位消毒机</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55C7B">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核心参数：臭氧浓度≥3000mg/m³，产量≥</w:t>
            </w:r>
            <w:r>
              <w:rPr>
                <w:rFonts w:hint="eastAsia" w:asciiTheme="minorEastAsia" w:hAnsiTheme="minorEastAsia" w:eastAsiaTheme="minorEastAsia" w:cstheme="minorEastAsia"/>
                <w:sz w:val="24"/>
                <w:szCs w:val="24"/>
                <w:lang w:val="en-US" w:eastAsia="zh-CN" w:bidi="ar"/>
              </w:rPr>
              <w:t>4.68</w:t>
            </w:r>
            <w:r>
              <w:rPr>
                <w:rFonts w:hint="eastAsia" w:asciiTheme="minorEastAsia" w:hAnsiTheme="minorEastAsia" w:eastAsiaTheme="minorEastAsia" w:cstheme="minorEastAsia"/>
                <w:sz w:val="24"/>
                <w:szCs w:val="24"/>
                <w:lang w:eastAsia="zh-CN" w:bidi="ar"/>
              </w:rPr>
              <w:t>g/h，泄漏≤0.02mg/m³，流量≥22L/min，双管路可同时消2床/4床被褥，消毒时间0-99min（默认10min），还原时间≥10min，AC 220V 50Hz，功率≤150W，噪音＜50dB。</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99BA5">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4F54A">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4</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2E48A">
            <w:pPr>
              <w:jc w:val="center"/>
              <w:rPr>
                <w:rFonts w:asciiTheme="minorEastAsia" w:hAnsiTheme="minorEastAsia" w:eastAsiaTheme="minorEastAsia" w:cstheme="minorEastAsia"/>
                <w:sz w:val="24"/>
                <w:szCs w:val="24"/>
              </w:rPr>
            </w:pPr>
          </w:p>
        </w:tc>
      </w:tr>
      <w:tr w14:paraId="176BE55B">
        <w:tblPrEx>
          <w:tblCellMar>
            <w:top w:w="0" w:type="dxa"/>
            <w:left w:w="108" w:type="dxa"/>
            <w:bottom w:w="0" w:type="dxa"/>
            <w:right w:w="108" w:type="dxa"/>
          </w:tblCellMar>
        </w:tblPrEx>
        <w:trPr>
          <w:trHeight w:val="2388"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81F5F">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11</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85886">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空气消毒机（挂壁式）</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904CA">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 安装方式：壁挂式，不占用地面空间。</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电源规格：AC 220V 50Hz，额定功率≤50W。</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 消毒性能</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 - 消毒方法：等离子体+静电吸附复合技术。</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适用空间：≤60m³，额定循环风量600m³/h。</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噪音水平：&lt;54.5dB。</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 等离子体参数</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 - 等离子体密度：≥4.5×10^17个/m³。</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电场强度：杀菌区8000V，积尘区4000V。</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color w:val="auto"/>
                <w:sz w:val="24"/>
                <w:szCs w:val="24"/>
                <w:lang w:eastAsia="zh-CN" w:bidi="ar"/>
              </w:rPr>
              <w:t xml:space="preserve">- </w:t>
            </w:r>
            <w:r>
              <w:rPr>
                <w:rFonts w:hint="eastAsia" w:asciiTheme="minorEastAsia" w:hAnsiTheme="minorEastAsia" w:eastAsiaTheme="minorEastAsia" w:cstheme="minorEastAsia"/>
                <w:color w:val="auto"/>
                <w:sz w:val="24"/>
                <w:szCs w:val="24"/>
                <w:lang w:val="en-US" w:eastAsia="zh-CN" w:bidi="ar"/>
              </w:rPr>
              <w:t>等离子体发</w:t>
            </w:r>
            <w:r>
              <w:rPr>
                <w:rFonts w:hint="eastAsia" w:asciiTheme="minorEastAsia" w:hAnsiTheme="minorEastAsia" w:eastAsiaTheme="minorEastAsia" w:cstheme="minorEastAsia"/>
                <w:sz w:val="24"/>
                <w:szCs w:val="24"/>
                <w:lang w:eastAsia="zh-CN" w:bidi="ar"/>
              </w:rPr>
              <w:t>生器寿命：≥25000小时。</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臭氧残留：≤0.01mg/m³。</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 净化效果</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 - 细菌杀灭率：气雾室细菌杀灭率&gt;99.99%。</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自然菌消亡率：&gt;97.85%。</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消毒后菌落数：≤12cfu/m³。</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PM2.5去除率：≤</w:t>
            </w:r>
            <w:r>
              <w:rPr>
                <w:rFonts w:hint="eastAsia" w:asciiTheme="minorEastAsia" w:hAnsiTheme="minorEastAsia" w:eastAsiaTheme="minorEastAsia" w:cstheme="minorEastAsia"/>
                <w:color w:val="auto"/>
                <w:sz w:val="24"/>
                <w:szCs w:val="24"/>
                <w:lang w:val="en-US" w:eastAsia="zh-CN" w:bidi="ar"/>
              </w:rPr>
              <w:t>90%</w:t>
            </w:r>
            <w:r>
              <w:rPr>
                <w:rFonts w:hint="eastAsia" w:asciiTheme="minorEastAsia" w:hAnsiTheme="minorEastAsia" w:eastAsiaTheme="minorEastAsia" w:cstheme="minorEastAsia"/>
                <w:sz w:val="24"/>
                <w:szCs w:val="24"/>
                <w:lang w:eastAsia="zh-CN" w:bidi="ar"/>
              </w:rPr>
              <w:t>，持续工作30分钟。</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 功能配置</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 - 控制方式：液晶中文显示屏+远红外线遥控。</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工作模式：手动、定时、临时多种模式，6组定时消毒。</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风速调节：三挡可调风速。</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报警功能：等离子体模块故障报警、过滤器清洗维护报警。</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999BE">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BD821">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5</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F361E">
            <w:pPr>
              <w:jc w:val="center"/>
              <w:rPr>
                <w:rFonts w:asciiTheme="minorEastAsia" w:hAnsiTheme="minorEastAsia" w:eastAsiaTheme="minorEastAsia" w:cstheme="minorEastAsia"/>
                <w:sz w:val="24"/>
                <w:szCs w:val="24"/>
              </w:rPr>
            </w:pPr>
          </w:p>
        </w:tc>
      </w:tr>
      <w:tr w14:paraId="5A980222">
        <w:tblPrEx>
          <w:tblCellMar>
            <w:top w:w="0" w:type="dxa"/>
            <w:left w:w="108" w:type="dxa"/>
            <w:bottom w:w="0" w:type="dxa"/>
            <w:right w:w="108" w:type="dxa"/>
          </w:tblCellMar>
        </w:tblPrEx>
        <w:trPr>
          <w:trHeight w:val="4212"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AA056">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12</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5D9A2">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眼科AB超</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B0640">
            <w:pPr>
              <w:numPr>
                <w:ilvl w:val="0"/>
                <w:numId w:val="2"/>
              </w:numPr>
              <w:textAlignment w:val="center"/>
              <w:rPr>
                <w:rFonts w:asciiTheme="minorEastAsia" w:hAnsiTheme="minorEastAsia" w:eastAsiaTheme="minorEastAsia" w:cstheme="minorEastAsia"/>
                <w:sz w:val="24"/>
                <w:szCs w:val="24"/>
                <w:lang w:eastAsia="zh-CN" w:bidi="ar"/>
              </w:rPr>
            </w:pPr>
            <w:r>
              <w:rPr>
                <w:rFonts w:hint="eastAsia" w:asciiTheme="minorEastAsia" w:hAnsiTheme="minorEastAsia" w:eastAsiaTheme="minorEastAsia" w:cstheme="minorEastAsia"/>
                <w:sz w:val="24"/>
                <w:szCs w:val="24"/>
                <w:lang w:eastAsia="zh-CN" w:bidi="ar"/>
              </w:rPr>
              <w:t>多种模式选择：具备正常、玻璃体增强和视网膜观察模式，可根据需要选择合适的模式进行眼内疾病的诊断和观察，帮助医生了解病灶的位置、形态范围以及与周围组织的关系。</w:t>
            </w:r>
          </w:p>
          <w:p w14:paraId="1C1B9C65">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2. 广泛应用：该设备可以有效诊断玻璃体浑浊、视网膜脱落、框内肿瘤等眼内疾病，为医生提供详细的病情信息，并辅助制定治疗方案。</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3. A超测量功能：使用内置发光管的10MHz进口小型探头，能够测量前房深度、晶状体厚度、玻璃体长度和眼轴长度等参数，并计算植入人工晶体的屈光度数，为手术提供准确的参考。</w:t>
            </w:r>
          </w:p>
          <w:p w14:paraId="6A4B8BAE">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4. B超影像：配</w:t>
            </w:r>
            <w:r>
              <w:rPr>
                <w:rFonts w:hint="eastAsia" w:asciiTheme="minorEastAsia" w:hAnsiTheme="minorEastAsia" w:eastAsiaTheme="minorEastAsia" w:cstheme="minorEastAsia"/>
                <w:color w:val="auto"/>
                <w:sz w:val="24"/>
                <w:szCs w:val="24"/>
                <w:lang w:eastAsia="zh-CN" w:bidi="ar"/>
              </w:rPr>
              <w:t>备10MHz</w:t>
            </w:r>
            <w:r>
              <w:rPr>
                <w:rFonts w:hint="eastAsia" w:asciiTheme="minorEastAsia" w:hAnsiTheme="minorEastAsia" w:eastAsiaTheme="minorEastAsia" w:cstheme="minorEastAsia"/>
                <w:sz w:val="24"/>
                <w:szCs w:val="24"/>
                <w:lang w:eastAsia="zh-CN" w:bidi="ar"/>
              </w:rPr>
              <w:t>静音探头，以扇形扫描方式获取高清B超图像。支持多级连续放大和实时放大功能，分辨率轴向小于0.3mm，纵向小于0.2mm，能够准确显示眼内病变，提供重要的诊断依据。</w:t>
            </w:r>
          </w:p>
          <w:p w14:paraId="6F3A8CDE">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5. 玻璃体和视网膜增强功能：具备玻璃体和视网膜增强功能，通过调整探头增益和伪彩模式，进一步提升图像质量，帮助医生观察和评估眼内疾病。</w:t>
            </w:r>
          </w:p>
          <w:p w14:paraId="343B07C0">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6. 便捷存储和回放：设备内置存储空间，可存储10次A超扫描结果和100幅B超图像，同时还支持AVI和JPG格式的影像输出，方便医生进行后续的诊断和分析。</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52831">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3B8AA">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03BEF">
            <w:pPr>
              <w:rPr>
                <w:rFonts w:asciiTheme="minorEastAsia" w:hAnsiTheme="minorEastAsia" w:eastAsiaTheme="minorEastAsia" w:cstheme="minorEastAsia"/>
                <w:sz w:val="24"/>
                <w:szCs w:val="24"/>
              </w:rPr>
            </w:pPr>
          </w:p>
        </w:tc>
      </w:tr>
      <w:tr w14:paraId="4026BD33">
        <w:tblPrEx>
          <w:tblCellMar>
            <w:top w:w="0" w:type="dxa"/>
            <w:left w:w="108" w:type="dxa"/>
            <w:bottom w:w="0" w:type="dxa"/>
            <w:right w:w="108" w:type="dxa"/>
          </w:tblCellMar>
        </w:tblPrEx>
        <w:trPr>
          <w:trHeight w:val="4212"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6C90A">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13</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B53AE">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救护车担架</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62C42">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核心参数</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 - 材质：高强度铝合金，轻便易清洁。</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尺寸：展开(高位)约195×58×90cm；(低位)约195×58×26-29cm。</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自重：约35-41kg，承重181kg。</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靠背调节：最大倾角约50°-75°（不同批次略有差异）。</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上车高度：三档可调（64/65/67cm），适配不同救护车车厢。</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轮子：前轮Ø125mm，后轮Ø150mm宽胎，推行与上车更稳。</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 关键配置</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 - 床垫：6cm厚耐磨夹网布，一次性焊接，阻燃防水。</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护栏与固定：铝合金翻转护栏+2根安全带；带保险锁与车厢固定装置。</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配件：倒复式二段点滴架，最高可调75cm。</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C7EC6">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83E82">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2E422">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64384" behindDoc="0" locked="0" layoutInCell="1" allowOverlap="1">
                  <wp:simplePos x="0" y="0"/>
                  <wp:positionH relativeFrom="column">
                    <wp:posOffset>-133350</wp:posOffset>
                  </wp:positionH>
                  <wp:positionV relativeFrom="paragraph">
                    <wp:posOffset>118110</wp:posOffset>
                  </wp:positionV>
                  <wp:extent cx="1209675" cy="775335"/>
                  <wp:effectExtent l="0" t="0" r="5715" b="9525"/>
                  <wp:wrapNone/>
                  <wp:docPr id="80" name="图片_7"/>
                  <wp:cNvGraphicFramePr/>
                  <a:graphic xmlns:a="http://schemas.openxmlformats.org/drawingml/2006/main">
                    <a:graphicData uri="http://schemas.openxmlformats.org/drawingml/2006/picture">
                      <pic:pic xmlns:pic="http://schemas.openxmlformats.org/drawingml/2006/picture">
                        <pic:nvPicPr>
                          <pic:cNvPr id="80" name="图片_7"/>
                          <pic:cNvPicPr/>
                        </pic:nvPicPr>
                        <pic:blipFill>
                          <a:blip r:embed="rId9"/>
                          <a:stretch>
                            <a:fillRect/>
                          </a:stretch>
                        </pic:blipFill>
                        <pic:spPr>
                          <a:xfrm rot="5400000">
                            <a:off x="0" y="0"/>
                            <a:ext cx="1209675" cy="775335"/>
                          </a:xfrm>
                          <a:prstGeom prst="rect">
                            <a:avLst/>
                          </a:prstGeom>
                          <a:noFill/>
                          <a:ln>
                            <a:noFill/>
                          </a:ln>
                        </pic:spPr>
                      </pic:pic>
                    </a:graphicData>
                  </a:graphic>
                </wp:anchor>
              </w:drawing>
            </w:r>
          </w:p>
        </w:tc>
      </w:tr>
      <w:tr w14:paraId="44B7C97D">
        <w:tblPrEx>
          <w:tblCellMar>
            <w:top w:w="0" w:type="dxa"/>
            <w:left w:w="108" w:type="dxa"/>
            <w:bottom w:w="0" w:type="dxa"/>
            <w:right w:w="108" w:type="dxa"/>
          </w:tblCellMar>
        </w:tblPrEx>
        <w:trPr>
          <w:trHeight w:val="2248"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526FE">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14</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5B377">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电针治疗仪（低频脉冲治疗仪）</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2CA39">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电源：AC220V、50Hz，或DC9V（6节2号电池）。</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输入功率：≤12VA。</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输出波形：连续波、疏密波、断续波。</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输出频率：连续波0.8-100Hz（连续可调）；疏密波10-26次/min（连续可调）。</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脉冲幅度（额定负载500Ω）：正脉冲＜90V，负脉冲＜40V。</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脉冲宽度：正脉冲</w:t>
            </w:r>
            <w:r>
              <w:rPr>
                <w:rFonts w:hint="eastAsia" w:asciiTheme="minorEastAsia" w:hAnsiTheme="minorEastAsia" w:eastAsiaTheme="minorEastAsia" w:cstheme="minorEastAsia"/>
                <w:sz w:val="24"/>
                <w:szCs w:val="24"/>
                <w:lang w:val="en-US" w:eastAsia="zh-CN" w:bidi="ar"/>
              </w:rPr>
              <w:t>200</w:t>
            </w:r>
            <w:r>
              <w:rPr>
                <w:rFonts w:hint="eastAsia" w:asciiTheme="minorEastAsia" w:hAnsiTheme="minorEastAsia" w:eastAsiaTheme="minorEastAsia" w:cstheme="minorEastAsia"/>
                <w:sz w:val="24"/>
                <w:szCs w:val="24"/>
                <w:lang w:eastAsia="zh-CN" w:bidi="ar"/>
              </w:rPr>
              <w:t>μs±20%。</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输出通道：六路输出，每组可独立调节强度。</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4DF6B">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C0FAB">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20071">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65408" behindDoc="0" locked="0" layoutInCell="1" allowOverlap="1">
                  <wp:simplePos x="0" y="0"/>
                  <wp:positionH relativeFrom="column">
                    <wp:posOffset>-313055</wp:posOffset>
                  </wp:positionH>
                  <wp:positionV relativeFrom="paragraph">
                    <wp:posOffset>128270</wp:posOffset>
                  </wp:positionV>
                  <wp:extent cx="1531620" cy="777875"/>
                  <wp:effectExtent l="0" t="0" r="3175" b="11430"/>
                  <wp:wrapNone/>
                  <wp:docPr id="75" name="图片_11"/>
                  <wp:cNvGraphicFramePr/>
                  <a:graphic xmlns:a="http://schemas.openxmlformats.org/drawingml/2006/main">
                    <a:graphicData uri="http://schemas.openxmlformats.org/drawingml/2006/picture">
                      <pic:pic xmlns:pic="http://schemas.openxmlformats.org/drawingml/2006/picture">
                        <pic:nvPicPr>
                          <pic:cNvPr id="75" name="图片_11"/>
                          <pic:cNvPicPr/>
                        </pic:nvPicPr>
                        <pic:blipFill>
                          <a:blip r:embed="rId10"/>
                          <a:stretch>
                            <a:fillRect/>
                          </a:stretch>
                        </pic:blipFill>
                        <pic:spPr>
                          <a:xfrm rot="5400000">
                            <a:off x="0" y="0"/>
                            <a:ext cx="1531620" cy="777875"/>
                          </a:xfrm>
                          <a:prstGeom prst="rect">
                            <a:avLst/>
                          </a:prstGeom>
                          <a:noFill/>
                          <a:ln>
                            <a:noFill/>
                          </a:ln>
                        </pic:spPr>
                      </pic:pic>
                    </a:graphicData>
                  </a:graphic>
                </wp:anchor>
              </w:drawing>
            </w:r>
          </w:p>
        </w:tc>
      </w:tr>
      <w:tr w14:paraId="027F6B7F">
        <w:tblPrEx>
          <w:tblCellMar>
            <w:top w:w="0" w:type="dxa"/>
            <w:left w:w="108" w:type="dxa"/>
            <w:bottom w:w="0" w:type="dxa"/>
            <w:right w:w="108" w:type="dxa"/>
          </w:tblCellMar>
        </w:tblPrEx>
        <w:trPr>
          <w:trHeight w:val="731"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9A377">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15</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0EB04">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艾灸架</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FE54D">
            <w:pPr>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由金属支架、调节旋钮、固定夹、底座组成。</w:t>
            </w:r>
          </w:p>
          <w:p w14:paraId="721CAEA9">
            <w:pP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支架材质：多采用耐高温金属材质（如不锈钢），确保长时间高温下不变形。</w:t>
            </w:r>
          </w:p>
          <w:p w14:paraId="5165749E">
            <w:pP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调节设计：通过旋钮或卡扣调节支架高度（常见</w:t>
            </w:r>
            <w:r>
              <w:rPr>
                <w:rFonts w:asciiTheme="minorEastAsia" w:hAnsiTheme="minorEastAsia" w:eastAsiaTheme="minorEastAsia" w:cstheme="minorEastAsia"/>
                <w:sz w:val="24"/>
                <w:szCs w:val="24"/>
                <w:lang w:eastAsia="zh-CN"/>
              </w:rPr>
              <w:t>5-15cm</w:t>
            </w:r>
            <w:r>
              <w:rPr>
                <w:rFonts w:hint="eastAsia" w:asciiTheme="minorEastAsia" w:hAnsiTheme="minorEastAsia" w:eastAsiaTheme="minorEastAsia" w:cstheme="minorEastAsia"/>
                <w:sz w:val="24"/>
                <w:szCs w:val="24"/>
                <w:lang w:eastAsia="zh-CN"/>
              </w:rPr>
              <w:t>范围）及倾斜角度，适应不同穴位定位需求。</w:t>
            </w:r>
          </w:p>
          <w:p w14:paraId="2104C9AD">
            <w:pP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固定夹：弹簧夹或磁吸式设计，兼容不同直径的艾条或艾柱（</w:t>
            </w:r>
            <w:r>
              <w:rPr>
                <w:rFonts w:asciiTheme="minorEastAsia" w:hAnsiTheme="minorEastAsia" w:eastAsiaTheme="minorEastAsia" w:cstheme="minorEastAsia"/>
                <w:sz w:val="24"/>
                <w:szCs w:val="24"/>
                <w:lang w:eastAsia="zh-CN"/>
              </w:rPr>
              <w:t>1.8-3.5cm</w:t>
            </w:r>
            <w:r>
              <w:rPr>
                <w:rFonts w:hint="eastAsia" w:asciiTheme="minorEastAsia" w:hAnsiTheme="minorEastAsia" w:eastAsiaTheme="minorEastAsia" w:cstheme="minorEastAsia"/>
                <w:sz w:val="24"/>
                <w:szCs w:val="24"/>
                <w:lang w:eastAsia="zh-CN"/>
              </w:rPr>
              <w:t>）。</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9C7CA">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27756">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10</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8E7C0">
            <w:pPr>
              <w:rPr>
                <w:rFonts w:asciiTheme="minorEastAsia" w:hAnsiTheme="minorEastAsia" w:eastAsiaTheme="minorEastAsia" w:cstheme="minorEastAsia"/>
                <w:sz w:val="24"/>
                <w:szCs w:val="24"/>
              </w:rPr>
            </w:pPr>
          </w:p>
        </w:tc>
      </w:tr>
      <w:tr w14:paraId="2FC4EF5B">
        <w:tblPrEx>
          <w:tblCellMar>
            <w:top w:w="0" w:type="dxa"/>
            <w:left w:w="108" w:type="dxa"/>
            <w:bottom w:w="0" w:type="dxa"/>
            <w:right w:w="108" w:type="dxa"/>
          </w:tblCellMar>
        </w:tblPrEx>
        <w:trPr>
          <w:trHeight w:val="1604"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BAA32">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16</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D2FD0">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红外线治疗仪</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FFB7A">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波长范围：0.6~2.5um(微米）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光源：红外线灯泡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额定功率：</w:t>
            </w:r>
            <w:r>
              <w:rPr>
                <w:rFonts w:hint="eastAsia" w:asciiTheme="minorEastAsia" w:hAnsiTheme="minorEastAsia" w:eastAsiaTheme="minorEastAsia" w:cstheme="minorEastAsia"/>
                <w:color w:val="auto"/>
                <w:sz w:val="24"/>
                <w:szCs w:val="24"/>
                <w:lang w:val="en-US" w:eastAsia="zh-CN" w:bidi="ar"/>
              </w:rPr>
              <w:t>100W</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机械定时 </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F6B03">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916F3">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10</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23F58">
            <w:pPr>
              <w:rPr>
                <w:rFonts w:asciiTheme="minorEastAsia" w:hAnsiTheme="minorEastAsia" w:eastAsiaTheme="minorEastAsia" w:cstheme="minorEastAsia"/>
                <w:sz w:val="24"/>
                <w:szCs w:val="24"/>
              </w:rPr>
            </w:pPr>
          </w:p>
        </w:tc>
      </w:tr>
      <w:tr w14:paraId="7F06DCA9">
        <w:tblPrEx>
          <w:tblCellMar>
            <w:top w:w="0" w:type="dxa"/>
            <w:left w:w="108" w:type="dxa"/>
            <w:bottom w:w="0" w:type="dxa"/>
            <w:right w:w="108" w:type="dxa"/>
          </w:tblCellMar>
        </w:tblPrEx>
        <w:trPr>
          <w:trHeight w:val="1631"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F4E7A">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17</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25EB0">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移动式紫外线消毒器</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73A89">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电源:220V±22V，50Hz±1Hz输入功率:150V主要杀菌因子:253.7nm紫外线作用时间:90分单支紫外线灯管辐照强度</w:t>
            </w:r>
            <w:r>
              <w:rPr>
                <w:rFonts w:hint="eastAsia" w:asciiTheme="minorEastAsia" w:hAnsiTheme="minorEastAsia" w:eastAsiaTheme="minorEastAsia" w:cstheme="minorEastAsia"/>
                <w:color w:val="auto"/>
                <w:sz w:val="24"/>
                <w:szCs w:val="24"/>
                <w:lang w:eastAsia="zh-CN" w:bidi="ar"/>
              </w:rPr>
              <w:t>:</w:t>
            </w:r>
            <w:r>
              <w:rPr>
                <w:rFonts w:hint="eastAsia" w:asciiTheme="minorEastAsia" w:hAnsiTheme="minorEastAsia" w:eastAsiaTheme="minorEastAsia" w:cstheme="minorEastAsia"/>
                <w:color w:val="auto"/>
                <w:sz w:val="24"/>
                <w:szCs w:val="24"/>
                <w:lang w:val="en-US" w:eastAsia="zh-CN" w:bidi="ar"/>
              </w:rPr>
              <w:t>≥90</w:t>
            </w:r>
            <w:r>
              <w:rPr>
                <w:rStyle w:val="4"/>
                <w:rFonts w:ascii="Arial" w:hAnsi="Arial" w:eastAsia="宋体" w:cs="Arial"/>
                <w:b/>
                <w:bCs/>
                <w:i w:val="0"/>
                <w:iCs w:val="0"/>
                <w:caps w:val="0"/>
                <w:color w:val="auto"/>
                <w:spacing w:val="0"/>
                <w:sz w:val="21"/>
                <w:szCs w:val="21"/>
                <w:shd w:val="clear" w:fill="FFFFFF"/>
              </w:rPr>
              <w:t>μW/cm²</w:t>
            </w:r>
            <w:r>
              <w:rPr>
                <w:rStyle w:val="4"/>
                <w:rFonts w:hint="eastAsia" w:eastAsia="宋体" w:cs="Arial"/>
                <w:b/>
                <w:bCs/>
                <w:i w:val="0"/>
                <w:iCs w:val="0"/>
                <w:caps w:val="0"/>
                <w:color w:val="auto"/>
                <w:spacing w:val="0"/>
                <w:sz w:val="21"/>
                <w:szCs w:val="21"/>
                <w:shd w:val="clear" w:fill="FFFFFF"/>
                <w:lang w:val="en-US" w:eastAsia="zh-CN"/>
              </w:rPr>
              <w:t xml:space="preserve"> </w:t>
            </w:r>
            <w:r>
              <w:rPr>
                <w:rFonts w:hint="eastAsia" w:asciiTheme="minorEastAsia" w:hAnsiTheme="minorEastAsia" w:eastAsiaTheme="minorEastAsia" w:cstheme="minorEastAsia"/>
                <w:sz w:val="24"/>
                <w:szCs w:val="24"/>
                <w:lang w:eastAsia="zh-CN" w:bidi="ar"/>
              </w:rPr>
              <w:t>整机建议使用寿命:8年灯管参数:30Wx2</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D873E">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A1789">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10</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5BD96">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66432" behindDoc="0" locked="0" layoutInCell="1" allowOverlap="1">
                  <wp:simplePos x="0" y="0"/>
                  <wp:positionH relativeFrom="column">
                    <wp:posOffset>-41275</wp:posOffset>
                  </wp:positionH>
                  <wp:positionV relativeFrom="paragraph">
                    <wp:posOffset>97155</wp:posOffset>
                  </wp:positionV>
                  <wp:extent cx="951230" cy="791210"/>
                  <wp:effectExtent l="0" t="0" r="8890" b="1270"/>
                  <wp:wrapNone/>
                  <wp:docPr id="76" name="图片_12"/>
                  <wp:cNvGraphicFramePr/>
                  <a:graphic xmlns:a="http://schemas.openxmlformats.org/drawingml/2006/main">
                    <a:graphicData uri="http://schemas.openxmlformats.org/drawingml/2006/picture">
                      <pic:pic xmlns:pic="http://schemas.openxmlformats.org/drawingml/2006/picture">
                        <pic:nvPicPr>
                          <pic:cNvPr id="76" name="图片_12"/>
                          <pic:cNvPicPr/>
                        </pic:nvPicPr>
                        <pic:blipFill>
                          <a:blip r:embed="rId11"/>
                          <a:stretch>
                            <a:fillRect/>
                          </a:stretch>
                        </pic:blipFill>
                        <pic:spPr>
                          <a:xfrm rot="5400000">
                            <a:off x="0" y="0"/>
                            <a:ext cx="951230" cy="791210"/>
                          </a:xfrm>
                          <a:prstGeom prst="rect">
                            <a:avLst/>
                          </a:prstGeom>
                          <a:noFill/>
                          <a:ln>
                            <a:noFill/>
                          </a:ln>
                        </pic:spPr>
                      </pic:pic>
                    </a:graphicData>
                  </a:graphic>
                </wp:anchor>
              </w:drawing>
            </w:r>
          </w:p>
        </w:tc>
      </w:tr>
      <w:tr w14:paraId="5D909D9C">
        <w:trPr>
          <w:trHeight w:val="844"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C2FF0">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18</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7DD70">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温通刮痧罐</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6BD98">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五行罐，陶瓷材质，用于艾灸、刮痧、通经治疗</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45AFF">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只</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395F9">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10</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D20D1">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67456" behindDoc="0" locked="0" layoutInCell="1" allowOverlap="1">
                  <wp:simplePos x="0" y="0"/>
                  <wp:positionH relativeFrom="column">
                    <wp:posOffset>161290</wp:posOffset>
                  </wp:positionH>
                  <wp:positionV relativeFrom="paragraph">
                    <wp:posOffset>-27940</wp:posOffset>
                  </wp:positionV>
                  <wp:extent cx="579755" cy="803275"/>
                  <wp:effectExtent l="0" t="0" r="10795" b="15875"/>
                  <wp:wrapNone/>
                  <wp:docPr id="77" name="图片_14"/>
                  <wp:cNvGraphicFramePr/>
                  <a:graphic xmlns:a="http://schemas.openxmlformats.org/drawingml/2006/main">
                    <a:graphicData uri="http://schemas.openxmlformats.org/drawingml/2006/picture">
                      <pic:pic xmlns:pic="http://schemas.openxmlformats.org/drawingml/2006/picture">
                        <pic:nvPicPr>
                          <pic:cNvPr id="77" name="图片_14"/>
                          <pic:cNvPicPr/>
                        </pic:nvPicPr>
                        <pic:blipFill>
                          <a:blip r:embed="rId12"/>
                          <a:stretch>
                            <a:fillRect/>
                          </a:stretch>
                        </pic:blipFill>
                        <pic:spPr>
                          <a:xfrm>
                            <a:off x="0" y="0"/>
                            <a:ext cx="579755" cy="803275"/>
                          </a:xfrm>
                          <a:prstGeom prst="rect">
                            <a:avLst/>
                          </a:prstGeom>
                          <a:noFill/>
                          <a:ln>
                            <a:noFill/>
                          </a:ln>
                        </pic:spPr>
                      </pic:pic>
                    </a:graphicData>
                  </a:graphic>
                </wp:anchor>
              </w:drawing>
            </w:r>
          </w:p>
        </w:tc>
      </w:tr>
      <w:tr w14:paraId="4C40B1BE">
        <w:tblPrEx>
          <w:tblCellMar>
            <w:top w:w="0" w:type="dxa"/>
            <w:left w:w="108" w:type="dxa"/>
            <w:bottom w:w="0" w:type="dxa"/>
            <w:right w:w="108" w:type="dxa"/>
          </w:tblCellMar>
        </w:tblPrEx>
        <w:trPr>
          <w:trHeight w:val="993"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B3F8B">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19</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1711E">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温通美颜棒</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D5985">
            <w:pP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陶瓷材质，用于面部温通、刮痧、通经治疗</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04A6A">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只</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38B2A">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EAF1C">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68480" behindDoc="0" locked="0" layoutInCell="1" allowOverlap="1">
                  <wp:simplePos x="0" y="0"/>
                  <wp:positionH relativeFrom="column">
                    <wp:posOffset>151765</wp:posOffset>
                  </wp:positionH>
                  <wp:positionV relativeFrom="paragraph">
                    <wp:posOffset>-137160</wp:posOffset>
                  </wp:positionV>
                  <wp:extent cx="507365" cy="767715"/>
                  <wp:effectExtent l="0" t="0" r="13335" b="6985"/>
                  <wp:wrapNone/>
                  <wp:docPr id="81" name="图片_15"/>
                  <wp:cNvGraphicFramePr/>
                  <a:graphic xmlns:a="http://schemas.openxmlformats.org/drawingml/2006/main">
                    <a:graphicData uri="http://schemas.openxmlformats.org/drawingml/2006/picture">
                      <pic:pic xmlns:pic="http://schemas.openxmlformats.org/drawingml/2006/picture">
                        <pic:nvPicPr>
                          <pic:cNvPr id="81" name="图片_15"/>
                          <pic:cNvPicPr/>
                        </pic:nvPicPr>
                        <pic:blipFill>
                          <a:blip r:embed="rId13"/>
                          <a:stretch>
                            <a:fillRect/>
                          </a:stretch>
                        </pic:blipFill>
                        <pic:spPr>
                          <a:xfrm rot="16200000">
                            <a:off x="0" y="0"/>
                            <a:ext cx="507365" cy="767715"/>
                          </a:xfrm>
                          <a:prstGeom prst="rect">
                            <a:avLst/>
                          </a:prstGeom>
                          <a:noFill/>
                          <a:ln>
                            <a:noFill/>
                          </a:ln>
                        </pic:spPr>
                      </pic:pic>
                    </a:graphicData>
                  </a:graphic>
                </wp:anchor>
              </w:drawing>
            </w:r>
          </w:p>
        </w:tc>
      </w:tr>
      <w:tr w14:paraId="561E0480">
        <w:trPr>
          <w:trHeight w:val="1360"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FA76E">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20</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705E5">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葫芦灸</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A015A">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12-15cm</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2A766">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CB564">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10</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7A627">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69504" behindDoc="0" locked="0" layoutInCell="1" allowOverlap="1">
                  <wp:simplePos x="0" y="0"/>
                  <wp:positionH relativeFrom="column">
                    <wp:posOffset>52705</wp:posOffset>
                  </wp:positionH>
                  <wp:positionV relativeFrom="paragraph">
                    <wp:posOffset>119380</wp:posOffset>
                  </wp:positionV>
                  <wp:extent cx="676910" cy="647700"/>
                  <wp:effectExtent l="0" t="0" r="8890" b="0"/>
                  <wp:wrapNone/>
                  <wp:docPr id="85" name="图片_5"/>
                  <wp:cNvGraphicFramePr/>
                  <a:graphic xmlns:a="http://schemas.openxmlformats.org/drawingml/2006/main">
                    <a:graphicData uri="http://schemas.openxmlformats.org/drawingml/2006/picture">
                      <pic:pic xmlns:pic="http://schemas.openxmlformats.org/drawingml/2006/picture">
                        <pic:nvPicPr>
                          <pic:cNvPr id="85" name="图片_5"/>
                          <pic:cNvPicPr/>
                        </pic:nvPicPr>
                        <pic:blipFill>
                          <a:blip r:embed="rId14"/>
                          <a:stretch>
                            <a:fillRect/>
                          </a:stretch>
                        </pic:blipFill>
                        <pic:spPr>
                          <a:xfrm>
                            <a:off x="0" y="0"/>
                            <a:ext cx="676910" cy="647700"/>
                          </a:xfrm>
                          <a:prstGeom prst="rect">
                            <a:avLst/>
                          </a:prstGeom>
                          <a:noFill/>
                          <a:ln>
                            <a:noFill/>
                          </a:ln>
                        </pic:spPr>
                      </pic:pic>
                    </a:graphicData>
                  </a:graphic>
                </wp:anchor>
              </w:drawing>
            </w:r>
          </w:p>
        </w:tc>
      </w:tr>
      <w:tr w14:paraId="171352F5">
        <w:tblPrEx>
          <w:tblCellMar>
            <w:top w:w="0" w:type="dxa"/>
            <w:left w:w="108" w:type="dxa"/>
            <w:bottom w:w="0" w:type="dxa"/>
            <w:right w:w="108" w:type="dxa"/>
          </w:tblCellMar>
        </w:tblPrEx>
        <w:trPr>
          <w:trHeight w:val="663"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F96A3">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21</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2D9E1">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葫芦灸</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D97CE">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16-18cmcm</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59879">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个</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71D3F">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10</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9B1B5">
            <w:pPr>
              <w:rPr>
                <w:rFonts w:asciiTheme="minorEastAsia" w:hAnsiTheme="minorEastAsia" w:eastAsiaTheme="minorEastAsia" w:cstheme="minorEastAsia"/>
                <w:sz w:val="24"/>
                <w:szCs w:val="24"/>
              </w:rPr>
            </w:pPr>
          </w:p>
        </w:tc>
      </w:tr>
      <w:tr w14:paraId="36685430">
        <w:tblPrEx>
          <w:tblCellMar>
            <w:top w:w="0" w:type="dxa"/>
            <w:left w:w="108" w:type="dxa"/>
            <w:bottom w:w="0" w:type="dxa"/>
            <w:right w:w="108" w:type="dxa"/>
          </w:tblCellMar>
        </w:tblPrEx>
        <w:trPr>
          <w:trHeight w:val="1850"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2518D">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22</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F722D">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养生壶</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C0E06">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容量：10升；电压：220V；额定功率：1900W：额定频率:50HzIPX3规格:10L</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2E8AD">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50F4A">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4</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84693">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70528" behindDoc="0" locked="0" layoutInCell="1" allowOverlap="1">
                  <wp:simplePos x="0" y="0"/>
                  <wp:positionH relativeFrom="column">
                    <wp:posOffset>49530</wp:posOffset>
                  </wp:positionH>
                  <wp:positionV relativeFrom="paragraph">
                    <wp:posOffset>57150</wp:posOffset>
                  </wp:positionV>
                  <wp:extent cx="836930" cy="1037590"/>
                  <wp:effectExtent l="0" t="0" r="1270" b="10160"/>
                  <wp:wrapNone/>
                  <wp:docPr id="82" name="图片_13"/>
                  <wp:cNvGraphicFramePr/>
                  <a:graphic xmlns:a="http://schemas.openxmlformats.org/drawingml/2006/main">
                    <a:graphicData uri="http://schemas.openxmlformats.org/drawingml/2006/picture">
                      <pic:pic xmlns:pic="http://schemas.openxmlformats.org/drawingml/2006/picture">
                        <pic:nvPicPr>
                          <pic:cNvPr id="82" name="图片_13"/>
                          <pic:cNvPicPr/>
                        </pic:nvPicPr>
                        <pic:blipFill>
                          <a:blip r:embed="rId15"/>
                          <a:stretch>
                            <a:fillRect/>
                          </a:stretch>
                        </pic:blipFill>
                        <pic:spPr>
                          <a:xfrm>
                            <a:off x="0" y="0"/>
                            <a:ext cx="836930" cy="1037590"/>
                          </a:xfrm>
                          <a:prstGeom prst="rect">
                            <a:avLst/>
                          </a:prstGeom>
                          <a:noFill/>
                          <a:ln>
                            <a:noFill/>
                          </a:ln>
                        </pic:spPr>
                      </pic:pic>
                    </a:graphicData>
                  </a:graphic>
                </wp:anchor>
              </w:drawing>
            </w:r>
          </w:p>
        </w:tc>
      </w:tr>
      <w:tr w14:paraId="5643CE4E">
        <w:tblPrEx>
          <w:tblCellMar>
            <w:top w:w="0" w:type="dxa"/>
            <w:left w:w="108" w:type="dxa"/>
            <w:bottom w:w="0" w:type="dxa"/>
            <w:right w:w="108" w:type="dxa"/>
          </w:tblCellMar>
        </w:tblPrEx>
        <w:trPr>
          <w:trHeight w:val="2188"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286A9">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23</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4D756">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输尿管肾镜</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5E531">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1、视向角：0°</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2、视场角：≥75°</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3、末段外径：≤Fr7.5；中间：Fr11.1  尾部：Fr 12.4</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4、 景深范围：3～20mm；</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5、工作长度：≥425mm；</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6、器械通道：≥F5.4</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678AC">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根</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0194E">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78F5E">
            <w:pP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71552" behindDoc="0" locked="0" layoutInCell="1" allowOverlap="1">
                  <wp:simplePos x="0" y="0"/>
                  <wp:positionH relativeFrom="column">
                    <wp:posOffset>68580</wp:posOffset>
                  </wp:positionH>
                  <wp:positionV relativeFrom="paragraph">
                    <wp:posOffset>-262255</wp:posOffset>
                  </wp:positionV>
                  <wp:extent cx="741680" cy="826135"/>
                  <wp:effectExtent l="0" t="0" r="1270" b="12065"/>
                  <wp:wrapNone/>
                  <wp:docPr id="86" name="图片_8"/>
                  <wp:cNvGraphicFramePr/>
                  <a:graphic xmlns:a="http://schemas.openxmlformats.org/drawingml/2006/main">
                    <a:graphicData uri="http://schemas.openxmlformats.org/drawingml/2006/picture">
                      <pic:pic xmlns:pic="http://schemas.openxmlformats.org/drawingml/2006/picture">
                        <pic:nvPicPr>
                          <pic:cNvPr id="86" name="图片_8"/>
                          <pic:cNvPicPr/>
                        </pic:nvPicPr>
                        <pic:blipFill>
                          <a:blip r:embed="rId16"/>
                          <a:stretch>
                            <a:fillRect/>
                          </a:stretch>
                        </pic:blipFill>
                        <pic:spPr>
                          <a:xfrm>
                            <a:off x="0" y="0"/>
                            <a:ext cx="741680" cy="826135"/>
                          </a:xfrm>
                          <a:prstGeom prst="rect">
                            <a:avLst/>
                          </a:prstGeom>
                          <a:noFill/>
                          <a:ln>
                            <a:noFill/>
                          </a:ln>
                        </pic:spPr>
                      </pic:pic>
                    </a:graphicData>
                  </a:graphic>
                </wp:anchor>
              </w:drawing>
            </w:r>
          </w:p>
        </w:tc>
      </w:tr>
      <w:tr w14:paraId="4838726A">
        <w:tblPrEx>
          <w:tblCellMar>
            <w:top w:w="0" w:type="dxa"/>
            <w:left w:w="108" w:type="dxa"/>
            <w:bottom w:w="0" w:type="dxa"/>
            <w:right w:w="108" w:type="dxa"/>
          </w:tblCellMar>
        </w:tblPrEx>
        <w:trPr>
          <w:trHeight w:val="2095"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E7948">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24</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F64B3">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可观察闭孔器</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6DA94">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材质：不锈钢制造。</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外径规格：根据镜鞘尺寸配套，如24Fr对应约8mm外径。</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结构组成：头端、主体、接合杆、轴杆。</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工作长度：约130-300mm不等。</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C4F69">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F3B80">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A547F">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72576" behindDoc="0" locked="0" layoutInCell="1" allowOverlap="1">
                  <wp:simplePos x="0" y="0"/>
                  <wp:positionH relativeFrom="column">
                    <wp:posOffset>29210</wp:posOffset>
                  </wp:positionH>
                  <wp:positionV relativeFrom="paragraph">
                    <wp:posOffset>60325</wp:posOffset>
                  </wp:positionV>
                  <wp:extent cx="777875" cy="1091565"/>
                  <wp:effectExtent l="0" t="0" r="3175" b="13335"/>
                  <wp:wrapNone/>
                  <wp:docPr id="79" name="图片_9"/>
                  <wp:cNvGraphicFramePr/>
                  <a:graphic xmlns:a="http://schemas.openxmlformats.org/drawingml/2006/main">
                    <a:graphicData uri="http://schemas.openxmlformats.org/drawingml/2006/picture">
                      <pic:pic xmlns:pic="http://schemas.openxmlformats.org/drawingml/2006/picture">
                        <pic:nvPicPr>
                          <pic:cNvPr id="79" name="图片_9"/>
                          <pic:cNvPicPr/>
                        </pic:nvPicPr>
                        <pic:blipFill>
                          <a:blip r:embed="rId17"/>
                          <a:stretch>
                            <a:fillRect/>
                          </a:stretch>
                        </pic:blipFill>
                        <pic:spPr>
                          <a:xfrm>
                            <a:off x="0" y="0"/>
                            <a:ext cx="777875" cy="1091565"/>
                          </a:xfrm>
                          <a:prstGeom prst="rect">
                            <a:avLst/>
                          </a:prstGeom>
                          <a:noFill/>
                          <a:ln>
                            <a:noFill/>
                          </a:ln>
                        </pic:spPr>
                      </pic:pic>
                    </a:graphicData>
                  </a:graphic>
                </wp:anchor>
              </w:drawing>
            </w:r>
          </w:p>
        </w:tc>
      </w:tr>
      <w:tr w14:paraId="6132D226">
        <w:trPr>
          <w:trHeight w:val="1920"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A2406">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25</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4DA04">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恒温干燥电热箱</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C8B25">
            <w:pPr>
              <w:textAlignment w:val="center"/>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bidi="ar"/>
              </w:rPr>
              <w:t xml:space="preserve">内胆材质：不锈钢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电压功率：220V/800W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内胆尺寸：35*35*35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温度范围：室内+10-300C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 xml:space="preserve">定时范围：1-999分钟 </w:t>
            </w:r>
            <w:r>
              <w:rPr>
                <w:rFonts w:hint="eastAsia" w:asciiTheme="minorEastAsia" w:hAnsiTheme="minorEastAsia" w:eastAsiaTheme="minorEastAsia" w:cstheme="minorEastAsia"/>
                <w:sz w:val="24"/>
                <w:szCs w:val="24"/>
                <w:lang w:eastAsia="zh-CN" w:bidi="ar"/>
              </w:rPr>
              <w:br w:type="textWrapping"/>
            </w:r>
            <w:r>
              <w:rPr>
                <w:rFonts w:hint="eastAsia" w:asciiTheme="minorEastAsia" w:hAnsiTheme="minorEastAsia" w:eastAsiaTheme="minorEastAsia" w:cstheme="minorEastAsia"/>
                <w:sz w:val="24"/>
                <w:szCs w:val="24"/>
                <w:lang w:eastAsia="zh-CN" w:bidi="ar"/>
              </w:rPr>
              <w:t>加热方式：底部加热</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2CD0E">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台</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157EB">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1</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6B74E">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bdr w:val="single" w:color="000000" w:sz="4" w:space="0"/>
                <w:lang w:eastAsia="zh-CN" w:bidi="ar"/>
              </w:rPr>
              <w:drawing>
                <wp:anchor distT="0" distB="0" distL="114300" distR="114300" simplePos="0" relativeHeight="251673600" behindDoc="0" locked="0" layoutInCell="1" allowOverlap="1">
                  <wp:simplePos x="0" y="0"/>
                  <wp:positionH relativeFrom="column">
                    <wp:posOffset>-13970</wp:posOffset>
                  </wp:positionH>
                  <wp:positionV relativeFrom="paragraph">
                    <wp:posOffset>-20320</wp:posOffset>
                  </wp:positionV>
                  <wp:extent cx="936625" cy="1127760"/>
                  <wp:effectExtent l="0" t="0" r="15875" b="15240"/>
                  <wp:wrapNone/>
                  <wp:docPr id="83" name="图片_19"/>
                  <wp:cNvGraphicFramePr/>
                  <a:graphic xmlns:a="http://schemas.openxmlformats.org/drawingml/2006/main">
                    <a:graphicData uri="http://schemas.openxmlformats.org/drawingml/2006/picture">
                      <pic:pic xmlns:pic="http://schemas.openxmlformats.org/drawingml/2006/picture">
                        <pic:nvPicPr>
                          <pic:cNvPr id="83" name="图片_19"/>
                          <pic:cNvPicPr/>
                        </pic:nvPicPr>
                        <pic:blipFill>
                          <a:blip r:embed="rId18"/>
                          <a:stretch>
                            <a:fillRect/>
                          </a:stretch>
                        </pic:blipFill>
                        <pic:spPr>
                          <a:xfrm>
                            <a:off x="0" y="0"/>
                            <a:ext cx="936625" cy="1127760"/>
                          </a:xfrm>
                          <a:prstGeom prst="rect">
                            <a:avLst/>
                          </a:prstGeom>
                          <a:noFill/>
                          <a:ln>
                            <a:noFill/>
                          </a:ln>
                        </pic:spPr>
                      </pic:pic>
                    </a:graphicData>
                  </a:graphic>
                </wp:anchor>
              </w:drawing>
            </w:r>
          </w:p>
        </w:tc>
      </w:tr>
      <w:tr w14:paraId="30857C77">
        <w:tblPrEx>
          <w:tblCellMar>
            <w:top w:w="0" w:type="dxa"/>
            <w:left w:w="108" w:type="dxa"/>
            <w:bottom w:w="0" w:type="dxa"/>
            <w:right w:w="108" w:type="dxa"/>
          </w:tblCellMar>
        </w:tblPrEx>
        <w:trPr>
          <w:trHeight w:val="1105" w:hRule="atLeast"/>
        </w:trPr>
        <w:tc>
          <w:tcPr>
            <w:tcW w:w="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4D916">
            <w:pPr>
              <w:jc w:val="cente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26</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926AA">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布朗氏架</w:t>
            </w:r>
          </w:p>
        </w:tc>
        <w:tc>
          <w:tcPr>
            <w:tcW w:w="56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D2365">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骨科下肢骨折牵引用</w:t>
            </w:r>
          </w:p>
        </w:tc>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3B926">
            <w:pPr>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套</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2D061">
            <w:pPr>
              <w:jc w:val="right"/>
              <w:textAlignment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bidi="ar"/>
              </w:rPr>
              <w:t>5</w:t>
            </w:r>
          </w:p>
        </w:tc>
        <w:tc>
          <w:tcPr>
            <w:tcW w:w="1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0F075">
            <w:pPr>
              <w:rPr>
                <w:rFonts w:asciiTheme="minorEastAsia" w:hAnsiTheme="minorEastAsia" w:eastAsiaTheme="minorEastAsia" w:cstheme="minorEastAsia"/>
                <w:sz w:val="24"/>
                <w:szCs w:val="24"/>
              </w:rPr>
            </w:pPr>
          </w:p>
        </w:tc>
      </w:tr>
      <w:bookmarkEnd w:id="0"/>
    </w:tbl>
    <w:p w14:paraId="01164F4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303739"/>
    <w:multiLevelType w:val="singleLevel"/>
    <w:tmpl w:val="CF303739"/>
    <w:lvl w:ilvl="0" w:tentative="0">
      <w:start w:val="1"/>
      <w:numFmt w:val="decimal"/>
      <w:lvlText w:val="%1."/>
      <w:lvlJc w:val="left"/>
      <w:pPr>
        <w:tabs>
          <w:tab w:val="left" w:pos="312"/>
        </w:tabs>
      </w:pPr>
    </w:lvl>
  </w:abstractNum>
  <w:abstractNum w:abstractNumId="1">
    <w:nsid w:val="1C476372"/>
    <w:multiLevelType w:val="singleLevel"/>
    <w:tmpl w:val="1C476372"/>
    <w:lvl w:ilvl="0" w:tentative="0">
      <w:start w:val="1"/>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583CB7"/>
    <w:rsid w:val="15583CB7"/>
    <w:rsid w:val="16B40115"/>
    <w:rsid w:val="30AE5B2A"/>
    <w:rsid w:val="39341EB8"/>
    <w:rsid w:val="3AA03EBF"/>
    <w:rsid w:val="774D65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7311</Words>
  <Characters>9151</Characters>
  <Lines>0</Lines>
  <Paragraphs>0</Paragraphs>
  <TotalTime>2</TotalTime>
  <ScaleCrop>false</ScaleCrop>
  <LinksUpToDate>false</LinksUpToDate>
  <CharactersWithSpaces>9415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2026-04-20T02:58:00Z</dcterms:created>
  <dc:creator>Administrator</dc:creator>
  <cp:lastModifiedBy>Administrator</cp:lastModifiedBy>
  <dcterms:modified xsi:type="dcterms:W3CDTF">2026-06-10T07:27:13Z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D322BCC0800C4877921F0341C0B09B0E_11</vt:lpwstr>
  </property>
  <property fmtid="{D5CDD505-2E9C-101B-9397-08002B2CF9AE}" pid="4" name="KSOTemplateDocerSaveRecord">
    <vt:lpwstr>eyJoZGlkIjoiMTlmMjlmNzBiNDJhMjM0NjhkNDk1MTk0NWEzMjEzNjAiLCJ1c2VySWQiOiIyODIzNTA4NjkifQ==</vt:lpwstr>
  </property>
</Properties>
</file>