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6C59F0">
      <w:pPr>
        <w:pageBreakBefore w:val="0"/>
        <w:widowControl w:val="0"/>
        <w:wordWrap/>
        <w:overflowPunct/>
        <w:topLinePunct w:val="0"/>
        <w:bidi w:val="0"/>
        <w:spacing w:before="63" w:line="224" w:lineRule="auto"/>
        <w:jc w:val="center"/>
        <w:rPr>
          <w:rFonts w:ascii="宋体" w:hAnsi="宋体" w:eastAsia="宋体" w:cs="宋体"/>
          <w:color w:val="000000" w:themeColor="text1"/>
          <w:spacing w:val="0"/>
          <w:position w:val="0"/>
          <w:sz w:val="31"/>
          <w:szCs w:val="31"/>
          <w:lang w:eastAsia="zh-CN"/>
          <w14:textFill>
            <w14:solidFill>
              <w14:schemeClr w14:val="tx1"/>
            </w14:solidFill>
          </w14:textFill>
        </w:rPr>
      </w:pPr>
      <w:bookmarkStart w:id="4" w:name="_GoBack"/>
      <w:bookmarkEnd w:id="4"/>
      <w:bookmarkStart w:id="0" w:name="bookmark80"/>
      <w:bookmarkEnd w:id="0"/>
      <w:bookmarkStart w:id="1" w:name="bookmark79"/>
      <w:bookmarkEnd w:id="1"/>
      <w:r>
        <w:rPr>
          <w:rFonts w:ascii="宋体" w:hAnsi="宋体" w:eastAsia="宋体" w:cs="宋体"/>
          <w:color w:val="000000" w:themeColor="text1"/>
          <w:spacing w:val="0"/>
          <w:position w:val="0"/>
          <w:sz w:val="31"/>
          <w:szCs w:val="31"/>
          <w:lang w:eastAsia="zh-CN"/>
          <w14:textOutline w14:w="5791" w14:cap="sq" w14:cmpd="sng" w14:algn="ctr">
            <w14:solidFill>
              <w14:srgbClr w14:val="000000"/>
            </w14:solidFill>
            <w14:prstDash w14:val="solid"/>
            <w14:bevel/>
          </w14:textOutline>
          <w14:textFill>
            <w14:solidFill>
              <w14:schemeClr w14:val="tx1"/>
            </w14:solidFill>
          </w14:textFill>
        </w:rPr>
        <w:t>第五章</w:t>
      </w:r>
      <w:r>
        <w:rPr>
          <w:rFonts w:ascii="宋体" w:hAnsi="宋体" w:eastAsia="宋体" w:cs="宋体"/>
          <w:color w:val="000000" w:themeColor="text1"/>
          <w:spacing w:val="0"/>
          <w:position w:val="0"/>
          <w:sz w:val="31"/>
          <w:szCs w:val="31"/>
          <w:lang w:eastAsia="zh-CN"/>
          <w14:textFill>
            <w14:solidFill>
              <w14:schemeClr w14:val="tx1"/>
            </w14:solidFill>
          </w14:textFill>
        </w:rPr>
        <w:t xml:space="preserve">  </w:t>
      </w:r>
      <w:r>
        <w:rPr>
          <w:rFonts w:ascii="宋体" w:hAnsi="宋体" w:eastAsia="宋体" w:cs="宋体"/>
          <w:color w:val="000000" w:themeColor="text1"/>
          <w:spacing w:val="0"/>
          <w:position w:val="0"/>
          <w:sz w:val="31"/>
          <w:szCs w:val="31"/>
          <w:lang w:eastAsia="zh-CN"/>
          <w14:textOutline w14:w="5791" w14:cap="sq" w14:cmpd="sng" w14:algn="ctr">
            <w14:solidFill>
              <w14:srgbClr w14:val="000000"/>
            </w14:solidFill>
            <w14:prstDash w14:val="solid"/>
            <w14:bevel/>
          </w14:textOutline>
          <w14:textFill>
            <w14:solidFill>
              <w14:schemeClr w14:val="tx1"/>
            </w14:solidFill>
          </w14:textFill>
        </w:rPr>
        <w:t>采购需求</w:t>
      </w:r>
    </w:p>
    <w:p w14:paraId="7562C385">
      <w:pPr>
        <w:pageBreakBefore w:val="0"/>
        <w:widowControl w:val="0"/>
        <w:wordWrap/>
        <w:overflowPunct/>
        <w:topLinePunct w:val="0"/>
        <w:bidi w:val="0"/>
        <w:spacing w:line="309" w:lineRule="auto"/>
        <w:rPr>
          <w:color w:val="000000" w:themeColor="text1"/>
          <w:spacing w:val="0"/>
          <w:position w:val="0"/>
          <w:lang w:eastAsia="zh-CN"/>
          <w14:textFill>
            <w14:solidFill>
              <w14:schemeClr w14:val="tx1"/>
            </w14:solidFill>
          </w14:textFill>
        </w:rPr>
      </w:pPr>
    </w:p>
    <w:p w14:paraId="450BA11E">
      <w:pPr>
        <w:pageBreakBefore w:val="0"/>
        <w:widowControl w:val="0"/>
        <w:wordWrap/>
        <w:overflowPunct/>
        <w:topLinePunct w:val="0"/>
        <w:bidi w:val="0"/>
        <w:spacing w:before="78" w:line="220" w:lineRule="auto"/>
        <w:outlineLvl w:val="1"/>
        <w:rPr>
          <w:rFonts w:ascii="宋体" w:hAnsi="宋体" w:eastAsia="宋体" w:cs="宋体"/>
          <w:color w:val="000000" w:themeColor="text1"/>
          <w:spacing w:val="0"/>
          <w:position w:val="0"/>
          <w:sz w:val="24"/>
          <w:szCs w:val="24"/>
          <w14:textFill>
            <w14:solidFill>
              <w14:schemeClr w14:val="tx1"/>
            </w14:solidFill>
          </w14:textFill>
        </w:rPr>
      </w:pPr>
      <w:r>
        <w:rPr>
          <w:rFonts w:ascii="宋体" w:hAnsi="宋体" w:eastAsia="宋体" w:cs="宋体"/>
          <w:color w:val="000000" w:themeColor="text1"/>
          <w:spacing w:val="0"/>
          <w:position w:val="0"/>
          <w:sz w:val="24"/>
          <w:szCs w:val="24"/>
          <w14:textOutline w14:w="4356" w14:cap="sq" w14:cmpd="sng" w14:algn="ctr">
            <w14:solidFill>
              <w14:srgbClr w14:val="000000"/>
            </w14:solidFill>
            <w14:prstDash w14:val="solid"/>
            <w14:bevel/>
          </w14:textOutline>
          <w14:textFill>
            <w14:solidFill>
              <w14:schemeClr w14:val="tx1"/>
            </w14:solidFill>
          </w14:textFill>
        </w:rPr>
        <w:t>一、</w:t>
      </w:r>
      <w:r>
        <w:rPr>
          <w:rFonts w:hint="eastAsia" w:ascii="宋体" w:hAnsi="宋体" w:eastAsia="宋体" w:cs="宋体"/>
          <w:color w:val="000000" w:themeColor="text1"/>
          <w:spacing w:val="0"/>
          <w:position w:val="0"/>
          <w:sz w:val="24"/>
          <w:szCs w:val="24"/>
          <w:lang w:val="en-US" w:eastAsia="zh-CN"/>
          <w14:textOutline w14:w="4356" w14:cap="sq" w14:cmpd="sng" w14:algn="ctr">
            <w14:solidFill>
              <w14:srgbClr w14:val="000000"/>
            </w14:solidFill>
            <w14:prstDash w14:val="solid"/>
            <w14:bevel/>
          </w14:textOutline>
          <w14:textFill>
            <w14:solidFill>
              <w14:schemeClr w14:val="tx1"/>
            </w14:solidFill>
          </w14:textFill>
        </w:rPr>
        <w:t>采购</w:t>
      </w:r>
      <w:r>
        <w:rPr>
          <w:rFonts w:ascii="宋体" w:hAnsi="宋体" w:eastAsia="宋体" w:cs="宋体"/>
          <w:color w:val="000000" w:themeColor="text1"/>
          <w:spacing w:val="0"/>
          <w:position w:val="0"/>
          <w:sz w:val="24"/>
          <w:szCs w:val="24"/>
          <w14:textOutline w14:w="4356" w14:cap="sq" w14:cmpd="sng" w14:algn="ctr">
            <w14:solidFill>
              <w14:srgbClr w14:val="000000"/>
            </w14:solidFill>
            <w14:prstDash w14:val="solid"/>
            <w14:bevel/>
          </w14:textOutline>
          <w14:textFill>
            <w14:solidFill>
              <w14:schemeClr w14:val="tx1"/>
            </w14:solidFill>
          </w14:textFill>
        </w:rPr>
        <w:t>需求表</w:t>
      </w:r>
    </w:p>
    <w:p w14:paraId="7AA67DA6">
      <w:pPr>
        <w:pageBreakBefore w:val="0"/>
        <w:widowControl w:val="0"/>
        <w:wordWrap/>
        <w:overflowPunct/>
        <w:topLinePunct w:val="0"/>
        <w:bidi w:val="0"/>
        <w:spacing w:before="64"/>
        <w:rPr>
          <w:color w:val="000000" w:themeColor="text1"/>
          <w:spacing w:val="0"/>
          <w:position w:val="0"/>
          <w14:textFill>
            <w14:solidFill>
              <w14:schemeClr w14:val="tx1"/>
            </w14:solidFill>
          </w14:textFill>
        </w:rPr>
      </w:pPr>
    </w:p>
    <w:tbl>
      <w:tblPr>
        <w:tblStyle w:val="23"/>
        <w:tblW w:w="9015" w:type="dxa"/>
        <w:tblInd w:w="-309"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048"/>
        <w:gridCol w:w="817"/>
        <w:gridCol w:w="6150"/>
      </w:tblGrid>
      <w:tr w14:paraId="2647C8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2048" w:type="dxa"/>
            <w:tcBorders>
              <w:right w:val="nil"/>
            </w:tcBorders>
          </w:tcPr>
          <w:p w14:paraId="33F7A56E">
            <w:pPr>
              <w:pageBreakBefore w:val="0"/>
              <w:widowControl w:val="0"/>
              <w:wordWrap/>
              <w:overflowPunct/>
              <w:topLinePunct w:val="0"/>
              <w:bidi w:val="0"/>
              <w:spacing w:before="183" w:line="223" w:lineRule="auto"/>
              <w:ind w:left="1091"/>
              <w:rPr>
                <w:rFonts w:ascii="宋体" w:hAnsi="宋体" w:eastAsia="宋体" w:cs="宋体"/>
                <w:color w:val="000000" w:themeColor="text1"/>
                <w:spacing w:val="0"/>
                <w:position w:val="0"/>
                <w:sz w:val="24"/>
                <w:szCs w:val="24"/>
                <w14:textFill>
                  <w14:solidFill>
                    <w14:schemeClr w14:val="tx1"/>
                  </w14:solidFill>
                </w14:textFill>
              </w:rPr>
            </w:pPr>
            <w:r>
              <w:rPr>
                <w:rFonts w:eastAsia="宋体"/>
                <w:color w:val="000000" w:themeColor="text1"/>
                <w:spacing w:val="0"/>
                <w:position w:val="0"/>
                <w:sz w:val="24"/>
                <w:szCs w:val="24"/>
                <w14:textFill>
                  <w14:solidFill>
                    <w14:schemeClr w14:val="tx1"/>
                  </w14:solidFill>
                </w14:textFill>
              </w:rPr>
              <w:drawing>
                <wp:anchor distT="0" distB="0" distL="0" distR="0" simplePos="0" relativeHeight="251662336" behindDoc="1" locked="0" layoutInCell="1" allowOverlap="1">
                  <wp:simplePos x="0" y="0"/>
                  <wp:positionH relativeFrom="column">
                    <wp:posOffset>6985</wp:posOffset>
                  </wp:positionH>
                  <wp:positionV relativeFrom="paragraph">
                    <wp:posOffset>0</wp:posOffset>
                  </wp:positionV>
                  <wp:extent cx="1805305" cy="1485265"/>
                  <wp:effectExtent l="0" t="0" r="4445" b="635"/>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7"/>
                          <a:stretch>
                            <a:fillRect/>
                          </a:stretch>
                        </pic:blipFill>
                        <pic:spPr>
                          <a:xfrm>
                            <a:off x="0" y="0"/>
                            <a:ext cx="1805051" cy="1485442"/>
                          </a:xfrm>
                          <a:prstGeom prst="rect">
                            <a:avLst/>
                          </a:prstGeom>
                        </pic:spPr>
                      </pic:pic>
                    </a:graphicData>
                  </a:graphic>
                </wp:anchor>
              </w:drawing>
            </w:r>
            <w:r>
              <w:rPr>
                <w:rFonts w:ascii="宋体" w:hAnsi="宋体" w:eastAsia="宋体" w:cs="宋体"/>
                <w:color w:val="000000" w:themeColor="text1"/>
                <w:spacing w:val="0"/>
                <w:position w:val="0"/>
                <w:sz w:val="24"/>
                <w:szCs w:val="24"/>
                <w14:textFill>
                  <w14:solidFill>
                    <w14:schemeClr w14:val="tx1"/>
                  </w14:solidFill>
                </w14:textFill>
              </w:rPr>
              <w:t>名</w:t>
            </w:r>
          </w:p>
          <w:p w14:paraId="096C99B8">
            <w:pPr>
              <w:pStyle w:val="24"/>
              <w:pageBreakBefore w:val="0"/>
              <w:widowControl w:val="0"/>
              <w:wordWrap/>
              <w:overflowPunct/>
              <w:topLinePunct w:val="0"/>
              <w:bidi w:val="0"/>
              <w:spacing w:line="245" w:lineRule="auto"/>
              <w:rPr>
                <w:rFonts w:eastAsia="宋体"/>
                <w:color w:val="000000" w:themeColor="text1"/>
                <w:spacing w:val="0"/>
                <w:position w:val="0"/>
                <w:sz w:val="24"/>
                <w:szCs w:val="24"/>
                <w14:textFill>
                  <w14:solidFill>
                    <w14:schemeClr w14:val="tx1"/>
                  </w14:solidFill>
                </w14:textFill>
              </w:rPr>
            </w:pPr>
          </w:p>
          <w:p w14:paraId="33F10F69">
            <w:pPr>
              <w:pStyle w:val="24"/>
              <w:pageBreakBefore w:val="0"/>
              <w:widowControl w:val="0"/>
              <w:wordWrap/>
              <w:overflowPunct/>
              <w:topLinePunct w:val="0"/>
              <w:bidi w:val="0"/>
              <w:spacing w:line="246" w:lineRule="auto"/>
              <w:rPr>
                <w:rFonts w:eastAsia="宋体"/>
                <w:color w:val="000000" w:themeColor="text1"/>
                <w:spacing w:val="0"/>
                <w:position w:val="0"/>
                <w:sz w:val="24"/>
                <w:szCs w:val="24"/>
                <w14:textFill>
                  <w14:solidFill>
                    <w14:schemeClr w14:val="tx1"/>
                  </w14:solidFill>
                </w14:textFill>
              </w:rPr>
            </w:pPr>
          </w:p>
          <w:p w14:paraId="722E1C12">
            <w:pPr>
              <w:pageBreakBefore w:val="0"/>
              <w:widowControl w:val="0"/>
              <w:wordWrap/>
              <w:overflowPunct/>
              <w:topLinePunct w:val="0"/>
              <w:bidi w:val="0"/>
              <w:spacing w:before="78" w:line="219" w:lineRule="auto"/>
              <w:ind w:left="481"/>
              <w:rPr>
                <w:rFonts w:ascii="宋体" w:hAnsi="宋体" w:eastAsia="宋体" w:cs="宋体"/>
                <w:color w:val="000000" w:themeColor="text1"/>
                <w:spacing w:val="0"/>
                <w:position w:val="0"/>
                <w:sz w:val="24"/>
                <w:szCs w:val="24"/>
                <w14:textFill>
                  <w14:solidFill>
                    <w14:schemeClr w14:val="tx1"/>
                  </w14:solidFill>
                </w14:textFill>
              </w:rPr>
            </w:pPr>
            <w:r>
              <w:rPr>
                <w:rFonts w:ascii="宋体" w:hAnsi="宋体" w:eastAsia="宋体" w:cs="宋体"/>
                <w:color w:val="000000" w:themeColor="text1"/>
                <w:spacing w:val="0"/>
                <w:position w:val="0"/>
                <w:sz w:val="24"/>
                <w:szCs w:val="24"/>
                <w14:textFill>
                  <w14:solidFill>
                    <w14:schemeClr w14:val="tx1"/>
                  </w14:solidFill>
                </w14:textFill>
              </w:rPr>
              <w:t>内</w:t>
            </w:r>
          </w:p>
          <w:p w14:paraId="31437E43">
            <w:pPr>
              <w:pStyle w:val="24"/>
              <w:pageBreakBefore w:val="0"/>
              <w:widowControl w:val="0"/>
              <w:wordWrap/>
              <w:overflowPunct/>
              <w:topLinePunct w:val="0"/>
              <w:bidi w:val="0"/>
              <w:spacing w:line="338" w:lineRule="auto"/>
              <w:rPr>
                <w:rFonts w:eastAsia="宋体"/>
                <w:color w:val="000000" w:themeColor="text1"/>
                <w:spacing w:val="0"/>
                <w:position w:val="0"/>
                <w:sz w:val="24"/>
                <w:szCs w:val="24"/>
                <w14:textFill>
                  <w14:solidFill>
                    <w14:schemeClr w14:val="tx1"/>
                  </w14:solidFill>
                </w14:textFill>
              </w:rPr>
            </w:pPr>
          </w:p>
          <w:p w14:paraId="157922F8">
            <w:pPr>
              <w:pageBreakBefore w:val="0"/>
              <w:widowControl w:val="0"/>
              <w:wordWrap/>
              <w:overflowPunct/>
              <w:topLinePunct w:val="0"/>
              <w:bidi w:val="0"/>
              <w:spacing w:before="78" w:line="220" w:lineRule="auto"/>
              <w:ind w:left="1311"/>
              <w:rPr>
                <w:rFonts w:ascii="宋体" w:hAnsi="宋体" w:eastAsia="宋体" w:cs="宋体"/>
                <w:color w:val="000000" w:themeColor="text1"/>
                <w:spacing w:val="0"/>
                <w:position w:val="0"/>
                <w:sz w:val="24"/>
                <w:szCs w:val="24"/>
                <w14:textFill>
                  <w14:solidFill>
                    <w14:schemeClr w14:val="tx1"/>
                  </w14:solidFill>
                </w14:textFill>
              </w:rPr>
            </w:pPr>
            <w:r>
              <w:rPr>
                <w:rFonts w:ascii="宋体" w:hAnsi="宋体" w:eastAsia="宋体" w:cs="宋体"/>
                <w:color w:val="000000" w:themeColor="text1"/>
                <w:spacing w:val="0"/>
                <w:position w:val="0"/>
                <w:sz w:val="24"/>
                <w:szCs w:val="24"/>
                <w14:textFill>
                  <w14:solidFill>
                    <w14:schemeClr w14:val="tx1"/>
                  </w14:solidFill>
                </w14:textFill>
              </w:rPr>
              <w:t>容</w:t>
            </w:r>
          </w:p>
        </w:tc>
        <w:tc>
          <w:tcPr>
            <w:tcW w:w="817" w:type="dxa"/>
            <w:tcBorders>
              <w:left w:val="nil"/>
            </w:tcBorders>
            <w:vAlign w:val="center"/>
          </w:tcPr>
          <w:p w14:paraId="06906A9F">
            <w:pPr>
              <w:pStyle w:val="24"/>
              <w:pageBreakBefore w:val="0"/>
              <w:widowControl w:val="0"/>
              <w:wordWrap/>
              <w:overflowPunct/>
              <w:topLinePunct w:val="0"/>
              <w:bidi w:val="0"/>
              <w:spacing w:line="263" w:lineRule="auto"/>
              <w:jc w:val="center"/>
              <w:rPr>
                <w:rFonts w:eastAsia="宋体"/>
                <w:color w:val="000000" w:themeColor="text1"/>
                <w:spacing w:val="0"/>
                <w:position w:val="0"/>
                <w:sz w:val="24"/>
                <w:szCs w:val="24"/>
                <w14:textFill>
                  <w14:solidFill>
                    <w14:schemeClr w14:val="tx1"/>
                  </w14:solidFill>
                </w14:textFill>
              </w:rPr>
            </w:pPr>
          </w:p>
          <w:p w14:paraId="2930739B">
            <w:pPr>
              <w:pStyle w:val="24"/>
              <w:pageBreakBefore w:val="0"/>
              <w:widowControl w:val="0"/>
              <w:wordWrap/>
              <w:overflowPunct/>
              <w:topLinePunct w:val="0"/>
              <w:bidi w:val="0"/>
              <w:spacing w:line="263" w:lineRule="auto"/>
              <w:jc w:val="center"/>
              <w:rPr>
                <w:rFonts w:eastAsia="宋体"/>
                <w:color w:val="000000" w:themeColor="text1"/>
                <w:spacing w:val="0"/>
                <w:position w:val="0"/>
                <w:sz w:val="24"/>
                <w:szCs w:val="24"/>
                <w14:textFill>
                  <w14:solidFill>
                    <w14:schemeClr w14:val="tx1"/>
                  </w14:solidFill>
                </w14:textFill>
              </w:rPr>
            </w:pPr>
          </w:p>
          <w:p w14:paraId="164C9AF6">
            <w:pPr>
              <w:pStyle w:val="24"/>
              <w:pageBreakBefore w:val="0"/>
              <w:widowControl w:val="0"/>
              <w:wordWrap/>
              <w:overflowPunct/>
              <w:topLinePunct w:val="0"/>
              <w:bidi w:val="0"/>
              <w:spacing w:line="264" w:lineRule="auto"/>
              <w:jc w:val="center"/>
              <w:rPr>
                <w:rFonts w:eastAsia="宋体"/>
                <w:color w:val="000000" w:themeColor="text1"/>
                <w:spacing w:val="0"/>
                <w:position w:val="0"/>
                <w:sz w:val="24"/>
                <w:szCs w:val="24"/>
                <w14:textFill>
                  <w14:solidFill>
                    <w14:schemeClr w14:val="tx1"/>
                  </w14:solidFill>
                </w14:textFill>
              </w:rPr>
            </w:pPr>
          </w:p>
          <w:p w14:paraId="5F115B7A">
            <w:pPr>
              <w:pageBreakBefore w:val="0"/>
              <w:widowControl w:val="0"/>
              <w:wordWrap/>
              <w:overflowPunct/>
              <w:topLinePunct w:val="0"/>
              <w:bidi w:val="0"/>
              <w:spacing w:before="78" w:line="221" w:lineRule="auto"/>
              <w:ind w:left="192"/>
              <w:jc w:val="center"/>
              <w:rPr>
                <w:rFonts w:ascii="宋体" w:hAnsi="宋体" w:eastAsia="宋体" w:cs="宋体"/>
                <w:color w:val="000000" w:themeColor="text1"/>
                <w:spacing w:val="0"/>
                <w:position w:val="0"/>
                <w:sz w:val="24"/>
                <w:szCs w:val="24"/>
                <w14:textFill>
                  <w14:solidFill>
                    <w14:schemeClr w14:val="tx1"/>
                  </w14:solidFill>
                </w14:textFill>
              </w:rPr>
            </w:pPr>
            <w:r>
              <w:rPr>
                <w:rFonts w:ascii="宋体" w:hAnsi="宋体" w:eastAsia="宋体" w:cs="宋体"/>
                <w:color w:val="000000" w:themeColor="text1"/>
                <w:spacing w:val="0"/>
                <w:position w:val="0"/>
                <w:sz w:val="24"/>
                <w:szCs w:val="24"/>
                <w14:textFill>
                  <w14:solidFill>
                    <w14:schemeClr w14:val="tx1"/>
                  </w14:solidFill>
                </w14:textFill>
              </w:rPr>
              <w:t>称</w:t>
            </w:r>
          </w:p>
        </w:tc>
        <w:tc>
          <w:tcPr>
            <w:tcW w:w="6150" w:type="dxa"/>
            <w:vAlign w:val="center"/>
          </w:tcPr>
          <w:p w14:paraId="2A112757">
            <w:pPr>
              <w:pStyle w:val="24"/>
              <w:pageBreakBefore w:val="0"/>
              <w:widowControl w:val="0"/>
              <w:wordWrap/>
              <w:overflowPunct/>
              <w:topLinePunct w:val="0"/>
              <w:bidi w:val="0"/>
              <w:jc w:val="center"/>
              <w:rPr>
                <w:rFonts w:eastAsia="宋体"/>
                <w:color w:val="000000" w:themeColor="text1"/>
                <w:spacing w:val="0"/>
                <w:position w:val="0"/>
                <w:sz w:val="24"/>
                <w:szCs w:val="24"/>
                <w14:textFill>
                  <w14:solidFill>
                    <w14:schemeClr w14:val="tx1"/>
                  </w14:solidFill>
                </w14:textFill>
              </w:rPr>
            </w:pPr>
            <w:r>
              <w:rPr>
                <w:rFonts w:hint="eastAsia" w:eastAsia="宋体"/>
                <w:color w:val="000000" w:themeColor="text1"/>
                <w:spacing w:val="0"/>
                <w:position w:val="0"/>
                <w:sz w:val="24"/>
                <w:szCs w:val="24"/>
                <w14:textFill>
                  <w14:solidFill>
                    <w14:schemeClr w14:val="tx1"/>
                  </w14:solidFill>
                </w14:textFill>
              </w:rPr>
              <w:t>渝水区（含高新区）公办敬老院主副食服务采购项目</w:t>
            </w:r>
          </w:p>
        </w:tc>
      </w:tr>
      <w:tr w14:paraId="6227F92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2865" w:type="dxa"/>
            <w:gridSpan w:val="2"/>
            <w:vAlign w:val="center"/>
          </w:tcPr>
          <w:p w14:paraId="38A2656F">
            <w:pPr>
              <w:pageBreakBefore w:val="0"/>
              <w:widowControl w:val="0"/>
              <w:wordWrap/>
              <w:overflowPunct/>
              <w:topLinePunct w:val="0"/>
              <w:bidi w:val="0"/>
              <w:spacing w:before="253" w:line="219" w:lineRule="auto"/>
              <w:ind w:left="1188"/>
              <w:jc w:val="center"/>
              <w:rPr>
                <w:rFonts w:ascii="宋体" w:hAnsi="宋体" w:eastAsia="宋体" w:cs="宋体"/>
                <w:color w:val="000000" w:themeColor="text1"/>
                <w:spacing w:val="0"/>
                <w:position w:val="0"/>
                <w:sz w:val="24"/>
                <w:szCs w:val="24"/>
                <w14:textFill>
                  <w14:solidFill>
                    <w14:schemeClr w14:val="tx1"/>
                  </w14:solidFill>
                </w14:textFill>
              </w:rPr>
            </w:pPr>
            <w:r>
              <w:rPr>
                <w:rFonts w:ascii="宋体" w:hAnsi="宋体" w:eastAsia="宋体" w:cs="宋体"/>
                <w:color w:val="000000" w:themeColor="text1"/>
                <w:spacing w:val="0"/>
                <w:position w:val="0"/>
                <w:sz w:val="24"/>
                <w:szCs w:val="24"/>
                <w14:textFill>
                  <w14:solidFill>
                    <w14:schemeClr w14:val="tx1"/>
                  </w14:solidFill>
                </w14:textFill>
              </w:rPr>
              <w:t>数量</w:t>
            </w:r>
          </w:p>
        </w:tc>
        <w:tc>
          <w:tcPr>
            <w:tcW w:w="6150" w:type="dxa"/>
            <w:vAlign w:val="center"/>
          </w:tcPr>
          <w:p w14:paraId="2ACA56A2">
            <w:pPr>
              <w:pStyle w:val="24"/>
              <w:pageBreakBefore w:val="0"/>
              <w:widowControl w:val="0"/>
              <w:wordWrap/>
              <w:overflowPunct/>
              <w:topLinePunct w:val="0"/>
              <w:bidi w:val="0"/>
              <w:jc w:val="center"/>
              <w:rPr>
                <w:rFonts w:hint="default" w:eastAsia="宋体"/>
                <w:color w:val="000000" w:themeColor="text1"/>
                <w:spacing w:val="0"/>
                <w:position w:val="0"/>
                <w:sz w:val="24"/>
                <w:szCs w:val="24"/>
                <w:lang w:val="en-US" w:eastAsia="zh-CN"/>
                <w14:textFill>
                  <w14:solidFill>
                    <w14:schemeClr w14:val="tx1"/>
                  </w14:solidFill>
                </w14:textFill>
              </w:rPr>
            </w:pPr>
            <w:r>
              <w:rPr>
                <w:rFonts w:hint="eastAsia" w:eastAsia="宋体"/>
                <w:color w:val="000000" w:themeColor="text1"/>
                <w:spacing w:val="0"/>
                <w:position w:val="0"/>
                <w:sz w:val="24"/>
                <w:szCs w:val="24"/>
                <w:lang w:val="en-US" w:eastAsia="zh-CN"/>
                <w14:textFill>
                  <w14:solidFill>
                    <w14:schemeClr w14:val="tx1"/>
                  </w14:solidFill>
                </w14:textFill>
              </w:rPr>
              <w:t>1</w:t>
            </w:r>
          </w:p>
        </w:tc>
      </w:tr>
      <w:tr w14:paraId="20335B7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4" w:hRule="atLeast"/>
        </w:trPr>
        <w:tc>
          <w:tcPr>
            <w:tcW w:w="2865" w:type="dxa"/>
            <w:gridSpan w:val="2"/>
            <w:vAlign w:val="center"/>
          </w:tcPr>
          <w:p w14:paraId="47E66895">
            <w:pPr>
              <w:pageBreakBefore w:val="0"/>
              <w:widowControl w:val="0"/>
              <w:wordWrap/>
              <w:overflowPunct/>
              <w:topLinePunct w:val="0"/>
              <w:bidi w:val="0"/>
              <w:spacing w:before="253" w:line="219" w:lineRule="auto"/>
              <w:ind w:left="1071"/>
              <w:jc w:val="center"/>
              <w:rPr>
                <w:rFonts w:ascii="宋体" w:hAnsi="宋体" w:eastAsia="宋体" w:cs="宋体"/>
                <w:color w:val="000000" w:themeColor="text1"/>
                <w:spacing w:val="0"/>
                <w:position w:val="0"/>
                <w:sz w:val="24"/>
                <w:szCs w:val="24"/>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服务</w:t>
            </w:r>
            <w:r>
              <w:rPr>
                <w:rFonts w:ascii="宋体" w:hAnsi="宋体" w:eastAsia="宋体" w:cs="宋体"/>
                <w:color w:val="000000" w:themeColor="text1"/>
                <w:spacing w:val="0"/>
                <w:position w:val="0"/>
                <w:sz w:val="24"/>
                <w:szCs w:val="24"/>
                <w14:textFill>
                  <w14:solidFill>
                    <w14:schemeClr w14:val="tx1"/>
                  </w14:solidFill>
                </w14:textFill>
              </w:rPr>
              <w:t>期</w:t>
            </w:r>
          </w:p>
        </w:tc>
        <w:tc>
          <w:tcPr>
            <w:tcW w:w="6150" w:type="dxa"/>
            <w:vAlign w:val="center"/>
          </w:tcPr>
          <w:p w14:paraId="34824384">
            <w:pPr>
              <w:pStyle w:val="24"/>
              <w:pageBreakBefore w:val="0"/>
              <w:widowControl w:val="0"/>
              <w:wordWrap/>
              <w:overflowPunct/>
              <w:topLinePunct w:val="0"/>
              <w:bidi w:val="0"/>
              <w:jc w:val="center"/>
              <w:rPr>
                <w:rFonts w:hint="default" w:eastAsia="宋体"/>
                <w:color w:val="000000" w:themeColor="text1"/>
                <w:spacing w:val="0"/>
                <w:position w:val="0"/>
                <w:sz w:val="24"/>
                <w:szCs w:val="24"/>
                <w:lang w:val="en-US" w:eastAsia="zh-CN"/>
                <w14:textFill>
                  <w14:solidFill>
                    <w14:schemeClr w14:val="tx1"/>
                  </w14:solidFill>
                </w14:textFill>
              </w:rPr>
            </w:pPr>
            <w:r>
              <w:rPr>
                <w:rFonts w:hint="eastAsia" w:eastAsia="宋体"/>
                <w:color w:val="000000" w:themeColor="text1"/>
                <w:spacing w:val="0"/>
                <w:position w:val="0"/>
                <w:sz w:val="24"/>
                <w:szCs w:val="24"/>
                <w:lang w:val="en-US" w:eastAsia="zh-CN"/>
                <w14:textFill>
                  <w14:solidFill>
                    <w14:schemeClr w14:val="tx1"/>
                  </w14:solidFill>
                </w14:textFill>
              </w:rPr>
              <w:t>总配送服务期限为壹年(考核合格续签第二年)</w:t>
            </w:r>
          </w:p>
        </w:tc>
      </w:tr>
      <w:tr w14:paraId="49F674B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4" w:hRule="atLeast"/>
        </w:trPr>
        <w:tc>
          <w:tcPr>
            <w:tcW w:w="2865" w:type="dxa"/>
            <w:gridSpan w:val="2"/>
            <w:vAlign w:val="center"/>
          </w:tcPr>
          <w:p w14:paraId="19685FAC">
            <w:pPr>
              <w:pageBreakBefore w:val="0"/>
              <w:widowControl w:val="0"/>
              <w:wordWrap/>
              <w:overflowPunct/>
              <w:topLinePunct w:val="0"/>
              <w:bidi w:val="0"/>
              <w:spacing w:before="256" w:line="219" w:lineRule="auto"/>
              <w:ind w:left="951"/>
              <w:jc w:val="center"/>
              <w:rPr>
                <w:rFonts w:ascii="宋体" w:hAnsi="宋体" w:eastAsia="宋体" w:cs="宋体"/>
                <w:color w:val="000000" w:themeColor="text1"/>
                <w:spacing w:val="0"/>
                <w:position w:val="0"/>
                <w:sz w:val="24"/>
                <w:szCs w:val="24"/>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服务</w:t>
            </w:r>
            <w:r>
              <w:rPr>
                <w:rFonts w:ascii="宋体" w:hAnsi="宋体" w:eastAsia="宋体" w:cs="宋体"/>
                <w:color w:val="000000" w:themeColor="text1"/>
                <w:spacing w:val="0"/>
                <w:position w:val="0"/>
                <w:sz w:val="24"/>
                <w:szCs w:val="24"/>
                <w14:textFill>
                  <w14:solidFill>
                    <w14:schemeClr w14:val="tx1"/>
                  </w14:solidFill>
                </w14:textFill>
              </w:rPr>
              <w:t>地点</w:t>
            </w:r>
          </w:p>
        </w:tc>
        <w:tc>
          <w:tcPr>
            <w:tcW w:w="6150" w:type="dxa"/>
            <w:vAlign w:val="center"/>
          </w:tcPr>
          <w:p w14:paraId="6F115E0C">
            <w:pPr>
              <w:pStyle w:val="24"/>
              <w:pageBreakBefore w:val="0"/>
              <w:widowControl w:val="0"/>
              <w:wordWrap/>
              <w:overflowPunct/>
              <w:topLinePunct w:val="0"/>
              <w:bidi w:val="0"/>
              <w:jc w:val="center"/>
              <w:rPr>
                <w:rFonts w:hint="default" w:eastAsia="宋体"/>
                <w:color w:val="000000" w:themeColor="text1"/>
                <w:spacing w:val="0"/>
                <w:position w:val="0"/>
                <w:sz w:val="24"/>
                <w:szCs w:val="24"/>
                <w:lang w:val="en-US" w:eastAsia="zh-CN"/>
                <w14:textFill>
                  <w14:solidFill>
                    <w14:schemeClr w14:val="tx1"/>
                  </w14:solidFill>
                </w14:textFill>
              </w:rPr>
            </w:pPr>
            <w:r>
              <w:rPr>
                <w:rFonts w:hint="eastAsia" w:eastAsia="宋体"/>
                <w:color w:val="000000" w:themeColor="text1"/>
                <w:spacing w:val="0"/>
                <w:position w:val="0"/>
                <w:sz w:val="24"/>
                <w:szCs w:val="24"/>
                <w:lang w:val="en-US" w:eastAsia="zh-CN"/>
                <w14:textFill>
                  <w14:solidFill>
                    <w14:schemeClr w14:val="tx1"/>
                  </w14:solidFill>
                </w14:textFill>
              </w:rPr>
              <w:t>采购人指定地点</w:t>
            </w:r>
          </w:p>
        </w:tc>
      </w:tr>
      <w:tr w14:paraId="2ED4046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89" w:hRule="atLeast"/>
        </w:trPr>
        <w:tc>
          <w:tcPr>
            <w:tcW w:w="2865" w:type="dxa"/>
            <w:gridSpan w:val="2"/>
            <w:vAlign w:val="center"/>
          </w:tcPr>
          <w:p w14:paraId="42B2BBCD">
            <w:pPr>
              <w:pageBreakBefore w:val="0"/>
              <w:widowControl w:val="0"/>
              <w:wordWrap/>
              <w:overflowPunct/>
              <w:topLinePunct w:val="0"/>
              <w:bidi w:val="0"/>
              <w:spacing w:before="256" w:line="221" w:lineRule="auto"/>
              <w:ind w:left="1189"/>
              <w:jc w:val="center"/>
              <w:rPr>
                <w:rFonts w:ascii="宋体" w:hAnsi="宋体" w:eastAsia="宋体" w:cs="宋体"/>
                <w:color w:val="000000" w:themeColor="text1"/>
                <w:spacing w:val="0"/>
                <w:position w:val="0"/>
                <w:sz w:val="24"/>
                <w:szCs w:val="24"/>
                <w14:textFill>
                  <w14:solidFill>
                    <w14:schemeClr w14:val="tx1"/>
                  </w14:solidFill>
                </w14:textFill>
              </w:rPr>
            </w:pPr>
            <w:r>
              <w:rPr>
                <w:rFonts w:ascii="宋体" w:hAnsi="宋体" w:eastAsia="宋体" w:cs="宋体"/>
                <w:color w:val="000000" w:themeColor="text1"/>
                <w:spacing w:val="0"/>
                <w:position w:val="0"/>
                <w:sz w:val="24"/>
                <w:szCs w:val="24"/>
                <w14:textFill>
                  <w14:solidFill>
                    <w14:schemeClr w14:val="tx1"/>
                  </w14:solidFill>
                </w14:textFill>
              </w:rPr>
              <w:t>备注</w:t>
            </w:r>
          </w:p>
        </w:tc>
        <w:tc>
          <w:tcPr>
            <w:tcW w:w="6150" w:type="dxa"/>
            <w:vAlign w:val="center"/>
          </w:tcPr>
          <w:p w14:paraId="00A83090">
            <w:pPr>
              <w:pStyle w:val="24"/>
              <w:pageBreakBefore w:val="0"/>
              <w:widowControl w:val="0"/>
              <w:wordWrap/>
              <w:overflowPunct/>
              <w:topLinePunct w:val="0"/>
              <w:bidi w:val="0"/>
              <w:jc w:val="center"/>
              <w:rPr>
                <w:rFonts w:eastAsia="宋体"/>
                <w:color w:val="000000" w:themeColor="text1"/>
                <w:spacing w:val="0"/>
                <w:position w:val="0"/>
                <w:sz w:val="24"/>
                <w:szCs w:val="24"/>
                <w14:textFill>
                  <w14:solidFill>
                    <w14:schemeClr w14:val="tx1"/>
                  </w14:solidFill>
                </w14:textFill>
              </w:rPr>
            </w:pPr>
            <w:r>
              <w:rPr>
                <w:rFonts w:hint="eastAsia" w:eastAsia="宋体"/>
                <w:color w:val="000000" w:themeColor="text1"/>
                <w:spacing w:val="0"/>
                <w:position w:val="0"/>
                <w:sz w:val="24"/>
                <w:szCs w:val="24"/>
                <w:lang w:val="en-US" w:eastAsia="zh-CN"/>
                <w14:textFill>
                  <w14:solidFill>
                    <w14:schemeClr w14:val="tx1"/>
                  </w14:solidFill>
                </w14:textFill>
              </w:rPr>
              <w:t>供应商</w:t>
            </w:r>
            <w:r>
              <w:rPr>
                <w:rFonts w:hint="eastAsia" w:eastAsia="宋体"/>
                <w:color w:val="000000" w:themeColor="text1"/>
                <w:spacing w:val="0"/>
                <w:position w:val="0"/>
                <w:sz w:val="24"/>
                <w:szCs w:val="24"/>
                <w14:textFill>
                  <w14:solidFill>
                    <w14:schemeClr w14:val="tx1"/>
                  </w14:solidFill>
                </w14:textFill>
              </w:rPr>
              <w:t>报价包括运至招标人指定地点的食材费、运输费、装卸费、人工费、保险费、各类税费、管理费及完成本项目等所需的一切费用。</w:t>
            </w:r>
          </w:p>
        </w:tc>
      </w:tr>
    </w:tbl>
    <w:p w14:paraId="1F3D5479">
      <w:pPr>
        <w:pageBreakBefore w:val="0"/>
        <w:widowControl w:val="0"/>
        <w:wordWrap/>
        <w:overflowPunct/>
        <w:topLinePunct w:val="0"/>
        <w:bidi w:val="0"/>
        <w:rPr>
          <w:color w:val="000000" w:themeColor="text1"/>
          <w:spacing w:val="0"/>
          <w:position w:val="0"/>
          <w14:textFill>
            <w14:solidFill>
              <w14:schemeClr w14:val="tx1"/>
            </w14:solidFill>
          </w14:textFill>
        </w:rPr>
      </w:pPr>
    </w:p>
    <w:p w14:paraId="2895F23E">
      <w:pPr>
        <w:pageBreakBefore w:val="0"/>
        <w:widowControl w:val="0"/>
        <w:wordWrap/>
        <w:overflowPunct/>
        <w:topLinePunct w:val="0"/>
        <w:bidi w:val="0"/>
        <w:rPr>
          <w:color w:val="000000" w:themeColor="text1"/>
          <w:spacing w:val="0"/>
          <w:position w:val="0"/>
          <w14:textFill>
            <w14:solidFill>
              <w14:schemeClr w14:val="tx1"/>
            </w14:solidFill>
          </w14:textFill>
        </w:rPr>
        <w:sectPr>
          <w:footerReference r:id="rId3" w:type="default"/>
          <w:pgSz w:w="11906" w:h="16839"/>
          <w:pgMar w:top="1429" w:right="1786" w:bottom="1429" w:left="1786" w:header="0" w:footer="994" w:gutter="0"/>
          <w:pgNumType w:fmt="decimal"/>
          <w:cols w:space="720" w:num="1"/>
        </w:sectPr>
      </w:pPr>
    </w:p>
    <w:p w14:paraId="090543D5">
      <w:pPr>
        <w:pageBreakBefore w:val="0"/>
        <w:widowControl w:val="0"/>
        <w:wordWrap/>
        <w:overflowPunct/>
        <w:topLinePunct w:val="0"/>
        <w:bidi w:val="0"/>
        <w:spacing w:before="47" w:line="219" w:lineRule="auto"/>
        <w:ind w:left="3805"/>
        <w:outlineLvl w:val="1"/>
        <w:rPr>
          <w:rFonts w:ascii="宋体" w:hAnsi="宋体" w:eastAsia="宋体" w:cs="宋体"/>
          <w:color w:val="000000" w:themeColor="text1"/>
          <w:spacing w:val="0"/>
          <w:position w:val="0"/>
          <w:sz w:val="32"/>
          <w:szCs w:val="32"/>
          <w14:textFill>
            <w14:solidFill>
              <w14:schemeClr w14:val="tx1"/>
            </w14:solidFill>
          </w14:textFill>
        </w:rPr>
      </w:pPr>
      <w:bookmarkStart w:id="2" w:name="bookmark81"/>
      <w:bookmarkEnd w:id="2"/>
      <w:r>
        <w:rPr>
          <w:rFonts w:ascii="宋体" w:hAnsi="宋体" w:eastAsia="宋体" w:cs="宋体"/>
          <w:color w:val="000000" w:themeColor="text1"/>
          <w:spacing w:val="0"/>
          <w:position w:val="0"/>
          <w:sz w:val="32"/>
          <w:szCs w:val="32"/>
          <w14:textOutline w14:w="4356" w14:cap="sq" w14:cmpd="sng" w14:algn="ctr">
            <w14:solidFill>
              <w14:srgbClr w14:val="000000"/>
            </w14:solidFill>
            <w14:prstDash w14:val="solid"/>
            <w14:bevel/>
          </w14:textOutline>
          <w14:textFill>
            <w14:solidFill>
              <w14:schemeClr w14:val="tx1"/>
            </w14:solidFill>
          </w14:textFill>
        </w:rPr>
        <w:t>二、采购需求</w:t>
      </w:r>
    </w:p>
    <w:p w14:paraId="3F0365CA">
      <w:pPr>
        <w:pageBreakBefore w:val="0"/>
        <w:widowControl w:val="0"/>
        <w:wordWrap/>
        <w:overflowPunct/>
        <w:topLinePunct w:val="0"/>
        <w:bidi w:val="0"/>
        <w:spacing w:line="258" w:lineRule="auto"/>
        <w:jc w:val="center"/>
        <w:rPr>
          <w:color w:val="000000" w:themeColor="text1"/>
          <w:spacing w:val="0"/>
          <w:position w:val="0"/>
          <w14:textFill>
            <w14:solidFill>
              <w14:schemeClr w14:val="tx1"/>
            </w14:solidFill>
          </w14:textFill>
        </w:rPr>
      </w:pPr>
    </w:p>
    <w:p w14:paraId="4DBBBB58">
      <w:pPr>
        <w:pageBreakBefore w:val="0"/>
        <w:widowControl w:val="0"/>
        <w:wordWrap/>
        <w:overflowPunct/>
        <w:topLinePunct w:val="0"/>
        <w:bidi w:val="0"/>
        <w:spacing w:before="78" w:line="219" w:lineRule="auto"/>
        <w:jc w:val="center"/>
        <w:rPr>
          <w:rFonts w:ascii="宋体" w:hAnsi="宋体" w:eastAsia="宋体" w:cs="宋体"/>
          <w:b/>
          <w:bCs/>
          <w:color w:val="000000" w:themeColor="text1"/>
          <w:spacing w:val="0"/>
          <w:position w:val="0"/>
          <w:sz w:val="32"/>
          <w:szCs w:val="32"/>
          <w14:textFill>
            <w14:solidFill>
              <w14:schemeClr w14:val="tx1"/>
            </w14:solidFill>
          </w14:textFill>
        </w:rPr>
      </w:pPr>
      <w:r>
        <w:rPr>
          <w:rFonts w:ascii="宋体" w:hAnsi="宋体" w:eastAsia="宋体" w:cs="宋体"/>
          <w:b/>
          <w:bCs/>
          <w:color w:val="000000" w:themeColor="text1"/>
          <w:spacing w:val="0"/>
          <w:position w:val="0"/>
          <w:sz w:val="32"/>
          <w:szCs w:val="32"/>
          <w14:textFill>
            <w14:solidFill>
              <w14:schemeClr w14:val="tx1"/>
            </w14:solidFill>
          </w14:textFill>
        </w:rPr>
        <w:t xml:space="preserve">（一） </w:t>
      </w:r>
      <w:r>
        <w:rPr>
          <w:rFonts w:hint="eastAsia" w:ascii="宋体" w:hAnsi="宋体" w:eastAsia="宋体" w:cs="宋体"/>
          <w:b/>
          <w:bCs/>
          <w:color w:val="000000" w:themeColor="text1"/>
          <w:spacing w:val="0"/>
          <w:position w:val="0"/>
          <w:sz w:val="32"/>
          <w:szCs w:val="32"/>
          <w:lang w:val="en-US" w:eastAsia="zh-CN"/>
          <w14:textFill>
            <w14:solidFill>
              <w14:schemeClr w14:val="tx1"/>
            </w14:solidFill>
          </w14:textFill>
        </w:rPr>
        <w:t>服务</w:t>
      </w:r>
      <w:r>
        <w:rPr>
          <w:rFonts w:ascii="宋体" w:hAnsi="宋体" w:eastAsia="宋体" w:cs="宋体"/>
          <w:b/>
          <w:bCs/>
          <w:color w:val="000000" w:themeColor="text1"/>
          <w:spacing w:val="0"/>
          <w:position w:val="0"/>
          <w:sz w:val="32"/>
          <w:szCs w:val="32"/>
          <w14:textFill>
            <w14:solidFill>
              <w14:schemeClr w14:val="tx1"/>
            </w14:solidFill>
          </w14:textFill>
        </w:rPr>
        <w:t>需求</w:t>
      </w:r>
    </w:p>
    <w:p w14:paraId="3A55B780">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eastAsia="宋体"/>
          <w:b/>
          <w:bCs/>
          <w:color w:val="000000" w:themeColor="text1"/>
          <w:spacing w:val="0"/>
          <w:position w:val="0"/>
          <w:sz w:val="28"/>
          <w14:textFill>
            <w14:solidFill>
              <w14:schemeClr w14:val="tx1"/>
            </w14:solidFill>
          </w14:textFill>
        </w:rPr>
      </w:pPr>
      <w:r>
        <w:rPr>
          <w:rFonts w:hint="eastAsia" w:eastAsia="宋体"/>
          <w:b/>
          <w:bCs/>
          <w:color w:val="000000" w:themeColor="text1"/>
          <w:spacing w:val="0"/>
          <w:position w:val="0"/>
          <w:sz w:val="28"/>
          <w14:textFill>
            <w14:solidFill>
              <w14:schemeClr w14:val="tx1"/>
            </w14:solidFill>
          </w14:textFill>
        </w:rPr>
        <w:t>一、项目概述</w:t>
      </w:r>
    </w:p>
    <w:p w14:paraId="423936EA">
      <w:pPr>
        <w:keepNext w:val="0"/>
        <w:keepLines w:val="0"/>
        <w:pageBreakBefore w:val="0"/>
        <w:widowControl w:val="0"/>
        <w:kinsoku/>
        <w:wordWrap w:val="0"/>
        <w:overflowPunct/>
        <w:topLinePunct w:val="0"/>
        <w:autoSpaceDE w:val="0"/>
        <w:autoSpaceDN w:val="0"/>
        <w:bidi w:val="0"/>
        <w:adjustRightInd w:val="0"/>
        <w:snapToGrid w:val="0"/>
        <w:spacing w:line="360" w:lineRule="auto"/>
        <w:ind w:firstLine="560" w:firstLineChars="200"/>
        <w:textAlignment w:val="baseline"/>
        <w:rPr>
          <w:rFonts w:hint="eastAsia" w:eastAsia="宋体"/>
          <w:color w:val="000000" w:themeColor="text1"/>
          <w:spacing w:val="0"/>
          <w:position w:val="0"/>
          <w:sz w:val="28"/>
          <w:szCs w:val="28"/>
          <w14:textFill>
            <w14:solidFill>
              <w14:schemeClr w14:val="tx1"/>
            </w14:solidFill>
          </w14:textFill>
        </w:rPr>
      </w:pPr>
      <w:r>
        <w:rPr>
          <w:rFonts w:hint="eastAsia" w:eastAsia="宋体"/>
          <w:color w:val="000000" w:themeColor="text1"/>
          <w:spacing w:val="0"/>
          <w:position w:val="0"/>
          <w:sz w:val="28"/>
          <w:szCs w:val="28"/>
          <w:lang w:val="en-US" w:eastAsia="zh-CN"/>
          <w14:textFill>
            <w14:solidFill>
              <w14:schemeClr w14:val="tx1"/>
            </w14:solidFill>
          </w14:textFill>
        </w:rPr>
        <w:t>1.</w:t>
      </w:r>
      <w:r>
        <w:rPr>
          <w:rFonts w:hint="eastAsia" w:eastAsia="宋体"/>
          <w:color w:val="000000" w:themeColor="text1"/>
          <w:spacing w:val="0"/>
          <w:position w:val="0"/>
          <w:sz w:val="28"/>
          <w:szCs w:val="28"/>
          <w14:textFill>
            <w14:solidFill>
              <w14:schemeClr w14:val="tx1"/>
            </w14:solidFill>
          </w14:textFill>
        </w:rPr>
        <w:t>根据江西省民政厅关于印发《江西省农村区域性中心敬老院设置与管理服务规范》的通知，规范物资采购</w:t>
      </w:r>
      <w:r>
        <w:rPr>
          <w:rFonts w:hint="eastAsia" w:eastAsia="宋体"/>
          <w:color w:val="000000" w:themeColor="text1"/>
          <w:spacing w:val="0"/>
          <w:position w:val="0"/>
          <w:sz w:val="28"/>
          <w:szCs w:val="28"/>
          <w:lang w:eastAsia="zh-CN"/>
          <w14:textFill>
            <w14:solidFill>
              <w14:schemeClr w14:val="tx1"/>
            </w14:solidFill>
          </w14:textFill>
        </w:rPr>
        <w:t>。</w:t>
      </w:r>
      <w:r>
        <w:rPr>
          <w:rFonts w:hint="eastAsia" w:eastAsia="宋体"/>
          <w:color w:val="000000" w:themeColor="text1"/>
          <w:spacing w:val="0"/>
          <w:position w:val="0"/>
          <w:sz w:val="28"/>
          <w:szCs w:val="28"/>
          <w14:textFill>
            <w14:solidFill>
              <w14:schemeClr w14:val="tx1"/>
            </w14:solidFill>
          </w14:textFill>
        </w:rPr>
        <w:t>本项目为渝水区（含高新区）公办敬老院主副食配送服务采购，采购类别为肉、蔬菜、粮油、禽肉、调味品、水产等大宗食材（包含水果、蛋糕、牛奶、面包等）。采购的具体品种及实际数量根据各敬老院当天或每月的实际需求量而定，敬老院自行选择配送食材类别，中标单位不得以任何理由拒绝，否则将取消中标资格。</w:t>
      </w:r>
    </w:p>
    <w:p w14:paraId="2BEAB101">
      <w:pPr>
        <w:keepNext w:val="0"/>
        <w:keepLines w:val="0"/>
        <w:pageBreakBefore w:val="0"/>
        <w:widowControl w:val="0"/>
        <w:kinsoku/>
        <w:wordWrap w:val="0"/>
        <w:overflowPunct/>
        <w:topLinePunct w:val="0"/>
        <w:autoSpaceDE w:val="0"/>
        <w:autoSpaceDN w:val="0"/>
        <w:bidi w:val="0"/>
        <w:adjustRightInd w:val="0"/>
        <w:snapToGrid w:val="0"/>
        <w:spacing w:line="360" w:lineRule="auto"/>
        <w:ind w:firstLine="562" w:firstLineChars="200"/>
        <w:textAlignment w:val="baseline"/>
        <w:rPr>
          <w:rFonts w:eastAsia="宋体"/>
          <w:color w:val="000000" w:themeColor="text1"/>
          <w:spacing w:val="0"/>
          <w:position w:val="0"/>
          <w:sz w:val="28"/>
          <w:szCs w:val="28"/>
          <w14:textFill>
            <w14:solidFill>
              <w14:schemeClr w14:val="tx1"/>
            </w14:solidFill>
          </w14:textFill>
        </w:rPr>
      </w:pPr>
      <w:r>
        <w:rPr>
          <w:rFonts w:hint="eastAsia" w:eastAsia="宋体"/>
          <w:b/>
          <w:bCs/>
          <w:color w:val="000000" w:themeColor="text1"/>
          <w:spacing w:val="0"/>
          <w:position w:val="0"/>
          <w:sz w:val="28"/>
          <w:szCs w:val="28"/>
          <w:lang w:val="en-US" w:eastAsia="zh-CN"/>
          <w14:textFill>
            <w14:solidFill>
              <w14:schemeClr w14:val="tx1"/>
            </w14:solidFill>
          </w14:textFill>
        </w:rPr>
        <w:t>2.</w:t>
      </w:r>
      <w:r>
        <w:rPr>
          <w:rFonts w:hint="eastAsia" w:eastAsia="宋体"/>
          <w:b/>
          <w:bCs/>
          <w:color w:val="000000" w:themeColor="text1"/>
          <w:spacing w:val="0"/>
          <w:position w:val="0"/>
          <w:sz w:val="28"/>
          <w:szCs w:val="28"/>
          <w14:textFill>
            <w14:solidFill>
              <w14:schemeClr w14:val="tx1"/>
            </w14:solidFill>
          </w14:textFill>
        </w:rPr>
        <w:t>配送范围：</w:t>
      </w:r>
      <w:r>
        <w:rPr>
          <w:rFonts w:hint="eastAsia" w:eastAsia="宋体"/>
          <w:color w:val="000000" w:themeColor="text1"/>
          <w:spacing w:val="0"/>
          <w:position w:val="0"/>
          <w:sz w:val="28"/>
          <w:szCs w:val="28"/>
          <w:lang w:val="en-US" w:eastAsia="zh-CN"/>
          <w14:textFill>
            <w14:solidFill>
              <w14:schemeClr w14:val="tx1"/>
            </w14:solidFill>
          </w14:textFill>
        </w:rPr>
        <w:t>罗坊中心敬老院、水北中心敬老院、下村中心敬老院、珠珊中心敬老院、姚圩中心敬老院、人和敬老院、水西敬老院、马洪敬老院</w:t>
      </w:r>
      <w:r>
        <w:rPr>
          <w:rFonts w:hint="eastAsia" w:eastAsia="宋体"/>
          <w:color w:val="000000" w:themeColor="text1"/>
          <w:spacing w:val="0"/>
          <w:position w:val="0"/>
          <w:sz w:val="28"/>
          <w:szCs w:val="28"/>
          <w14:textFill>
            <w14:solidFill>
              <w14:schemeClr w14:val="tx1"/>
            </w14:solidFill>
          </w14:textFill>
        </w:rPr>
        <w:t>，配送敬老院为</w:t>
      </w:r>
      <w:r>
        <w:rPr>
          <w:rFonts w:hint="eastAsia" w:eastAsia="宋体"/>
          <w:color w:val="000000" w:themeColor="text1"/>
          <w:spacing w:val="0"/>
          <w:position w:val="0"/>
          <w:sz w:val="28"/>
          <w:szCs w:val="28"/>
          <w:lang w:val="en-US" w:eastAsia="zh-CN"/>
          <w14:textFill>
            <w14:solidFill>
              <w14:schemeClr w14:val="tx1"/>
            </w14:solidFill>
          </w14:textFill>
        </w:rPr>
        <w:t>8</w:t>
      </w:r>
      <w:r>
        <w:rPr>
          <w:rFonts w:hint="eastAsia" w:eastAsia="宋体"/>
          <w:color w:val="000000" w:themeColor="text1"/>
          <w:spacing w:val="0"/>
          <w:position w:val="0"/>
          <w:sz w:val="28"/>
          <w:szCs w:val="28"/>
          <w14:textFill>
            <w14:solidFill>
              <w14:schemeClr w14:val="tx1"/>
            </w14:solidFill>
          </w14:textFill>
        </w:rPr>
        <w:t>所。</w:t>
      </w:r>
    </w:p>
    <w:p w14:paraId="7241F508">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eastAsia="宋体"/>
          <w:b/>
          <w:bCs/>
          <w:color w:val="000000" w:themeColor="text1"/>
          <w:spacing w:val="0"/>
          <w:position w:val="0"/>
          <w:sz w:val="28"/>
          <w:lang w:val="en-US" w:eastAsia="zh-CN"/>
          <w14:textFill>
            <w14:solidFill>
              <w14:schemeClr w14:val="tx1"/>
            </w14:solidFill>
          </w14:textFill>
        </w:rPr>
      </w:pPr>
      <w:r>
        <w:rPr>
          <w:rFonts w:hint="eastAsia" w:eastAsia="宋体"/>
          <w:b/>
          <w:bCs/>
          <w:color w:val="000000" w:themeColor="text1"/>
          <w:spacing w:val="0"/>
          <w:position w:val="0"/>
          <w:sz w:val="28"/>
          <w:lang w:val="en-US" w:eastAsia="zh-CN"/>
          <w14:textFill>
            <w14:solidFill>
              <w14:schemeClr w14:val="tx1"/>
            </w14:solidFill>
          </w14:textFill>
        </w:rPr>
        <w:t>二、采购要求</w:t>
      </w:r>
    </w:p>
    <w:p w14:paraId="59B4F861">
      <w:pPr>
        <w:keepNext w:val="0"/>
        <w:keepLines w:val="0"/>
        <w:pageBreakBefore w:val="0"/>
        <w:widowControl w:val="0"/>
        <w:kinsoku/>
        <w:wordWrap w:val="0"/>
        <w:overflowPunct/>
        <w:topLinePunct w:val="0"/>
        <w:autoSpaceDE w:val="0"/>
        <w:autoSpaceDN w:val="0"/>
        <w:bidi w:val="0"/>
        <w:adjustRightInd w:val="0"/>
        <w:snapToGrid w:val="0"/>
        <w:spacing w:line="360" w:lineRule="auto"/>
        <w:ind w:firstLine="562" w:firstLineChars="200"/>
        <w:textAlignment w:val="baseline"/>
        <w:rPr>
          <w:rFonts w:hint="eastAsia" w:eastAsia="宋体"/>
          <w:color w:val="000000" w:themeColor="text1"/>
          <w:spacing w:val="0"/>
          <w:position w:val="0"/>
          <w:sz w:val="28"/>
          <w:szCs w:val="28"/>
          <w:lang w:val="en-US" w:eastAsia="zh-CN"/>
          <w14:textFill>
            <w14:solidFill>
              <w14:schemeClr w14:val="tx1"/>
            </w14:solidFill>
          </w14:textFill>
        </w:rPr>
      </w:pPr>
      <w:r>
        <w:rPr>
          <w:rFonts w:hint="eastAsia" w:eastAsia="宋体"/>
          <w:b/>
          <w:bCs/>
          <w:color w:val="000000" w:themeColor="text1"/>
          <w:spacing w:val="0"/>
          <w:position w:val="0"/>
          <w:sz w:val="28"/>
          <w:szCs w:val="28"/>
          <w:lang w:val="en-US" w:eastAsia="zh-CN"/>
          <w14:textFill>
            <w14:solidFill>
              <w14:schemeClr w14:val="tx1"/>
            </w14:solidFill>
          </w14:textFill>
        </w:rPr>
        <w:t>1.结算方式：</w:t>
      </w:r>
      <w:r>
        <w:rPr>
          <w:rFonts w:hint="eastAsia" w:eastAsia="宋体"/>
          <w:color w:val="000000" w:themeColor="text1"/>
          <w:spacing w:val="0"/>
          <w:position w:val="0"/>
          <w:sz w:val="28"/>
          <w:szCs w:val="28"/>
          <w:lang w:val="en-US" w:eastAsia="zh-CN"/>
          <w14:textFill>
            <w14:solidFill>
              <w14:schemeClr w14:val="tx1"/>
            </w14:solidFill>
          </w14:textFill>
        </w:rPr>
        <w:t>每半个月由采购人（或双方共同）组织询价一次。询价渠道为：选取本区域内三个以上（含三个）中大型超市，或三个以上（含三个）中大型农贸市场的同一食材价格，计算其算术平均值作为当期基准价。该基准价不得高于新余市发展和改革委员会公布的最新一期《价格监测简报》（http://fgw.xinyu.gov.cn/）及江西省发展与改革委员会配送当月最后一周公布的《江西省居民生活必需品价格监测报表》（http://drc.jiangxi.gov.cn/）中相同食材的价格。最终结算以实际配送数量为准，据实支付。</w:t>
      </w:r>
    </w:p>
    <w:p w14:paraId="75506002">
      <w:pPr>
        <w:keepNext w:val="0"/>
        <w:keepLines w:val="0"/>
        <w:pageBreakBefore w:val="0"/>
        <w:widowControl w:val="0"/>
        <w:kinsoku/>
        <w:wordWrap w:val="0"/>
        <w:overflowPunct/>
        <w:topLinePunct w:val="0"/>
        <w:autoSpaceDE w:val="0"/>
        <w:autoSpaceDN w:val="0"/>
        <w:bidi w:val="0"/>
        <w:adjustRightInd w:val="0"/>
        <w:snapToGrid w:val="0"/>
        <w:spacing w:line="360" w:lineRule="auto"/>
        <w:ind w:firstLine="562" w:firstLineChars="200"/>
        <w:textAlignment w:val="baseline"/>
        <w:rPr>
          <w:rFonts w:hint="eastAsia" w:eastAsia="宋体"/>
          <w:b/>
          <w:bCs/>
          <w:color w:val="000000" w:themeColor="text1"/>
          <w:spacing w:val="0"/>
          <w:position w:val="0"/>
          <w:sz w:val="28"/>
          <w:szCs w:val="28"/>
          <w:lang w:val="en-US" w:eastAsia="zh-CN"/>
          <w14:textFill>
            <w14:solidFill>
              <w14:schemeClr w14:val="tx1"/>
            </w14:solidFill>
          </w14:textFill>
        </w:rPr>
      </w:pPr>
      <w:r>
        <w:rPr>
          <w:rFonts w:hint="eastAsia" w:eastAsia="宋体"/>
          <w:b/>
          <w:bCs/>
          <w:color w:val="000000" w:themeColor="text1"/>
          <w:spacing w:val="0"/>
          <w:position w:val="0"/>
          <w:sz w:val="28"/>
          <w:szCs w:val="28"/>
          <w:lang w:val="en-US" w:eastAsia="zh-CN"/>
          <w14:textFill>
            <w14:solidFill>
              <w14:schemeClr w14:val="tx1"/>
            </w14:solidFill>
          </w14:textFill>
        </w:rPr>
        <w:t>2.报价方式：本项目采用折扣率投标报价，</w:t>
      </w:r>
      <w:r>
        <w:rPr>
          <w:rFonts w:hint="eastAsia" w:eastAsia="宋体"/>
          <w:b w:val="0"/>
          <w:bCs w:val="0"/>
          <w:color w:val="000000" w:themeColor="text1"/>
          <w:spacing w:val="0"/>
          <w:position w:val="0"/>
          <w:sz w:val="28"/>
          <w:szCs w:val="28"/>
          <w:lang w:val="en-US" w:eastAsia="zh-CN"/>
          <w14:textFill>
            <w14:solidFill>
              <w14:schemeClr w14:val="tx1"/>
            </w14:solidFill>
          </w14:textFill>
        </w:rPr>
        <w:t>投标人应考虑经济增长物价上涨及自身成本报价，确定报价幅度，报价幅度应在不大于 100%（最高限价280万元，单年采购预算金额），超出此报价幅度的报价视为无效投标，作无效投标处理。折扣率定义：以最新食品市场价单价结合投标人对物价水平的预期，综合考虑本次采购所有物品食品的物价变动来作出的报价，而中标人所报的折扣率将作为采购人在采购期间购买货物的款项计算依据。投标费率报价保留至小数点后两位，如超过两位的直接舍去，例如：95.347％按 95.34％计算，中标后签订合同时的中标综合费率不得更改。</w:t>
      </w:r>
    </w:p>
    <w:p w14:paraId="69CAB217">
      <w:pPr>
        <w:keepNext w:val="0"/>
        <w:keepLines w:val="0"/>
        <w:pageBreakBefore w:val="0"/>
        <w:widowControl w:val="0"/>
        <w:kinsoku/>
        <w:wordWrap w:val="0"/>
        <w:overflowPunct/>
        <w:topLinePunct w:val="0"/>
        <w:autoSpaceDE w:val="0"/>
        <w:autoSpaceDN w:val="0"/>
        <w:bidi w:val="0"/>
        <w:adjustRightInd w:val="0"/>
        <w:snapToGrid w:val="0"/>
        <w:spacing w:line="360" w:lineRule="auto"/>
        <w:ind w:firstLine="562" w:firstLineChars="200"/>
        <w:textAlignment w:val="baseline"/>
        <w:rPr>
          <w:rFonts w:hint="eastAsia" w:eastAsia="宋体"/>
          <w:color w:val="000000" w:themeColor="text1"/>
          <w:spacing w:val="0"/>
          <w:position w:val="0"/>
          <w:sz w:val="28"/>
          <w:szCs w:val="28"/>
          <w:lang w:val="en-US" w:eastAsia="zh-CN"/>
          <w14:textFill>
            <w14:solidFill>
              <w14:schemeClr w14:val="tx1"/>
            </w14:solidFill>
          </w14:textFill>
        </w:rPr>
      </w:pPr>
      <w:r>
        <w:rPr>
          <w:rFonts w:hint="eastAsia" w:eastAsia="宋体"/>
          <w:b/>
          <w:bCs/>
          <w:color w:val="000000" w:themeColor="text1"/>
          <w:spacing w:val="0"/>
          <w:position w:val="0"/>
          <w:sz w:val="28"/>
          <w:szCs w:val="28"/>
          <w:lang w:val="en-US" w:eastAsia="zh-CN"/>
          <w14:textFill>
            <w14:solidFill>
              <w14:schemeClr w14:val="tx1"/>
            </w14:solidFill>
          </w14:textFill>
        </w:rPr>
        <w:t>3.食品安全要求</w:t>
      </w:r>
    </w:p>
    <w:p w14:paraId="385ECCB4">
      <w:pPr>
        <w:keepNext w:val="0"/>
        <w:keepLines w:val="0"/>
        <w:pageBreakBefore w:val="0"/>
        <w:widowControl w:val="0"/>
        <w:kinsoku/>
        <w:wordWrap w:val="0"/>
        <w:overflowPunct/>
        <w:topLinePunct w:val="0"/>
        <w:autoSpaceDE w:val="0"/>
        <w:autoSpaceDN w:val="0"/>
        <w:bidi w:val="0"/>
        <w:adjustRightInd w:val="0"/>
        <w:snapToGrid w:val="0"/>
        <w:spacing w:line="360" w:lineRule="auto"/>
        <w:ind w:firstLine="560" w:firstLineChars="200"/>
        <w:textAlignment w:val="baseline"/>
        <w:rPr>
          <w:rFonts w:hint="eastAsia" w:eastAsia="宋体"/>
          <w:color w:val="000000" w:themeColor="text1"/>
          <w:spacing w:val="0"/>
          <w:position w:val="0"/>
          <w:sz w:val="28"/>
          <w:szCs w:val="28"/>
          <w:lang w:val="en-US" w:eastAsia="zh-CN"/>
          <w14:textFill>
            <w14:solidFill>
              <w14:schemeClr w14:val="tx1"/>
            </w14:solidFill>
          </w14:textFill>
        </w:rPr>
      </w:pPr>
      <w:r>
        <w:rPr>
          <w:rFonts w:hint="eastAsia" w:eastAsia="宋体"/>
          <w:color w:val="000000" w:themeColor="text1"/>
          <w:spacing w:val="0"/>
          <w:position w:val="0"/>
          <w:sz w:val="28"/>
          <w:szCs w:val="28"/>
          <w:lang w:val="en-US" w:eastAsia="zh-CN"/>
          <w14:textFill>
            <w14:solidFill>
              <w14:schemeClr w14:val="tx1"/>
            </w14:solidFill>
          </w14:textFill>
        </w:rPr>
        <w:t>3.1.中标人配送货品期间，配送车辆进入采购人区域，须遵守采购人规章制度及安全行驶管理规定。中标人配送货品的工作人员须取得健康证，确保食品流通环节的健康安全。</w:t>
      </w:r>
    </w:p>
    <w:p w14:paraId="3412A11A">
      <w:pPr>
        <w:keepNext w:val="0"/>
        <w:keepLines w:val="0"/>
        <w:pageBreakBefore w:val="0"/>
        <w:widowControl w:val="0"/>
        <w:kinsoku/>
        <w:wordWrap w:val="0"/>
        <w:overflowPunct/>
        <w:topLinePunct w:val="0"/>
        <w:autoSpaceDE w:val="0"/>
        <w:autoSpaceDN w:val="0"/>
        <w:bidi w:val="0"/>
        <w:adjustRightInd w:val="0"/>
        <w:snapToGrid w:val="0"/>
        <w:spacing w:line="360" w:lineRule="auto"/>
        <w:ind w:firstLine="560" w:firstLineChars="200"/>
        <w:textAlignment w:val="baseline"/>
        <w:rPr>
          <w:rFonts w:hint="eastAsia" w:eastAsia="宋体"/>
          <w:color w:val="000000" w:themeColor="text1"/>
          <w:spacing w:val="0"/>
          <w:position w:val="0"/>
          <w:sz w:val="28"/>
          <w:szCs w:val="28"/>
          <w:lang w:val="en-US" w:eastAsia="zh-CN"/>
          <w14:textFill>
            <w14:solidFill>
              <w14:schemeClr w14:val="tx1"/>
            </w14:solidFill>
          </w14:textFill>
        </w:rPr>
      </w:pPr>
      <w:r>
        <w:rPr>
          <w:rFonts w:hint="eastAsia" w:eastAsia="宋体"/>
          <w:color w:val="000000" w:themeColor="text1"/>
          <w:spacing w:val="0"/>
          <w:position w:val="0"/>
          <w:sz w:val="28"/>
          <w:szCs w:val="28"/>
          <w:lang w:val="en-US" w:eastAsia="zh-CN"/>
          <w14:textFill>
            <w14:solidFill>
              <w14:schemeClr w14:val="tx1"/>
            </w14:solidFill>
          </w14:textFill>
        </w:rPr>
        <w:t>3.2.中标人应响应《中华人民共和国食品安全法》 (以下简称食品安全法)、《中华人民共和国食品安全法实施条例》等法律法规。</w:t>
      </w:r>
    </w:p>
    <w:p w14:paraId="3B3B7C73">
      <w:pPr>
        <w:keepNext w:val="0"/>
        <w:keepLines w:val="0"/>
        <w:pageBreakBefore w:val="0"/>
        <w:widowControl w:val="0"/>
        <w:kinsoku/>
        <w:wordWrap w:val="0"/>
        <w:overflowPunct/>
        <w:topLinePunct w:val="0"/>
        <w:autoSpaceDE w:val="0"/>
        <w:autoSpaceDN w:val="0"/>
        <w:bidi w:val="0"/>
        <w:adjustRightInd w:val="0"/>
        <w:snapToGrid w:val="0"/>
        <w:spacing w:line="360" w:lineRule="auto"/>
        <w:ind w:firstLine="560" w:firstLineChars="200"/>
        <w:textAlignment w:val="baseline"/>
        <w:rPr>
          <w:rFonts w:hint="eastAsia" w:eastAsia="宋体"/>
          <w:color w:val="000000" w:themeColor="text1"/>
          <w:spacing w:val="0"/>
          <w:position w:val="0"/>
          <w:sz w:val="28"/>
          <w:szCs w:val="28"/>
          <w:lang w:val="en-US" w:eastAsia="zh-CN"/>
          <w14:textFill>
            <w14:solidFill>
              <w14:schemeClr w14:val="tx1"/>
            </w14:solidFill>
          </w14:textFill>
        </w:rPr>
      </w:pPr>
      <w:r>
        <w:rPr>
          <w:rFonts w:hint="eastAsia" w:eastAsia="宋体"/>
          <w:color w:val="000000" w:themeColor="text1"/>
          <w:spacing w:val="0"/>
          <w:position w:val="0"/>
          <w:sz w:val="28"/>
          <w:szCs w:val="28"/>
          <w:lang w:val="en-US" w:eastAsia="zh-CN"/>
          <w14:textFill>
            <w14:solidFill>
              <w14:schemeClr w14:val="tx1"/>
            </w14:solidFill>
          </w14:textFill>
        </w:rPr>
        <w:t>3.3.禁止食用国家重点保护野生动物、“三有”陆生野生动物以及其他陆生野生动物。禁止生产、经营以及为食用非法购买上述野生动物及其制品制作的食品。</w:t>
      </w:r>
    </w:p>
    <w:p w14:paraId="379C1693">
      <w:pPr>
        <w:keepNext w:val="0"/>
        <w:keepLines w:val="0"/>
        <w:pageBreakBefore w:val="0"/>
        <w:widowControl w:val="0"/>
        <w:kinsoku/>
        <w:wordWrap w:val="0"/>
        <w:overflowPunct/>
        <w:topLinePunct w:val="0"/>
        <w:autoSpaceDE w:val="0"/>
        <w:autoSpaceDN w:val="0"/>
        <w:bidi w:val="0"/>
        <w:adjustRightInd w:val="0"/>
        <w:snapToGrid w:val="0"/>
        <w:spacing w:line="360" w:lineRule="auto"/>
        <w:ind w:firstLine="560" w:firstLineChars="200"/>
        <w:textAlignment w:val="baseline"/>
        <w:rPr>
          <w:rFonts w:hint="eastAsia" w:eastAsia="宋体"/>
          <w:color w:val="000000" w:themeColor="text1"/>
          <w:spacing w:val="0"/>
          <w:position w:val="0"/>
          <w:sz w:val="28"/>
          <w:szCs w:val="28"/>
          <w:lang w:val="en-US" w:eastAsia="zh-CN"/>
          <w14:textFill>
            <w14:solidFill>
              <w14:schemeClr w14:val="tx1"/>
            </w14:solidFill>
          </w14:textFill>
        </w:rPr>
      </w:pPr>
      <w:r>
        <w:rPr>
          <w:rFonts w:hint="eastAsia" w:eastAsia="宋体"/>
          <w:color w:val="000000" w:themeColor="text1"/>
          <w:spacing w:val="0"/>
          <w:position w:val="0"/>
          <w:sz w:val="28"/>
          <w:szCs w:val="28"/>
          <w:lang w:val="en-US" w:eastAsia="zh-CN"/>
          <w14:textFill>
            <w14:solidFill>
              <w14:schemeClr w14:val="tx1"/>
            </w14:solidFill>
          </w14:textFill>
        </w:rPr>
        <w:t>3.4.供应商应具有食品安全检测能力，配备专业的食品安全检测技术人员及检测设备，检测范围及检测精度必须符合招标文件中所列的（蔬菜、米、油、水产等）食品安全技术指标及国家相关产品执行标准要求。</w:t>
      </w:r>
    </w:p>
    <w:p w14:paraId="2F08F69C">
      <w:pPr>
        <w:keepNext w:val="0"/>
        <w:keepLines w:val="0"/>
        <w:pageBreakBefore w:val="0"/>
        <w:widowControl w:val="0"/>
        <w:kinsoku/>
        <w:wordWrap w:val="0"/>
        <w:overflowPunct/>
        <w:topLinePunct w:val="0"/>
        <w:autoSpaceDE w:val="0"/>
        <w:autoSpaceDN w:val="0"/>
        <w:bidi w:val="0"/>
        <w:adjustRightInd w:val="0"/>
        <w:snapToGrid w:val="0"/>
        <w:spacing w:line="360" w:lineRule="auto"/>
        <w:ind w:firstLine="560" w:firstLineChars="200"/>
        <w:textAlignment w:val="baseline"/>
        <w:rPr>
          <w:rFonts w:hint="eastAsia" w:eastAsia="宋体"/>
          <w:color w:val="000000" w:themeColor="text1"/>
          <w:spacing w:val="0"/>
          <w:position w:val="0"/>
          <w:sz w:val="28"/>
          <w:szCs w:val="28"/>
          <w:lang w:val="en-US" w:eastAsia="zh-CN"/>
          <w14:textFill>
            <w14:solidFill>
              <w14:schemeClr w14:val="tx1"/>
            </w14:solidFill>
          </w14:textFill>
        </w:rPr>
      </w:pPr>
      <w:r>
        <w:rPr>
          <w:rFonts w:hint="eastAsia" w:eastAsia="宋体"/>
          <w:color w:val="000000" w:themeColor="text1"/>
          <w:spacing w:val="0"/>
          <w:position w:val="0"/>
          <w:sz w:val="28"/>
          <w:szCs w:val="28"/>
          <w:lang w:val="en-US" w:eastAsia="zh-CN"/>
          <w14:textFill>
            <w14:solidFill>
              <w14:schemeClr w14:val="tx1"/>
            </w14:solidFill>
          </w14:textFill>
        </w:rPr>
        <w:t>3.5中标人应建立食材安全及质量保障制度，配备管理人员，落实来源管控、进货查验、产品溯源、卫生管理等措施，并对配送蔬菜进行农残快速检测，留存记录。检测不合格须立即更换，检测造假则采购人有权解除合同。</w:t>
      </w:r>
    </w:p>
    <w:p w14:paraId="08DCC28D">
      <w:pPr>
        <w:keepNext w:val="0"/>
        <w:keepLines w:val="0"/>
        <w:pageBreakBefore w:val="0"/>
        <w:widowControl w:val="0"/>
        <w:kinsoku/>
        <w:wordWrap w:val="0"/>
        <w:overflowPunct/>
        <w:topLinePunct w:val="0"/>
        <w:autoSpaceDE w:val="0"/>
        <w:autoSpaceDN w:val="0"/>
        <w:bidi w:val="0"/>
        <w:adjustRightInd w:val="0"/>
        <w:snapToGrid w:val="0"/>
        <w:spacing w:line="360" w:lineRule="auto"/>
        <w:ind w:firstLine="562" w:firstLineChars="200"/>
        <w:textAlignment w:val="baseline"/>
        <w:rPr>
          <w:rFonts w:hint="eastAsia" w:eastAsia="宋体"/>
          <w:color w:val="000000" w:themeColor="text1"/>
          <w:spacing w:val="0"/>
          <w:position w:val="0"/>
          <w:sz w:val="28"/>
          <w:szCs w:val="28"/>
          <w:lang w:val="en-US" w:eastAsia="zh-CN"/>
          <w14:textFill>
            <w14:solidFill>
              <w14:schemeClr w14:val="tx1"/>
            </w14:solidFill>
          </w14:textFill>
        </w:rPr>
      </w:pPr>
      <w:r>
        <w:rPr>
          <w:rFonts w:hint="eastAsia" w:eastAsia="宋体"/>
          <w:b/>
          <w:bCs/>
          <w:color w:val="000000" w:themeColor="text1"/>
          <w:spacing w:val="0"/>
          <w:position w:val="0"/>
          <w:sz w:val="28"/>
          <w:szCs w:val="28"/>
          <w:lang w:val="en-US" w:eastAsia="zh-CN"/>
          <w14:textFill>
            <w14:solidFill>
              <w14:schemeClr w14:val="tx1"/>
            </w14:solidFill>
          </w14:textFill>
        </w:rPr>
        <w:t>4.技术标准</w:t>
      </w:r>
    </w:p>
    <w:p w14:paraId="1C3C968A">
      <w:pPr>
        <w:keepNext w:val="0"/>
        <w:keepLines w:val="0"/>
        <w:pageBreakBefore w:val="0"/>
        <w:widowControl w:val="0"/>
        <w:kinsoku/>
        <w:wordWrap w:val="0"/>
        <w:overflowPunct/>
        <w:topLinePunct w:val="0"/>
        <w:autoSpaceDE w:val="0"/>
        <w:autoSpaceDN w:val="0"/>
        <w:bidi w:val="0"/>
        <w:adjustRightInd w:val="0"/>
        <w:snapToGrid w:val="0"/>
        <w:spacing w:line="360" w:lineRule="auto"/>
        <w:ind w:firstLine="560" w:firstLineChars="200"/>
        <w:textAlignment w:val="baseline"/>
        <w:rPr>
          <w:rFonts w:hint="eastAsia" w:eastAsia="宋体"/>
          <w:color w:val="000000" w:themeColor="text1"/>
          <w:spacing w:val="0"/>
          <w:position w:val="0"/>
          <w:sz w:val="28"/>
          <w:szCs w:val="28"/>
          <w:lang w:val="en-US" w:eastAsia="zh-CN"/>
          <w14:textFill>
            <w14:solidFill>
              <w14:schemeClr w14:val="tx1"/>
            </w14:solidFill>
          </w14:textFill>
        </w:rPr>
      </w:pPr>
      <w:r>
        <w:rPr>
          <w:rFonts w:hint="eastAsia" w:eastAsia="宋体"/>
          <w:color w:val="000000" w:themeColor="text1"/>
          <w:spacing w:val="0"/>
          <w:position w:val="0"/>
          <w:sz w:val="28"/>
          <w:szCs w:val="28"/>
          <w:lang w:val="en-US" w:eastAsia="zh-CN"/>
          <w14:textFill>
            <w14:solidFill>
              <w14:schemeClr w14:val="tx1"/>
            </w14:solidFill>
          </w14:textFill>
        </w:rPr>
        <w:t>4.1.所有食材质量要求符合《中华人民共和国食品安全法》及国家强制性标准、行业标准等相关法律、法规规定。</w:t>
      </w:r>
    </w:p>
    <w:p w14:paraId="3F67CF4E">
      <w:pPr>
        <w:keepNext w:val="0"/>
        <w:keepLines w:val="0"/>
        <w:pageBreakBefore w:val="0"/>
        <w:widowControl w:val="0"/>
        <w:kinsoku/>
        <w:wordWrap w:val="0"/>
        <w:overflowPunct/>
        <w:topLinePunct w:val="0"/>
        <w:autoSpaceDE w:val="0"/>
        <w:autoSpaceDN w:val="0"/>
        <w:bidi w:val="0"/>
        <w:adjustRightInd w:val="0"/>
        <w:snapToGrid w:val="0"/>
        <w:spacing w:line="360" w:lineRule="auto"/>
        <w:ind w:firstLine="560" w:firstLineChars="200"/>
        <w:textAlignment w:val="baseline"/>
        <w:rPr>
          <w:rFonts w:hint="eastAsia" w:eastAsia="宋体"/>
          <w:color w:val="000000" w:themeColor="text1"/>
          <w:spacing w:val="0"/>
          <w:position w:val="0"/>
          <w:sz w:val="28"/>
          <w:szCs w:val="28"/>
          <w:lang w:val="en-US" w:eastAsia="zh-CN"/>
          <w14:textFill>
            <w14:solidFill>
              <w14:schemeClr w14:val="tx1"/>
            </w14:solidFill>
          </w14:textFill>
        </w:rPr>
      </w:pPr>
      <w:r>
        <w:rPr>
          <w:rFonts w:hint="eastAsia" w:eastAsia="宋体"/>
          <w:color w:val="000000" w:themeColor="text1"/>
          <w:spacing w:val="0"/>
          <w:position w:val="0"/>
          <w:sz w:val="28"/>
          <w:szCs w:val="28"/>
          <w:lang w:val="en-US" w:eastAsia="zh-CN"/>
          <w14:textFill>
            <w14:solidFill>
              <w14:schemeClr w14:val="tx1"/>
            </w14:solidFill>
          </w14:textFill>
        </w:rPr>
        <w:t>4.2.食品溯源要求：供应的食品供应链必须明确，所有食品的来源必须清晰，来源应受到地方政府部门监管的流通市场或具有相关资质的厂家生产。</w:t>
      </w:r>
    </w:p>
    <w:p w14:paraId="2D2DA714">
      <w:pPr>
        <w:keepNext w:val="0"/>
        <w:keepLines w:val="0"/>
        <w:pageBreakBefore w:val="0"/>
        <w:widowControl w:val="0"/>
        <w:kinsoku/>
        <w:wordWrap w:val="0"/>
        <w:overflowPunct/>
        <w:topLinePunct w:val="0"/>
        <w:autoSpaceDE w:val="0"/>
        <w:autoSpaceDN w:val="0"/>
        <w:bidi w:val="0"/>
        <w:adjustRightInd w:val="0"/>
        <w:snapToGrid w:val="0"/>
        <w:spacing w:line="360" w:lineRule="auto"/>
        <w:ind w:firstLine="560" w:firstLineChars="200"/>
        <w:textAlignment w:val="baseline"/>
        <w:rPr>
          <w:rFonts w:hint="eastAsia" w:eastAsia="宋体"/>
          <w:color w:val="000000" w:themeColor="text1"/>
          <w:spacing w:val="0"/>
          <w:position w:val="0"/>
          <w:sz w:val="28"/>
          <w:szCs w:val="28"/>
          <w:lang w:val="en-US" w:eastAsia="zh-CN"/>
          <w14:textFill>
            <w14:solidFill>
              <w14:schemeClr w14:val="tx1"/>
            </w14:solidFill>
          </w14:textFill>
        </w:rPr>
      </w:pPr>
      <w:r>
        <w:rPr>
          <w:rFonts w:hint="eastAsia" w:eastAsia="宋体"/>
          <w:color w:val="000000" w:themeColor="text1"/>
          <w:spacing w:val="0"/>
          <w:position w:val="0"/>
          <w:sz w:val="28"/>
          <w:szCs w:val="28"/>
          <w:lang w:val="en-US" w:eastAsia="zh-CN"/>
          <w14:textFill>
            <w14:solidFill>
              <w14:schemeClr w14:val="tx1"/>
            </w14:solidFill>
          </w14:textFill>
        </w:rPr>
        <w:t>4.3.采购人提前向供应商预报下周所需食材的总量，最终供货的食材及数量以采购人提前一天通知确认的数量为准。采购人有权适当调整供货清单或数量，每个单品实际配送量可在当日确认量的10%范围内上下浮动。双方现场验货签字确认的数量、规格作为结算凭证。</w:t>
      </w:r>
    </w:p>
    <w:p w14:paraId="312C3915">
      <w:pPr>
        <w:keepNext w:val="0"/>
        <w:keepLines w:val="0"/>
        <w:pageBreakBefore w:val="0"/>
        <w:widowControl w:val="0"/>
        <w:kinsoku/>
        <w:wordWrap w:val="0"/>
        <w:overflowPunct/>
        <w:topLinePunct w:val="0"/>
        <w:autoSpaceDE w:val="0"/>
        <w:autoSpaceDN w:val="0"/>
        <w:bidi w:val="0"/>
        <w:adjustRightInd w:val="0"/>
        <w:snapToGrid w:val="0"/>
        <w:spacing w:line="360" w:lineRule="auto"/>
        <w:ind w:firstLine="560" w:firstLineChars="200"/>
        <w:textAlignment w:val="baseline"/>
        <w:rPr>
          <w:rFonts w:hint="eastAsia" w:eastAsia="宋体"/>
          <w:color w:val="000000" w:themeColor="text1"/>
          <w:spacing w:val="0"/>
          <w:position w:val="0"/>
          <w:sz w:val="28"/>
          <w:szCs w:val="28"/>
          <w:lang w:val="en-US" w:eastAsia="zh-CN"/>
          <w14:textFill>
            <w14:solidFill>
              <w14:schemeClr w14:val="tx1"/>
            </w14:solidFill>
          </w14:textFill>
        </w:rPr>
      </w:pPr>
      <w:r>
        <w:rPr>
          <w:rFonts w:hint="eastAsia" w:eastAsia="宋体"/>
          <w:color w:val="000000" w:themeColor="text1"/>
          <w:spacing w:val="0"/>
          <w:position w:val="0"/>
          <w:sz w:val="28"/>
          <w:szCs w:val="28"/>
          <w:lang w:val="en-US" w:eastAsia="zh-CN"/>
          <w14:textFill>
            <w14:solidFill>
              <w14:schemeClr w14:val="tx1"/>
            </w14:solidFill>
          </w14:textFill>
        </w:rPr>
        <w:t>4.4.所提供食品的技术指标不能低于招标文件所提出的要求。</w:t>
      </w:r>
    </w:p>
    <w:p w14:paraId="2633A3D6">
      <w:pPr>
        <w:keepNext w:val="0"/>
        <w:keepLines w:val="0"/>
        <w:pageBreakBefore w:val="0"/>
        <w:widowControl w:val="0"/>
        <w:kinsoku/>
        <w:wordWrap w:val="0"/>
        <w:overflowPunct/>
        <w:topLinePunct w:val="0"/>
        <w:autoSpaceDE w:val="0"/>
        <w:autoSpaceDN w:val="0"/>
        <w:bidi w:val="0"/>
        <w:adjustRightInd w:val="0"/>
        <w:snapToGrid w:val="0"/>
        <w:spacing w:line="360" w:lineRule="auto"/>
        <w:ind w:firstLine="560" w:firstLineChars="200"/>
        <w:textAlignment w:val="baseline"/>
        <w:rPr>
          <w:rFonts w:hint="eastAsia" w:eastAsia="宋体"/>
          <w:color w:val="000000" w:themeColor="text1"/>
          <w:spacing w:val="0"/>
          <w:position w:val="0"/>
          <w:sz w:val="28"/>
          <w:szCs w:val="28"/>
          <w:lang w:val="en-US" w:eastAsia="zh-CN"/>
          <w14:textFill>
            <w14:solidFill>
              <w14:schemeClr w14:val="tx1"/>
            </w14:solidFill>
          </w14:textFill>
        </w:rPr>
      </w:pPr>
      <w:r>
        <w:rPr>
          <w:rFonts w:hint="eastAsia" w:eastAsia="宋体"/>
          <w:color w:val="000000" w:themeColor="text1"/>
          <w:spacing w:val="0"/>
          <w:position w:val="0"/>
          <w:sz w:val="28"/>
          <w:szCs w:val="28"/>
          <w:lang w:val="en-US" w:eastAsia="zh-CN"/>
          <w14:textFill>
            <w14:solidFill>
              <w14:schemeClr w14:val="tx1"/>
            </w14:solidFill>
          </w14:textFill>
        </w:rPr>
        <w:t>4.5.中标人不得变更供货清单，应严格按采购要求(含商标、名称、产地、规格和重量等)供应，否则，采购人有权拒收。如因市场流通问题确实需要变更的， 应书面向采购人申请，并经采购单位同意后方可改变。</w:t>
      </w:r>
    </w:p>
    <w:p w14:paraId="46D6D5A3">
      <w:pPr>
        <w:keepNext w:val="0"/>
        <w:keepLines w:val="0"/>
        <w:pageBreakBefore w:val="0"/>
        <w:widowControl w:val="0"/>
        <w:kinsoku/>
        <w:wordWrap w:val="0"/>
        <w:overflowPunct/>
        <w:topLinePunct w:val="0"/>
        <w:autoSpaceDE w:val="0"/>
        <w:autoSpaceDN w:val="0"/>
        <w:bidi w:val="0"/>
        <w:adjustRightInd w:val="0"/>
        <w:snapToGrid w:val="0"/>
        <w:spacing w:line="360" w:lineRule="auto"/>
        <w:ind w:firstLine="560" w:firstLineChars="200"/>
        <w:textAlignment w:val="baseline"/>
        <w:rPr>
          <w:rFonts w:hint="eastAsia" w:eastAsia="宋体"/>
          <w:color w:val="000000" w:themeColor="text1"/>
          <w:spacing w:val="0"/>
          <w:position w:val="0"/>
          <w:sz w:val="28"/>
          <w:szCs w:val="28"/>
          <w:lang w:val="en-US" w:eastAsia="zh-CN"/>
          <w14:textFill>
            <w14:solidFill>
              <w14:schemeClr w14:val="tx1"/>
            </w14:solidFill>
          </w14:textFill>
        </w:rPr>
      </w:pPr>
      <w:r>
        <w:rPr>
          <w:rFonts w:hint="eastAsia" w:eastAsia="宋体"/>
          <w:color w:val="000000" w:themeColor="text1"/>
          <w:spacing w:val="0"/>
          <w:position w:val="0"/>
          <w:sz w:val="28"/>
          <w:szCs w:val="28"/>
          <w:lang w:val="en-US" w:eastAsia="zh-CN"/>
          <w14:textFill>
            <w14:solidFill>
              <w14:schemeClr w14:val="tx1"/>
            </w14:solidFill>
          </w14:textFill>
        </w:rPr>
        <w:t>4.6.包装与标志要求：</w:t>
      </w:r>
    </w:p>
    <w:p w14:paraId="44BDDF9B">
      <w:pPr>
        <w:keepNext w:val="0"/>
        <w:keepLines w:val="0"/>
        <w:pageBreakBefore w:val="0"/>
        <w:widowControl w:val="0"/>
        <w:kinsoku/>
        <w:wordWrap w:val="0"/>
        <w:overflowPunct/>
        <w:topLinePunct w:val="0"/>
        <w:autoSpaceDE w:val="0"/>
        <w:autoSpaceDN w:val="0"/>
        <w:bidi w:val="0"/>
        <w:adjustRightInd w:val="0"/>
        <w:snapToGrid w:val="0"/>
        <w:spacing w:line="360" w:lineRule="auto"/>
        <w:ind w:firstLine="560" w:firstLineChars="200"/>
        <w:textAlignment w:val="baseline"/>
        <w:rPr>
          <w:rFonts w:hint="eastAsia" w:eastAsia="宋体"/>
          <w:color w:val="000000" w:themeColor="text1"/>
          <w:spacing w:val="0"/>
          <w:position w:val="0"/>
          <w:sz w:val="28"/>
          <w:szCs w:val="28"/>
          <w:lang w:val="en-US" w:eastAsia="zh-CN"/>
          <w14:textFill>
            <w14:solidFill>
              <w14:schemeClr w14:val="tx1"/>
            </w14:solidFill>
          </w14:textFill>
        </w:rPr>
      </w:pPr>
      <w:r>
        <w:rPr>
          <w:rFonts w:hint="eastAsia" w:eastAsia="宋体"/>
          <w:color w:val="000000" w:themeColor="text1"/>
          <w:spacing w:val="0"/>
          <w:position w:val="0"/>
          <w:sz w:val="28"/>
          <w:szCs w:val="28"/>
          <w:lang w:val="en-US" w:eastAsia="zh-CN"/>
          <w14:textFill>
            <w14:solidFill>
              <w14:schemeClr w14:val="tx1"/>
            </w14:solidFill>
          </w14:textFill>
        </w:rPr>
        <w:t>(1)包装:容器 (框、箱、袋)要求清洁、干燥、牢固、透气， 无污染、无异味、无霉变现象；</w:t>
      </w:r>
    </w:p>
    <w:p w14:paraId="60F7F3EC">
      <w:pPr>
        <w:keepNext w:val="0"/>
        <w:keepLines w:val="0"/>
        <w:pageBreakBefore w:val="0"/>
        <w:widowControl w:val="0"/>
        <w:kinsoku/>
        <w:wordWrap w:val="0"/>
        <w:overflowPunct/>
        <w:topLinePunct w:val="0"/>
        <w:autoSpaceDE w:val="0"/>
        <w:autoSpaceDN w:val="0"/>
        <w:bidi w:val="0"/>
        <w:adjustRightInd w:val="0"/>
        <w:snapToGrid w:val="0"/>
        <w:spacing w:line="360" w:lineRule="auto"/>
        <w:ind w:firstLine="560" w:firstLineChars="200"/>
        <w:textAlignment w:val="baseline"/>
        <w:rPr>
          <w:rFonts w:hint="eastAsia" w:eastAsia="宋体"/>
          <w:color w:val="000000" w:themeColor="text1"/>
          <w:spacing w:val="0"/>
          <w:position w:val="0"/>
          <w:sz w:val="28"/>
          <w:szCs w:val="28"/>
          <w:lang w:val="en-US" w:eastAsia="zh-CN"/>
          <w14:textFill>
            <w14:solidFill>
              <w14:schemeClr w14:val="tx1"/>
            </w14:solidFill>
          </w14:textFill>
        </w:rPr>
      </w:pPr>
      <w:r>
        <w:rPr>
          <w:rFonts w:hint="eastAsia" w:eastAsia="宋体"/>
          <w:color w:val="000000" w:themeColor="text1"/>
          <w:spacing w:val="0"/>
          <w:position w:val="0"/>
          <w:sz w:val="28"/>
          <w:szCs w:val="28"/>
          <w:lang w:val="en-US" w:eastAsia="zh-CN"/>
          <w14:textFill>
            <w14:solidFill>
              <w14:schemeClr w14:val="tx1"/>
            </w14:solidFill>
          </w14:textFill>
        </w:rPr>
        <w:t>(2)标志：每件包装需按《农产品包装和标识管理办法》贴标签，并标明产地、品种、净含量、生产单位及地址和采收日期。</w:t>
      </w:r>
    </w:p>
    <w:p w14:paraId="3D803E48">
      <w:pPr>
        <w:keepNext w:val="0"/>
        <w:keepLines w:val="0"/>
        <w:pageBreakBefore w:val="0"/>
        <w:widowControl w:val="0"/>
        <w:kinsoku/>
        <w:wordWrap w:val="0"/>
        <w:overflowPunct/>
        <w:topLinePunct w:val="0"/>
        <w:autoSpaceDE w:val="0"/>
        <w:autoSpaceDN w:val="0"/>
        <w:bidi w:val="0"/>
        <w:adjustRightInd w:val="0"/>
        <w:snapToGrid w:val="0"/>
        <w:spacing w:line="360" w:lineRule="auto"/>
        <w:ind w:firstLine="560" w:firstLineChars="200"/>
        <w:textAlignment w:val="baseline"/>
        <w:rPr>
          <w:rFonts w:hint="eastAsia" w:eastAsia="宋体"/>
          <w:color w:val="000000" w:themeColor="text1"/>
          <w:spacing w:val="0"/>
          <w:position w:val="0"/>
          <w:sz w:val="28"/>
          <w:szCs w:val="28"/>
          <w:lang w:val="en-US" w:eastAsia="zh-CN"/>
          <w14:textFill>
            <w14:solidFill>
              <w14:schemeClr w14:val="tx1"/>
            </w14:solidFill>
          </w14:textFill>
        </w:rPr>
      </w:pPr>
      <w:r>
        <w:rPr>
          <w:rFonts w:hint="eastAsia" w:eastAsia="宋体"/>
          <w:color w:val="000000" w:themeColor="text1"/>
          <w:spacing w:val="0"/>
          <w:position w:val="0"/>
          <w:sz w:val="28"/>
          <w:szCs w:val="28"/>
          <w:lang w:val="en-US" w:eastAsia="zh-CN"/>
          <w14:textFill>
            <w14:solidFill>
              <w14:schemeClr w14:val="tx1"/>
            </w14:solidFill>
          </w14:textFill>
        </w:rPr>
        <w:t>4.7.中标人在合同履行期间，须保证货品供应，若中标后不能履行合同的，采购人有权单方终止合同，由此产生的一切经济损失由中标人自行承担。</w:t>
      </w:r>
    </w:p>
    <w:p w14:paraId="54885BBE">
      <w:pPr>
        <w:keepNext w:val="0"/>
        <w:keepLines w:val="0"/>
        <w:pageBreakBefore w:val="0"/>
        <w:widowControl w:val="0"/>
        <w:kinsoku/>
        <w:wordWrap w:val="0"/>
        <w:overflowPunct/>
        <w:topLinePunct w:val="0"/>
        <w:autoSpaceDE w:val="0"/>
        <w:autoSpaceDN w:val="0"/>
        <w:bidi w:val="0"/>
        <w:adjustRightInd w:val="0"/>
        <w:snapToGrid w:val="0"/>
        <w:spacing w:line="360" w:lineRule="auto"/>
        <w:ind w:firstLine="560" w:firstLineChars="200"/>
        <w:textAlignment w:val="baseline"/>
        <w:rPr>
          <w:rFonts w:hint="default" w:eastAsia="宋体"/>
          <w:color w:val="000000" w:themeColor="text1"/>
          <w:spacing w:val="0"/>
          <w:position w:val="0"/>
          <w:sz w:val="28"/>
          <w:szCs w:val="28"/>
          <w:lang w:val="en-US" w:eastAsia="zh-CN"/>
          <w14:textFill>
            <w14:solidFill>
              <w14:schemeClr w14:val="tx1"/>
            </w14:solidFill>
          </w14:textFill>
        </w:rPr>
      </w:pPr>
      <w:r>
        <w:rPr>
          <w:rFonts w:hint="eastAsia" w:eastAsia="宋体"/>
          <w:color w:val="000000" w:themeColor="text1"/>
          <w:spacing w:val="0"/>
          <w:position w:val="0"/>
          <w:sz w:val="28"/>
          <w:szCs w:val="28"/>
          <w:lang w:val="en-US" w:eastAsia="zh-CN"/>
          <w14:textFill>
            <w14:solidFill>
              <w14:schemeClr w14:val="tx1"/>
            </w14:solidFill>
          </w14:textFill>
        </w:rPr>
        <w:t>4.8.中标人拒不配合或者不积极协调沟通(指无正当理由拒不接听电话或不回信息等情况)超过 2 次的，采购人有权单方函告取消中标人的供货资格。</w:t>
      </w:r>
    </w:p>
    <w:p w14:paraId="2F1BE50C">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eastAsia="宋体"/>
          <w:b/>
          <w:bCs/>
          <w:color w:val="000000" w:themeColor="text1"/>
          <w:spacing w:val="0"/>
          <w:position w:val="0"/>
          <w:sz w:val="28"/>
          <w:lang w:val="en-US" w:eastAsia="zh-CN"/>
          <w14:textFill>
            <w14:solidFill>
              <w14:schemeClr w14:val="tx1"/>
            </w14:solidFill>
          </w14:textFill>
        </w:rPr>
      </w:pPr>
      <w:r>
        <w:rPr>
          <w:rFonts w:hint="eastAsia" w:eastAsia="宋体"/>
          <w:b/>
          <w:bCs/>
          <w:color w:val="000000" w:themeColor="text1"/>
          <w:spacing w:val="0"/>
          <w:position w:val="0"/>
          <w:sz w:val="28"/>
          <w:lang w:val="en-US" w:eastAsia="zh-CN"/>
          <w14:textFill>
            <w14:solidFill>
              <w14:schemeClr w14:val="tx1"/>
            </w14:solidFill>
          </w14:textFill>
        </w:rPr>
        <w:t>三、各类食材质量要求</w:t>
      </w:r>
    </w:p>
    <w:p w14:paraId="2C001CAE">
      <w:pPr>
        <w:keepNext w:val="0"/>
        <w:keepLines w:val="0"/>
        <w:pageBreakBefore w:val="0"/>
        <w:widowControl w:val="0"/>
        <w:kinsoku/>
        <w:wordWrap w:val="0"/>
        <w:overflowPunct/>
        <w:topLinePunct w:val="0"/>
        <w:autoSpaceDE w:val="0"/>
        <w:autoSpaceDN w:val="0"/>
        <w:bidi w:val="0"/>
        <w:adjustRightInd w:val="0"/>
        <w:snapToGrid w:val="0"/>
        <w:spacing w:line="360" w:lineRule="auto"/>
        <w:ind w:firstLine="562" w:firstLineChars="200"/>
        <w:textAlignment w:val="baseline"/>
        <w:rPr>
          <w:rFonts w:hint="eastAsia" w:eastAsia="宋体"/>
          <w:b/>
          <w:bCs/>
          <w:color w:val="000000" w:themeColor="text1"/>
          <w:spacing w:val="0"/>
          <w:position w:val="0"/>
          <w:sz w:val="28"/>
          <w:szCs w:val="28"/>
          <w:lang w:val="en-US" w:eastAsia="zh-CN"/>
          <w14:textFill>
            <w14:solidFill>
              <w14:schemeClr w14:val="tx1"/>
            </w14:solidFill>
          </w14:textFill>
        </w:rPr>
      </w:pPr>
      <w:r>
        <w:rPr>
          <w:rFonts w:hint="eastAsia" w:eastAsia="宋体"/>
          <w:b/>
          <w:bCs/>
          <w:color w:val="000000" w:themeColor="text1"/>
          <w:spacing w:val="0"/>
          <w:position w:val="0"/>
          <w:sz w:val="28"/>
          <w:szCs w:val="28"/>
          <w:lang w:val="en-US" w:eastAsia="zh-CN"/>
          <w14:textFill>
            <w14:solidFill>
              <w14:schemeClr w14:val="tx1"/>
            </w14:solidFill>
          </w14:textFill>
        </w:rPr>
        <w:t>1.肉类</w:t>
      </w: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94"/>
        <w:gridCol w:w="1150"/>
        <w:gridCol w:w="6606"/>
      </w:tblGrid>
      <w:tr w14:paraId="54CC29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4" w:type="dxa"/>
            <w:vAlign w:val="center"/>
          </w:tcPr>
          <w:p w14:paraId="7AA9838E">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序号</w:t>
            </w:r>
          </w:p>
        </w:tc>
        <w:tc>
          <w:tcPr>
            <w:tcW w:w="1150" w:type="dxa"/>
            <w:vAlign w:val="center"/>
          </w:tcPr>
          <w:p w14:paraId="78FD2E35">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品名</w:t>
            </w:r>
          </w:p>
        </w:tc>
        <w:tc>
          <w:tcPr>
            <w:tcW w:w="6606" w:type="dxa"/>
            <w:vAlign w:val="center"/>
          </w:tcPr>
          <w:p w14:paraId="136CE780">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要求</w:t>
            </w:r>
          </w:p>
        </w:tc>
      </w:tr>
      <w:tr w14:paraId="464C0D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4" w:type="dxa"/>
            <w:vAlign w:val="center"/>
          </w:tcPr>
          <w:p w14:paraId="51A3B097">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1</w:t>
            </w:r>
          </w:p>
        </w:tc>
        <w:tc>
          <w:tcPr>
            <w:tcW w:w="1150" w:type="dxa"/>
            <w:vAlign w:val="center"/>
          </w:tcPr>
          <w:p w14:paraId="7FF1A00C">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eastAsia="宋体"/>
                <w:b w:val="0"/>
                <w:bCs/>
                <w:color w:val="000000" w:themeColor="text1"/>
                <w:spacing w:val="0"/>
                <w:sz w:val="24"/>
                <w14:textFill>
                  <w14:solidFill>
                    <w14:schemeClr w14:val="tx1"/>
                  </w14:solidFill>
                </w14:textFill>
              </w:rPr>
              <w:t>鲜牛、羊肉</w:t>
            </w:r>
          </w:p>
        </w:tc>
        <w:tc>
          <w:tcPr>
            <w:tcW w:w="6606" w:type="dxa"/>
            <w:vAlign w:val="center"/>
          </w:tcPr>
          <w:p w14:paraId="722A4930">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1.色泽：肌肉有光泽，色鲜红或深红；脂肪呈乳白色或黄色；</w:t>
            </w:r>
          </w:p>
          <w:p w14:paraId="68D7EF32">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2.粘度：外表微干有风干膜，不沾手；</w:t>
            </w:r>
          </w:p>
          <w:p w14:paraId="12C93E6F">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3.弹性：指压后的凹陷立即恢复；</w:t>
            </w:r>
          </w:p>
          <w:p w14:paraId="65A49513">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4.气味：具有鲜牛、羊肉正常气味；</w:t>
            </w:r>
          </w:p>
          <w:p w14:paraId="2E77E329">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5.牛肉、羊肉含水量检测值分别低于 77%、78%为合格产品；</w:t>
            </w:r>
          </w:p>
          <w:p w14:paraId="52AF760B">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6.配送的牛肉、羊肉渠道来源正规可溯,以大型养殖场品牌产品为佳，肉类来源于项目所在地正规肉联厂；</w:t>
            </w:r>
          </w:p>
          <w:p w14:paraId="250F8B3A">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7.</w:t>
            </w:r>
            <w:r>
              <w:rPr>
                <w:rFonts w:hint="default" w:eastAsia="宋体"/>
                <w:b w:val="0"/>
                <w:color w:val="000000" w:themeColor="text1"/>
                <w:spacing w:val="0"/>
                <w:position w:val="0"/>
                <w:sz w:val="24"/>
                <w:vertAlign w:val="baseline"/>
                <w:lang w:val="en-US" w:eastAsia="zh-CN"/>
                <w14:textFill>
                  <w14:solidFill>
                    <w14:schemeClr w14:val="tx1"/>
                  </w14:solidFill>
                </w14:textFill>
              </w:rPr>
              <w:t>运输要求：</w:t>
            </w:r>
            <w:r>
              <w:rPr>
                <w:rFonts w:hint="eastAsia" w:eastAsia="宋体"/>
                <w:b w:val="0"/>
                <w:color w:val="000000" w:themeColor="text1"/>
                <w:spacing w:val="0"/>
                <w:position w:val="0"/>
                <w:sz w:val="24"/>
                <w:vertAlign w:val="baseline"/>
                <w:lang w:val="en-US" w:eastAsia="zh-CN"/>
                <w14:textFill>
                  <w14:solidFill>
                    <w14:schemeClr w14:val="tx1"/>
                  </w14:solidFill>
                </w14:textFill>
              </w:rPr>
              <w:t>应使用符合卫生要求的冷藏车或保温车。</w:t>
            </w:r>
          </w:p>
          <w:p w14:paraId="70645EF8">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8.</w:t>
            </w:r>
            <w:r>
              <w:rPr>
                <w:rFonts w:hint="default" w:eastAsia="宋体"/>
                <w:b w:val="0"/>
                <w:color w:val="000000" w:themeColor="text1"/>
                <w:spacing w:val="0"/>
                <w:position w:val="0"/>
                <w:sz w:val="24"/>
                <w:vertAlign w:val="baseline"/>
                <w:lang w:val="en-US" w:eastAsia="zh-CN"/>
                <w14:textFill>
                  <w14:solidFill>
                    <w14:schemeClr w14:val="tx1"/>
                  </w14:solidFill>
                </w14:textFill>
              </w:rPr>
              <w:t>食品溯源要求：投标人食品供应链必须明确，所有食品的来源必须清晰，来源应当是受到地方政府部门监管的流通市场或具有相关资质的厂家生产，食品生产企业必须获得产品生产许可证，生产食品的源头与投标人要有固定的合法的供应关系。投标人应保存以下资料：①供应商与生产企业的销售合同；②生产企业或供应商的送货单和销售发票；③供应商与采购人的采购合同及送货单据、销售发票。</w:t>
            </w:r>
          </w:p>
        </w:tc>
      </w:tr>
      <w:tr w14:paraId="2CBF09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4" w:type="dxa"/>
            <w:vAlign w:val="center"/>
          </w:tcPr>
          <w:p w14:paraId="2CC67E87">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2</w:t>
            </w:r>
          </w:p>
        </w:tc>
        <w:tc>
          <w:tcPr>
            <w:tcW w:w="1150" w:type="dxa"/>
            <w:vAlign w:val="center"/>
          </w:tcPr>
          <w:p w14:paraId="4197C7D0">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eastAsia="宋体"/>
                <w:b w:val="0"/>
                <w:bCs/>
                <w:color w:val="000000" w:themeColor="text1"/>
                <w:spacing w:val="0"/>
                <w:sz w:val="24"/>
                <w14:textFill>
                  <w14:solidFill>
                    <w14:schemeClr w14:val="tx1"/>
                  </w14:solidFill>
                </w14:textFill>
              </w:rPr>
              <w:t>猪肉类</w:t>
            </w:r>
          </w:p>
        </w:tc>
        <w:tc>
          <w:tcPr>
            <w:tcW w:w="6606" w:type="dxa"/>
            <w:vAlign w:val="center"/>
          </w:tcPr>
          <w:p w14:paraId="0085BAB6">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1.色泽鲜艳，表面有一层微干的薄膜，瘦肉新切面稍湿润，呈淡玫瑰色或淡红色；</w:t>
            </w:r>
          </w:p>
          <w:p w14:paraId="0276AB6F">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2.触摸有弹性，不沾手，指压不留陷窝；</w:t>
            </w:r>
          </w:p>
          <w:p w14:paraId="245759B9">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3.外表干净，无异味；</w:t>
            </w:r>
          </w:p>
          <w:p w14:paraId="6970FFBA">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4.含水量检测值低于 77%为合格产品；</w:t>
            </w:r>
          </w:p>
          <w:p w14:paraId="2768DA74">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5.配送的猪肉渠道来源正规可溯，以大型养殖场品牌产品为佳，肉类来源于项目所在地正规肉联厂，供货时须提交肉联厂的验收单及当批次有效的动物检疫合格证复印件 (原件备查);</w:t>
            </w:r>
          </w:p>
          <w:p w14:paraId="2EAD9DC1">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6.原料来源要求：生猪应健康良好，并附有产地动物卫生监督机构出具的《动物检疫合格证明》;非公猪、种母猪、晚阉猪、病死猪加工的鲜猪肉。不得提供散碎猪肉，否则终止合同并追究其法律责任。供货时须提供盖章的复印件给予采购人存档。</w:t>
            </w:r>
          </w:p>
          <w:p w14:paraId="1B4E305F">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7.运输要求：应使用符合卫生要求的冷藏车或保温车。</w:t>
            </w:r>
          </w:p>
          <w:p w14:paraId="3D255813">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8.食品溯源要求：投标人食品供应链必须明确，所有食品的来源必须清晰，来源应当是受到地方政府部门监管的流通市场或具有相关资质的厂家生产，食品生产企业必须获得产品生产许可证，生产食品的源头与投标人要有固定的合法的供应关系。投标人应保存以下资料：①供应商与生产企业的销售合同；②生产企业或供应商的送货单和销售发票；③供应商与采购人的采购合同及送货单据、销售发票。</w:t>
            </w:r>
          </w:p>
        </w:tc>
      </w:tr>
      <w:tr w14:paraId="444EB1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4" w:type="dxa"/>
            <w:vAlign w:val="center"/>
          </w:tcPr>
          <w:p w14:paraId="4ECCE870">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3</w:t>
            </w:r>
          </w:p>
        </w:tc>
        <w:tc>
          <w:tcPr>
            <w:tcW w:w="1150" w:type="dxa"/>
            <w:vAlign w:val="center"/>
          </w:tcPr>
          <w:p w14:paraId="7EB0D73B">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禽肉类(新鲜鸡肉、鸭肉、鹅肉等)</w:t>
            </w:r>
          </w:p>
        </w:tc>
        <w:tc>
          <w:tcPr>
            <w:tcW w:w="6606" w:type="dxa"/>
            <w:vAlign w:val="center"/>
          </w:tcPr>
          <w:p w14:paraId="0EC50991">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1.杜绝注水禽类；</w:t>
            </w:r>
          </w:p>
          <w:p w14:paraId="54DD60FE">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2.体表面色泽洁白，肉质紧密，角膜有弹性，不沾手，指压不留陷窝；</w:t>
            </w:r>
          </w:p>
          <w:p w14:paraId="2A85CB21">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3.无异味，只有该禽类所固有的气味；</w:t>
            </w:r>
          </w:p>
          <w:p w14:paraId="5802D78C">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4.腔内无杂物；</w:t>
            </w:r>
          </w:p>
          <w:p w14:paraId="4B1070C3">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5.供货时须提供出场检验合格证明；</w:t>
            </w:r>
          </w:p>
          <w:p w14:paraId="5FCEC5EA">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6.符合《中华人民共和国食品安全法》相关规定。</w:t>
            </w:r>
          </w:p>
          <w:p w14:paraId="70C0B580">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7.</w:t>
            </w:r>
            <w:r>
              <w:rPr>
                <w:rFonts w:hint="default" w:eastAsia="宋体"/>
                <w:b w:val="0"/>
                <w:color w:val="000000" w:themeColor="text1"/>
                <w:spacing w:val="0"/>
                <w:position w:val="0"/>
                <w:sz w:val="24"/>
                <w:vertAlign w:val="baseline"/>
                <w:lang w:val="en-US" w:eastAsia="zh-CN"/>
                <w14:textFill>
                  <w14:solidFill>
                    <w14:schemeClr w14:val="tx1"/>
                  </w14:solidFill>
                </w14:textFill>
              </w:rPr>
              <w:t>运输要求：应使用符合卫生要求的冷藏车或保温车。</w:t>
            </w:r>
          </w:p>
        </w:tc>
      </w:tr>
    </w:tbl>
    <w:p w14:paraId="1CCE09E7">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注：</w:t>
      </w:r>
      <w:r>
        <w:rPr>
          <w:rFonts w:hint="default" w:eastAsia="宋体"/>
          <w:b w:val="0"/>
          <w:color w:val="000000" w:themeColor="text1"/>
          <w:spacing w:val="0"/>
          <w:position w:val="0"/>
          <w:sz w:val="24"/>
          <w:vertAlign w:val="baseline"/>
          <w:lang w:val="en-US" w:eastAsia="zh-CN"/>
          <w14:textFill>
            <w14:solidFill>
              <w14:schemeClr w14:val="tx1"/>
            </w14:solidFill>
          </w14:textFill>
        </w:rPr>
        <w:t>上述所有肉类的食品来源必须清晰可溯，供应商应保存生产企业的资质证明文件（营业执照、食品生产许可证等）、采购记录、进货查验记录及销售票据等资料，确保全链条可追溯。采购人有权随时核查相关记录。</w:t>
      </w:r>
    </w:p>
    <w:p w14:paraId="3BBE5A19">
      <w:pPr>
        <w:keepNext w:val="0"/>
        <w:keepLines w:val="0"/>
        <w:pageBreakBefore w:val="0"/>
        <w:widowControl w:val="0"/>
        <w:kinsoku/>
        <w:wordWrap w:val="0"/>
        <w:overflowPunct/>
        <w:topLinePunct w:val="0"/>
        <w:autoSpaceDE w:val="0"/>
        <w:autoSpaceDN w:val="0"/>
        <w:bidi w:val="0"/>
        <w:adjustRightInd w:val="0"/>
        <w:snapToGrid w:val="0"/>
        <w:spacing w:line="360" w:lineRule="auto"/>
        <w:ind w:firstLine="562" w:firstLineChars="200"/>
        <w:textAlignment w:val="baseline"/>
        <w:rPr>
          <w:rFonts w:hint="default" w:eastAsia="宋体"/>
          <w:b/>
          <w:bCs/>
          <w:color w:val="000000" w:themeColor="text1"/>
          <w:spacing w:val="0"/>
          <w:position w:val="0"/>
          <w:sz w:val="28"/>
          <w:szCs w:val="28"/>
          <w:lang w:val="en-US" w:eastAsia="zh-CN"/>
          <w14:textFill>
            <w14:solidFill>
              <w14:schemeClr w14:val="tx1"/>
            </w14:solidFill>
          </w14:textFill>
        </w:rPr>
      </w:pPr>
      <w:r>
        <w:rPr>
          <w:rFonts w:hint="eastAsia" w:eastAsia="宋体"/>
          <w:b/>
          <w:bCs/>
          <w:color w:val="000000" w:themeColor="text1"/>
          <w:spacing w:val="0"/>
          <w:position w:val="0"/>
          <w:sz w:val="28"/>
          <w:szCs w:val="28"/>
          <w:lang w:val="en-US" w:eastAsia="zh-CN"/>
          <w14:textFill>
            <w14:solidFill>
              <w14:schemeClr w14:val="tx1"/>
            </w14:solidFill>
          </w14:textFill>
        </w:rPr>
        <w:t xml:space="preserve">2.蔬菜类 </w:t>
      </w: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97"/>
        <w:gridCol w:w="578"/>
        <w:gridCol w:w="7575"/>
      </w:tblGrid>
      <w:tr w14:paraId="7848C8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7" w:type="dxa"/>
            <w:vAlign w:val="center"/>
          </w:tcPr>
          <w:p w14:paraId="2B302C6E">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序号</w:t>
            </w:r>
          </w:p>
        </w:tc>
        <w:tc>
          <w:tcPr>
            <w:tcW w:w="578" w:type="dxa"/>
            <w:vAlign w:val="center"/>
          </w:tcPr>
          <w:p w14:paraId="5811470C">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品名</w:t>
            </w:r>
          </w:p>
        </w:tc>
        <w:tc>
          <w:tcPr>
            <w:tcW w:w="7575" w:type="dxa"/>
            <w:vAlign w:val="center"/>
          </w:tcPr>
          <w:p w14:paraId="74731B7F">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要求</w:t>
            </w:r>
          </w:p>
        </w:tc>
      </w:tr>
      <w:tr w14:paraId="277C87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7" w:type="dxa"/>
            <w:vAlign w:val="center"/>
          </w:tcPr>
          <w:p w14:paraId="139A8C3E">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1</w:t>
            </w:r>
          </w:p>
        </w:tc>
        <w:tc>
          <w:tcPr>
            <w:tcW w:w="578" w:type="dxa"/>
            <w:vAlign w:val="center"/>
          </w:tcPr>
          <w:p w14:paraId="3D5B1A87">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叶菜、根茎、瓜果、豆类</w:t>
            </w:r>
          </w:p>
        </w:tc>
        <w:tc>
          <w:tcPr>
            <w:tcW w:w="7575" w:type="dxa"/>
            <w:vAlign w:val="center"/>
          </w:tcPr>
          <w:p w14:paraId="23DB9F92">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1、具体感观要求：</w:t>
            </w:r>
          </w:p>
          <w:p w14:paraId="0389985A">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1.1 从蔬菜色泽看，各种蔬菜都应具有本品种固有的颜色，大多数有发亮的光泽，以此显示蔬菜的成熟度及鲜嫩程度；从蔬菜气味看，多数蔬菜具有清馨、甘辛香、甜酸香等气味，可凭嗅觉识别不同品种的质量，不允许有腐烂变质的亚硝酸盐味和其他异常气味；</w:t>
            </w:r>
          </w:p>
          <w:p w14:paraId="48DAD629">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1.2 从蔬菜滋味看，因品种不同而各异，多数蔬菜滋味甘淡、甜酸、清爽鲜美，少数具有辛酸、苦涩等特殊风味以刺激食欲，如失去本品种原有的滋味即为异常；</w:t>
            </w:r>
          </w:p>
          <w:p w14:paraId="7AB0405A">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1.3 从蔬菜形态看，应尽量避免由于客观因素而造成的各种非正常、不新鲜的蔬菜，例如萎蔫、枯塌、损伤、病变、虫害侵蚀等引起的形态异常等。</w:t>
            </w:r>
          </w:p>
          <w:p w14:paraId="70B5A3AF">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1.4 叶菜类：大白菜、小白菜、菠菜、甘蓝、荠菜、空心菜、茼蒿、苋菜、芹菜等绿叶菜类。属同一品种规格，品质鲜嫩形态好，色泽正常，茎基部削平，无枯黄叶、病叶、泥土、明显机械伤和病虫害伤，无烧心焦边、腐烂等现象，无抽苔 (菜心除外),无畸形、异味，结球类叶菜要结球适度，花椰菜应新鲜洁白，不带叶麸，无畸形花。</w:t>
            </w:r>
          </w:p>
          <w:p w14:paraId="54539459">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1.5 茄果类：番茄、茄子、甜椒、辣椒等。</w:t>
            </w:r>
          </w:p>
          <w:p w14:paraId="71F35F3E">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属同一品种规格，果实整洁，成熟度适中，番茄花蒂不明显，无裂果及空洞现象，茄果不能有裂蒂及果皮变硬现象，无腐烂、畸形、异味，无明显机械伤。</w:t>
            </w:r>
          </w:p>
          <w:p w14:paraId="07995E9C">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1.6 瓜果类：黄瓜、冬瓜、丝瓜、苦瓜、南瓜、毛节瓜等。</w:t>
            </w:r>
          </w:p>
          <w:p w14:paraId="5D10FB2D">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属同一品种规格，形状、色泽一致，瓜条均匀，无疤点，无断裂，无腐烂、畸形、异味、明显机械伤，不带泥土。</w:t>
            </w:r>
          </w:p>
          <w:p w14:paraId="3AB397A3">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1.7 根菜类：白萝卜、胡萝卜等。</w:t>
            </w:r>
          </w:p>
          <w:p w14:paraId="2B384157">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属同一品种规格，皮细光滑，大小均匀，口感脆嫩致密新鲜，无腐烂、畸形、裂痕、糠心、异味，不带泥沙，不带茎叶和须根。</w:t>
            </w:r>
          </w:p>
          <w:p w14:paraId="47D779AB">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1.8 薯芋类：马铃薯、芋、姜等。</w:t>
            </w:r>
          </w:p>
          <w:p w14:paraId="6A5F5EB3">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属同一品种规格，色泽一致，不带泥沙，不带须根、茎叶，不干瘪，无腐烂、畸形、异味、明显机械伤、病虫害斑，马铃薯无发芽，皮不变绿。</w:t>
            </w:r>
          </w:p>
          <w:p w14:paraId="3AAD3180">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1.9 葱蒜类：葱、蒜、韭菜、洋葱等。</w:t>
            </w:r>
          </w:p>
          <w:p w14:paraId="2D8EF5CF">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属同一品种规格，葱、蒜类保留干净须根， 葱、蒜、韭菜不带老叶，蒜头、洋葱去根去枯叶，可食部分新鲜幼嫩，无腐烂、畸形、异味。</w:t>
            </w:r>
          </w:p>
          <w:p w14:paraId="48583610">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1.10 豆类：扁豆、豌豆、毛豆等。</w:t>
            </w:r>
          </w:p>
          <w:p w14:paraId="3CFB320B">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属同一品种规格，形态完整，成熟度适中，无腐烂、畸形、异味，豆荚类新鲜、幼嫩、均匀，豆仁类籽粒饱满，较均匀，无发芽，不带泥土杂质。</w:t>
            </w:r>
          </w:p>
          <w:p w14:paraId="48D2B674">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1.11 水生菜类：藕、慈菇、茭白、马蹄、菱等。</w:t>
            </w:r>
          </w:p>
          <w:p w14:paraId="207BCBF8">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属同一品种规格，口感鲜嫩，成熟度适中，无腐烂、畸形、异味，无明显机械伤，不带泥土和杂质，不干瘪，茭白不黑心。</w:t>
            </w:r>
          </w:p>
          <w:p w14:paraId="7E6C9720">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1.12 食用菌类：蘑菇、草菇、香菇、木耳等。</w:t>
            </w:r>
          </w:p>
          <w:p w14:paraId="498EAF41">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属同一品种规格，蘑菇、草菇菌盖圆整略展开，柄粗壮，菌膜紧，菇柄切削平整，不浸泡水(蘑菇允许浸盐水保鲜),新鲜，无杂质，无畸形菇，无腐烂、异味。</w:t>
            </w:r>
          </w:p>
          <w:p w14:paraId="55F4BA4E">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1.13 芽苗类：绿豆芽、黄豆芽、香椿苗等。</w:t>
            </w:r>
          </w:p>
          <w:p w14:paraId="67CE62F4">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豆芽类禁止使用添加剂催芽、浸泡，芽苗幼嫩，不带豆壳杂质，新鲜，不浸水，无腐烂、异味。</w:t>
            </w:r>
          </w:p>
          <w:p w14:paraId="158D24FA">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2、质量要求：蔬菜需是优质货品，不得含有残留农药或污染物</w:t>
            </w:r>
            <w:r>
              <w:rPr>
                <w:rFonts w:hint="eastAsia" w:eastAsia="宋体"/>
                <w:b w:val="0"/>
                <w:color w:val="000000" w:themeColor="text1"/>
                <w:spacing w:val="0"/>
                <w:position w:val="0"/>
                <w:sz w:val="24"/>
                <w:vertAlign w:val="baseline"/>
                <w:lang w:val="en-US" w:eastAsia="zh-CN"/>
                <w14:textFill>
                  <w14:solidFill>
                    <w14:schemeClr w14:val="tx1"/>
                  </w14:solidFill>
                </w14:textFill>
              </w:rPr>
              <w:t>，</w:t>
            </w:r>
            <w:r>
              <w:rPr>
                <w:rFonts w:hint="default" w:eastAsia="宋体"/>
                <w:b w:val="0"/>
                <w:color w:val="000000" w:themeColor="text1"/>
                <w:spacing w:val="0"/>
                <w:position w:val="0"/>
                <w:sz w:val="24"/>
                <w:vertAlign w:val="baseline"/>
                <w:lang w:val="en-US" w:eastAsia="zh-CN"/>
                <w14:textFill>
                  <w14:solidFill>
                    <w14:schemeClr w14:val="tx1"/>
                  </w14:solidFill>
                </w14:textFill>
              </w:rPr>
              <w:t>需保证所供应的蔬菜符合卫生质量标准，同时承担因所供蔬菜问题引起的一切事故后果。卫生质量指标应符合我国无公害农产品的卫生指标规定。如下表所示：</w:t>
            </w:r>
          </w:p>
          <w:tbl>
            <w:tblPr>
              <w:tblStyle w:val="23"/>
              <w:tblW w:w="9756"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3907"/>
              <w:gridCol w:w="5596"/>
              <w:gridCol w:w="253"/>
            </w:tblGrid>
            <w:tr w14:paraId="172BD8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53" w:type="dxa"/>
                <w:trHeight w:val="314" w:hRule="atLeast"/>
              </w:trPr>
              <w:tc>
                <w:tcPr>
                  <w:tcW w:w="3907" w:type="dxa"/>
                  <w:vAlign w:val="top"/>
                </w:tcPr>
                <w:p w14:paraId="509913EC">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项目</w:t>
                  </w:r>
                </w:p>
              </w:tc>
              <w:tc>
                <w:tcPr>
                  <w:tcW w:w="5596" w:type="dxa"/>
                  <w:vAlign w:val="top"/>
                </w:tcPr>
                <w:p w14:paraId="71954C77">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指标(mg/kg)</w:t>
                  </w:r>
                </w:p>
              </w:tc>
            </w:tr>
            <w:tr w14:paraId="3F4978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53" w:type="dxa"/>
                <w:trHeight w:val="310" w:hRule="atLeast"/>
              </w:trPr>
              <w:tc>
                <w:tcPr>
                  <w:tcW w:w="3907" w:type="dxa"/>
                  <w:vAlign w:val="top"/>
                </w:tcPr>
                <w:p w14:paraId="443D9A38">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甲胺磷</w:t>
                  </w:r>
                </w:p>
              </w:tc>
              <w:tc>
                <w:tcPr>
                  <w:tcW w:w="5596" w:type="dxa"/>
                  <w:vAlign w:val="top"/>
                </w:tcPr>
                <w:p w14:paraId="0C063B25">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不得检出</w:t>
                  </w:r>
                </w:p>
              </w:tc>
            </w:tr>
            <w:tr w14:paraId="3BE722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53" w:type="dxa"/>
                <w:trHeight w:val="310" w:hRule="atLeast"/>
              </w:trPr>
              <w:tc>
                <w:tcPr>
                  <w:tcW w:w="3907" w:type="dxa"/>
                  <w:vAlign w:val="top"/>
                </w:tcPr>
                <w:p w14:paraId="1C368CCD">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甲拌磷</w:t>
                  </w:r>
                </w:p>
              </w:tc>
              <w:tc>
                <w:tcPr>
                  <w:tcW w:w="5596" w:type="dxa"/>
                  <w:vAlign w:val="top"/>
                </w:tcPr>
                <w:p w14:paraId="6E7FE281">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不得检出</w:t>
                  </w:r>
                </w:p>
              </w:tc>
            </w:tr>
            <w:tr w14:paraId="1BEA0A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53" w:type="dxa"/>
                <w:trHeight w:val="309" w:hRule="atLeast"/>
              </w:trPr>
              <w:tc>
                <w:tcPr>
                  <w:tcW w:w="3907" w:type="dxa"/>
                  <w:vAlign w:val="top"/>
                </w:tcPr>
                <w:p w14:paraId="2ABF1712">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氧化乐果</w:t>
                  </w:r>
                </w:p>
              </w:tc>
              <w:tc>
                <w:tcPr>
                  <w:tcW w:w="5596" w:type="dxa"/>
                  <w:vAlign w:val="top"/>
                </w:tcPr>
                <w:p w14:paraId="22FCCE50">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不得检出</w:t>
                  </w:r>
                </w:p>
              </w:tc>
            </w:tr>
            <w:tr w14:paraId="466BC5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53" w:type="dxa"/>
                <w:trHeight w:val="310" w:hRule="atLeast"/>
              </w:trPr>
              <w:tc>
                <w:tcPr>
                  <w:tcW w:w="3907" w:type="dxa"/>
                  <w:vAlign w:val="top"/>
                </w:tcPr>
                <w:p w14:paraId="59D73277">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甲基对硫磷</w:t>
                  </w:r>
                </w:p>
              </w:tc>
              <w:tc>
                <w:tcPr>
                  <w:tcW w:w="5596" w:type="dxa"/>
                  <w:vAlign w:val="top"/>
                </w:tcPr>
                <w:p w14:paraId="36F001C7">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不得检出</w:t>
                  </w:r>
                </w:p>
              </w:tc>
            </w:tr>
            <w:tr w14:paraId="0D2AC1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53" w:type="dxa"/>
                <w:trHeight w:val="314" w:hRule="atLeast"/>
              </w:trPr>
              <w:tc>
                <w:tcPr>
                  <w:tcW w:w="3907" w:type="dxa"/>
                  <w:vAlign w:val="top"/>
                </w:tcPr>
                <w:p w14:paraId="3DF55636">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呋喃丹</w:t>
                  </w:r>
                </w:p>
              </w:tc>
              <w:tc>
                <w:tcPr>
                  <w:tcW w:w="5596" w:type="dxa"/>
                  <w:vAlign w:val="top"/>
                </w:tcPr>
                <w:p w14:paraId="000D8E34">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不得检出</w:t>
                  </w:r>
                </w:p>
              </w:tc>
            </w:tr>
            <w:tr w14:paraId="49D471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4" w:hRule="atLeast"/>
              </w:trPr>
              <w:tc>
                <w:tcPr>
                  <w:tcW w:w="3907" w:type="dxa"/>
                  <w:vAlign w:val="top"/>
                </w:tcPr>
                <w:p w14:paraId="47BAC9DB">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百菌清</w:t>
                  </w:r>
                </w:p>
              </w:tc>
              <w:tc>
                <w:tcPr>
                  <w:tcW w:w="5849" w:type="dxa"/>
                  <w:gridSpan w:val="2"/>
                  <w:vAlign w:val="top"/>
                </w:tcPr>
                <w:p w14:paraId="4BC6905A">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≤1.0</w:t>
                  </w:r>
                </w:p>
              </w:tc>
            </w:tr>
            <w:tr w14:paraId="221F0F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3907" w:type="dxa"/>
                  <w:vAlign w:val="top"/>
                </w:tcPr>
                <w:p w14:paraId="4F67214E">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多菌灵</w:t>
                  </w:r>
                </w:p>
              </w:tc>
              <w:tc>
                <w:tcPr>
                  <w:tcW w:w="5849" w:type="dxa"/>
                  <w:gridSpan w:val="2"/>
                  <w:vAlign w:val="top"/>
                </w:tcPr>
                <w:p w14:paraId="150ED38C">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≤0.5</w:t>
                  </w:r>
                </w:p>
              </w:tc>
            </w:tr>
            <w:tr w14:paraId="4C5FCC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3907" w:type="dxa"/>
                  <w:vAlign w:val="top"/>
                </w:tcPr>
                <w:p w14:paraId="1BEDCD51">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汞 (以 Hg 计)</w:t>
                  </w:r>
                </w:p>
              </w:tc>
              <w:tc>
                <w:tcPr>
                  <w:tcW w:w="5849" w:type="dxa"/>
                  <w:gridSpan w:val="2"/>
                  <w:vAlign w:val="top"/>
                </w:tcPr>
                <w:p w14:paraId="19950F31">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≤0.01</w:t>
                  </w:r>
                </w:p>
              </w:tc>
            </w:tr>
            <w:tr w14:paraId="1BB2BB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3907" w:type="dxa"/>
                  <w:vAlign w:val="top"/>
                </w:tcPr>
                <w:p w14:paraId="0FAF63B7">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铅 (以 Pb 计)</w:t>
                  </w:r>
                </w:p>
              </w:tc>
              <w:tc>
                <w:tcPr>
                  <w:tcW w:w="5849" w:type="dxa"/>
                  <w:gridSpan w:val="2"/>
                  <w:vAlign w:val="top"/>
                </w:tcPr>
                <w:p w14:paraId="31E246AC">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≤0.2</w:t>
                  </w:r>
                </w:p>
              </w:tc>
            </w:tr>
            <w:tr w14:paraId="1B49AF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3907" w:type="dxa"/>
                  <w:vAlign w:val="top"/>
                </w:tcPr>
                <w:p w14:paraId="3AC2F02F">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砷 (以 As 计)</w:t>
                  </w:r>
                </w:p>
              </w:tc>
              <w:tc>
                <w:tcPr>
                  <w:tcW w:w="5849" w:type="dxa"/>
                  <w:gridSpan w:val="2"/>
                  <w:vAlign w:val="top"/>
                </w:tcPr>
                <w:p w14:paraId="276D84A0">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≤0.5</w:t>
                  </w:r>
                </w:p>
              </w:tc>
            </w:tr>
            <w:tr w14:paraId="039EC3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3907" w:type="dxa"/>
                  <w:vAlign w:val="top"/>
                </w:tcPr>
                <w:p w14:paraId="3B23BD61">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氟 (以 F 计)</w:t>
                  </w:r>
                </w:p>
              </w:tc>
              <w:tc>
                <w:tcPr>
                  <w:tcW w:w="5849" w:type="dxa"/>
                  <w:gridSpan w:val="2"/>
                  <w:vAlign w:val="top"/>
                </w:tcPr>
                <w:p w14:paraId="6BA494D8">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≤0.5</w:t>
                  </w:r>
                </w:p>
              </w:tc>
            </w:tr>
            <w:tr w14:paraId="71B4B3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3907" w:type="dxa"/>
                  <w:vAlign w:val="top"/>
                </w:tcPr>
                <w:p w14:paraId="75D6D0BA">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硝酸盐 (以 NaNO3 计)</w:t>
                  </w:r>
                </w:p>
              </w:tc>
              <w:tc>
                <w:tcPr>
                  <w:tcW w:w="5849" w:type="dxa"/>
                  <w:gridSpan w:val="2"/>
                  <w:vAlign w:val="top"/>
                </w:tcPr>
                <w:p w14:paraId="6D8738F6">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瓜果类≤600;叶菜根茎类≤1200</w:t>
                  </w:r>
                </w:p>
              </w:tc>
            </w:tr>
            <w:tr w14:paraId="61590A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5" w:hRule="atLeast"/>
              </w:trPr>
              <w:tc>
                <w:tcPr>
                  <w:tcW w:w="3907" w:type="dxa"/>
                  <w:vAlign w:val="top"/>
                </w:tcPr>
                <w:p w14:paraId="31A02D7D">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亚硝酸盐 (以 NaNO2 计)</w:t>
                  </w:r>
                </w:p>
              </w:tc>
              <w:tc>
                <w:tcPr>
                  <w:tcW w:w="5849" w:type="dxa"/>
                  <w:gridSpan w:val="2"/>
                  <w:vAlign w:val="top"/>
                </w:tcPr>
                <w:p w14:paraId="3E059F5F">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≤4</w:t>
                  </w:r>
                </w:p>
              </w:tc>
            </w:tr>
          </w:tbl>
          <w:p w14:paraId="4D86D77B">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3、蔬菜供应链要求：为确保蔬菜安全，供应商应有自己建设、租赁或签有供货协议的蔬菜基地，从蔬菜的源头开始把控整个蔬菜供应链，务必让食品健康可控，所有食品的来源需清晰。蔬菜来源应当受到地方政府部门监管的自有基地、商品菜基地或蔬菜专业流通市场。</w:t>
            </w:r>
          </w:p>
        </w:tc>
      </w:tr>
    </w:tbl>
    <w:p w14:paraId="7F99562B">
      <w:pPr>
        <w:keepNext w:val="0"/>
        <w:keepLines w:val="0"/>
        <w:pageBreakBefore w:val="0"/>
        <w:widowControl w:val="0"/>
        <w:kinsoku/>
        <w:wordWrap w:val="0"/>
        <w:overflowPunct/>
        <w:topLinePunct w:val="0"/>
        <w:autoSpaceDE w:val="0"/>
        <w:autoSpaceDN w:val="0"/>
        <w:bidi w:val="0"/>
        <w:adjustRightInd w:val="0"/>
        <w:snapToGrid w:val="0"/>
        <w:spacing w:line="360" w:lineRule="auto"/>
        <w:ind w:firstLine="560" w:firstLineChars="200"/>
        <w:textAlignment w:val="baseline"/>
        <w:rPr>
          <w:rFonts w:hint="eastAsia" w:eastAsia="宋体"/>
          <w:color w:val="000000" w:themeColor="text1"/>
          <w:spacing w:val="0"/>
          <w:position w:val="0"/>
          <w:sz w:val="28"/>
          <w:szCs w:val="28"/>
          <w14:textFill>
            <w14:solidFill>
              <w14:schemeClr w14:val="tx1"/>
            </w14:solidFill>
          </w14:textFill>
        </w:rPr>
      </w:pPr>
    </w:p>
    <w:p w14:paraId="645A2FDB">
      <w:pPr>
        <w:keepNext w:val="0"/>
        <w:keepLines w:val="0"/>
        <w:pageBreakBefore w:val="0"/>
        <w:widowControl w:val="0"/>
        <w:kinsoku/>
        <w:wordWrap w:val="0"/>
        <w:overflowPunct/>
        <w:topLinePunct w:val="0"/>
        <w:autoSpaceDE w:val="0"/>
        <w:autoSpaceDN w:val="0"/>
        <w:bidi w:val="0"/>
        <w:adjustRightInd w:val="0"/>
        <w:snapToGrid w:val="0"/>
        <w:spacing w:line="360" w:lineRule="auto"/>
        <w:ind w:firstLine="562" w:firstLineChars="200"/>
        <w:textAlignment w:val="baseline"/>
        <w:rPr>
          <w:rFonts w:hint="eastAsia" w:eastAsia="宋体"/>
          <w:b/>
          <w:bCs/>
          <w:color w:val="000000" w:themeColor="text1"/>
          <w:spacing w:val="0"/>
          <w:position w:val="0"/>
          <w:sz w:val="28"/>
          <w:szCs w:val="28"/>
          <w:lang w:val="en-US" w:eastAsia="zh-CN"/>
          <w14:textFill>
            <w14:solidFill>
              <w14:schemeClr w14:val="tx1"/>
            </w14:solidFill>
          </w14:textFill>
        </w:rPr>
      </w:pPr>
      <w:r>
        <w:rPr>
          <w:rFonts w:hint="eastAsia" w:eastAsia="宋体"/>
          <w:b/>
          <w:bCs/>
          <w:color w:val="000000" w:themeColor="text1"/>
          <w:spacing w:val="0"/>
          <w:position w:val="0"/>
          <w:sz w:val="28"/>
          <w:szCs w:val="28"/>
          <w:lang w:val="en-US" w:eastAsia="zh-CN"/>
          <w14:textFill>
            <w14:solidFill>
              <w14:schemeClr w14:val="tx1"/>
            </w14:solidFill>
          </w14:textFill>
        </w:rPr>
        <w:t>3.粮油类</w:t>
      </w: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2"/>
        <w:gridCol w:w="467"/>
        <w:gridCol w:w="7661"/>
      </w:tblGrid>
      <w:tr w14:paraId="662574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2" w:type="dxa"/>
            <w:vAlign w:val="top"/>
          </w:tcPr>
          <w:p w14:paraId="05278BCC">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序号</w:t>
            </w:r>
          </w:p>
        </w:tc>
        <w:tc>
          <w:tcPr>
            <w:tcW w:w="467" w:type="dxa"/>
            <w:vAlign w:val="top"/>
          </w:tcPr>
          <w:p w14:paraId="54922800">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品名</w:t>
            </w:r>
          </w:p>
        </w:tc>
        <w:tc>
          <w:tcPr>
            <w:tcW w:w="7661" w:type="dxa"/>
            <w:vAlign w:val="top"/>
          </w:tcPr>
          <w:p w14:paraId="298DF116">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要求</w:t>
            </w:r>
          </w:p>
        </w:tc>
      </w:tr>
      <w:tr w14:paraId="14C4FA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2" w:type="dxa"/>
            <w:vAlign w:val="top"/>
          </w:tcPr>
          <w:p w14:paraId="1FB9123A">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1</w:t>
            </w:r>
          </w:p>
        </w:tc>
        <w:tc>
          <w:tcPr>
            <w:tcW w:w="467" w:type="dxa"/>
            <w:vAlign w:val="top"/>
          </w:tcPr>
          <w:p w14:paraId="76708694">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大米、食用油、面粉、谷物杂粮等</w:t>
            </w:r>
          </w:p>
        </w:tc>
        <w:tc>
          <w:tcPr>
            <w:tcW w:w="7661" w:type="dxa"/>
            <w:vAlign w:val="top"/>
          </w:tcPr>
          <w:p w14:paraId="36799952">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1、投标人需定期向采购人提供所供应的米、油、辅料、佐料的最新批次产品检验报告。</w:t>
            </w:r>
          </w:p>
          <w:p w14:paraId="70F41F2E">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2、供应产品的质量要求：</w:t>
            </w:r>
          </w:p>
          <w:p w14:paraId="58F1EA61">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(1)米、油、面粉、预包装及散装食品必须符合卫生，不得有腐烂、变质、油脂酸败、霉变、生虫、污秽不洁、混有异物或者其他感官性状异常，并可能对人体健康有害的物质。</w:t>
            </w:r>
          </w:p>
          <w:p w14:paraId="59141199">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(2)米、油：保证来源于各正规厂家等，本年度的产品检验报告、最近批次出厂检验报告。包装食品：保证来源于各正规厂家等，包装箱完整，同时包装箱要印有注册商标、生产厂家名称、厂址、出厂日期、保质期限、产品成份、厂家电话号码、本年度的产品检验报告、最近批次出厂检验报告。散装食品：保证来源于各正规厂家等，供货时需提供品名、产地、生产商名称、生产日期、保质期、本年度的产品检验报告、最近批次出厂检验报告。投标人所提供产品质量必须符合行业标准要求，不得有掺假、变质、变味、过期等现象出现，严禁伪劣、假冒、无证不合格物品进入仓库。</w:t>
            </w:r>
          </w:p>
          <w:p w14:paraId="0E967B92">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(3)投标人在供应过程中，如果发生出现质量问题或造成食物中毒，如变质等情况，经查实后确属供方责任，投标人应承担全部责任，主要包括食物中毒人员医疗费、误工费、事故处理费等，直至追究刑事责任。</w:t>
            </w:r>
          </w:p>
          <w:p w14:paraId="446A30C1">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3、执行标准：</w:t>
            </w:r>
          </w:p>
          <w:p w14:paraId="1260980B">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(1)大米品种要求为标一晚三级米；</w:t>
            </w:r>
          </w:p>
          <w:p w14:paraId="0EE81225">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(2)米类执行标准：GB2762-2022、GB2761-2017、GB/T1354-2018；</w:t>
            </w:r>
          </w:p>
          <w:p w14:paraId="5679B62C">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(3)大米的质量标准：除符合标准一等米外，要求： ➢碎米总量≤17%(国家标准：≤35%);</w:t>
            </w:r>
          </w:p>
          <w:p w14:paraId="49E98C9F">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➢小碎米总量≤2%(国家标准：≤2.5%);</w:t>
            </w:r>
          </w:p>
          <w:p w14:paraId="71D0BBE9">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➢不完善粒≤3.5%(国家标准：≤4.0%);</w:t>
            </w:r>
          </w:p>
          <w:p w14:paraId="3CEAC074">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➢黄米粒按国家标准执行。</w:t>
            </w:r>
          </w:p>
          <w:tbl>
            <w:tblPr>
              <w:tblStyle w:val="23"/>
              <w:tblW w:w="894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3971"/>
              <w:gridCol w:w="1961"/>
              <w:gridCol w:w="3016"/>
            </w:tblGrid>
            <w:tr w14:paraId="401EC2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0" w:hRule="atLeast"/>
              </w:trPr>
              <w:tc>
                <w:tcPr>
                  <w:tcW w:w="3971" w:type="dxa"/>
                  <w:vAlign w:val="top"/>
                </w:tcPr>
                <w:p w14:paraId="51975DF2">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检验项目</w:t>
                  </w:r>
                </w:p>
              </w:tc>
              <w:tc>
                <w:tcPr>
                  <w:tcW w:w="1961" w:type="dxa"/>
                  <w:vAlign w:val="top"/>
                </w:tcPr>
                <w:p w14:paraId="2EB1C712">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单位</w:t>
                  </w:r>
                </w:p>
              </w:tc>
              <w:tc>
                <w:tcPr>
                  <w:tcW w:w="3016" w:type="dxa"/>
                  <w:vAlign w:val="top"/>
                </w:tcPr>
                <w:p w14:paraId="6A8CB3C4">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标准要求</w:t>
                  </w:r>
                </w:p>
              </w:tc>
            </w:tr>
            <w:tr w14:paraId="6E5A7C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5" w:hRule="atLeast"/>
              </w:trPr>
              <w:tc>
                <w:tcPr>
                  <w:tcW w:w="3971" w:type="dxa"/>
                  <w:vAlign w:val="top"/>
                </w:tcPr>
                <w:p w14:paraId="64BABCBB">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镉 (以 Cd 计)≤</w:t>
                  </w:r>
                </w:p>
              </w:tc>
              <w:tc>
                <w:tcPr>
                  <w:tcW w:w="1961" w:type="dxa"/>
                  <w:vAlign w:val="top"/>
                </w:tcPr>
                <w:p w14:paraId="1C5DA1D1">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mg/kg</w:t>
                  </w:r>
                </w:p>
              </w:tc>
              <w:tc>
                <w:tcPr>
                  <w:tcW w:w="3016" w:type="dxa"/>
                  <w:vAlign w:val="top"/>
                </w:tcPr>
                <w:p w14:paraId="49D79DC3">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0.2</w:t>
                  </w:r>
                </w:p>
              </w:tc>
            </w:tr>
            <w:tr w14:paraId="1066E7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3971" w:type="dxa"/>
                  <w:vAlign w:val="top"/>
                </w:tcPr>
                <w:p w14:paraId="5EF2294C">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汞 (以 Hg 计)≤</w:t>
                  </w:r>
                </w:p>
              </w:tc>
              <w:tc>
                <w:tcPr>
                  <w:tcW w:w="1961" w:type="dxa"/>
                  <w:vAlign w:val="top"/>
                </w:tcPr>
                <w:p w14:paraId="0DC4B19B">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mg/kg</w:t>
                  </w:r>
                </w:p>
              </w:tc>
              <w:tc>
                <w:tcPr>
                  <w:tcW w:w="3016" w:type="dxa"/>
                  <w:vAlign w:val="top"/>
                </w:tcPr>
                <w:p w14:paraId="6A63F13F">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0.02</w:t>
                  </w:r>
                </w:p>
              </w:tc>
            </w:tr>
            <w:tr w14:paraId="0105F8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5" w:hRule="atLeast"/>
              </w:trPr>
              <w:tc>
                <w:tcPr>
                  <w:tcW w:w="3971" w:type="dxa"/>
                  <w:vAlign w:val="top"/>
                </w:tcPr>
                <w:p w14:paraId="2AA73DE0">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六六六 (以成品粮计)≤</w:t>
                  </w:r>
                </w:p>
              </w:tc>
              <w:tc>
                <w:tcPr>
                  <w:tcW w:w="1961" w:type="dxa"/>
                  <w:vAlign w:val="top"/>
                </w:tcPr>
                <w:p w14:paraId="4696791F">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mg/kg</w:t>
                  </w:r>
                </w:p>
              </w:tc>
              <w:tc>
                <w:tcPr>
                  <w:tcW w:w="3016" w:type="dxa"/>
                  <w:vAlign w:val="top"/>
                </w:tcPr>
                <w:p w14:paraId="7D197C98">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0.05</w:t>
                  </w:r>
                </w:p>
              </w:tc>
            </w:tr>
            <w:tr w14:paraId="5E53AB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3971" w:type="dxa"/>
                  <w:vAlign w:val="top"/>
                </w:tcPr>
                <w:p w14:paraId="460D5188">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滴滴涕 (以成品粮计)≤</w:t>
                  </w:r>
                </w:p>
              </w:tc>
              <w:tc>
                <w:tcPr>
                  <w:tcW w:w="1961" w:type="dxa"/>
                  <w:vAlign w:val="top"/>
                </w:tcPr>
                <w:p w14:paraId="23DFD043">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mg/kg</w:t>
                  </w:r>
                </w:p>
              </w:tc>
              <w:tc>
                <w:tcPr>
                  <w:tcW w:w="3016" w:type="dxa"/>
                  <w:vAlign w:val="top"/>
                </w:tcPr>
                <w:p w14:paraId="5C560402">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0.05</w:t>
                  </w:r>
                </w:p>
              </w:tc>
            </w:tr>
            <w:tr w14:paraId="0E21F6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0" w:hRule="atLeast"/>
              </w:trPr>
              <w:tc>
                <w:tcPr>
                  <w:tcW w:w="3971" w:type="dxa"/>
                  <w:vAlign w:val="top"/>
                </w:tcPr>
                <w:p w14:paraId="3086EDB2">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黄曲霉毒素 BI≤</w:t>
                  </w:r>
                </w:p>
              </w:tc>
              <w:tc>
                <w:tcPr>
                  <w:tcW w:w="1961" w:type="dxa"/>
                  <w:vAlign w:val="top"/>
                </w:tcPr>
                <w:p w14:paraId="3A7D0CC1">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mg/kg</w:t>
                  </w:r>
                </w:p>
              </w:tc>
              <w:tc>
                <w:tcPr>
                  <w:tcW w:w="3016" w:type="dxa"/>
                  <w:vAlign w:val="top"/>
                </w:tcPr>
                <w:p w14:paraId="165620D5">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10</w:t>
                  </w:r>
                </w:p>
              </w:tc>
            </w:tr>
          </w:tbl>
          <w:p w14:paraId="3EC874FE">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(4)油类执行标准：</w:t>
            </w:r>
          </w:p>
          <w:p w14:paraId="3188B879">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➢GB/T40851-2021《食用调和油》国家标准</w:t>
            </w:r>
          </w:p>
          <w:tbl>
            <w:tblPr>
              <w:tblStyle w:val="23"/>
              <w:tblW w:w="8945" w:type="dxa"/>
              <w:tblInd w:w="1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3862"/>
              <w:gridCol w:w="1383"/>
              <w:gridCol w:w="3700"/>
            </w:tblGrid>
            <w:tr w14:paraId="5F7B74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5" w:hRule="atLeast"/>
              </w:trPr>
              <w:tc>
                <w:tcPr>
                  <w:tcW w:w="3862" w:type="dxa"/>
                  <w:vAlign w:val="top"/>
                </w:tcPr>
                <w:p w14:paraId="717BD1B0">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检验项目</w:t>
                  </w:r>
                </w:p>
              </w:tc>
              <w:tc>
                <w:tcPr>
                  <w:tcW w:w="1383" w:type="dxa"/>
                  <w:vAlign w:val="top"/>
                </w:tcPr>
                <w:p w14:paraId="6302CC24">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单位</w:t>
                  </w:r>
                </w:p>
              </w:tc>
              <w:tc>
                <w:tcPr>
                  <w:tcW w:w="3700" w:type="dxa"/>
                  <w:vAlign w:val="top"/>
                </w:tcPr>
                <w:p w14:paraId="357CA527">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标准要求</w:t>
                  </w:r>
                </w:p>
              </w:tc>
            </w:tr>
            <w:tr w14:paraId="3F8F0D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3862" w:type="dxa"/>
                  <w:vAlign w:val="top"/>
                </w:tcPr>
                <w:p w14:paraId="066DDA8D">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透明度</w:t>
                  </w:r>
                </w:p>
              </w:tc>
              <w:tc>
                <w:tcPr>
                  <w:tcW w:w="1383" w:type="dxa"/>
                  <w:vAlign w:val="top"/>
                </w:tcPr>
                <w:p w14:paraId="491C61E4">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w:t>
                  </w:r>
                </w:p>
              </w:tc>
              <w:tc>
                <w:tcPr>
                  <w:tcW w:w="3700" w:type="dxa"/>
                  <w:vAlign w:val="top"/>
                </w:tcPr>
                <w:p w14:paraId="6CA4B405">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透明</w:t>
                  </w:r>
                </w:p>
              </w:tc>
            </w:tr>
            <w:tr w14:paraId="4DC1EA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3862" w:type="dxa"/>
                  <w:vAlign w:val="top"/>
                </w:tcPr>
                <w:p w14:paraId="3E61F53C">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气味、滋味</w:t>
                  </w:r>
                </w:p>
              </w:tc>
              <w:tc>
                <w:tcPr>
                  <w:tcW w:w="1383" w:type="dxa"/>
                  <w:vAlign w:val="top"/>
                </w:tcPr>
                <w:p w14:paraId="52F23AC7">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w:t>
                  </w:r>
                </w:p>
              </w:tc>
              <w:tc>
                <w:tcPr>
                  <w:tcW w:w="3700" w:type="dxa"/>
                  <w:vAlign w:val="top"/>
                </w:tcPr>
                <w:p w14:paraId="461634E6">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气味、口感较好</w:t>
                  </w:r>
                </w:p>
              </w:tc>
            </w:tr>
            <w:tr w14:paraId="4FB13C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3862" w:type="dxa"/>
                  <w:vAlign w:val="top"/>
                </w:tcPr>
                <w:p w14:paraId="3DF174C6">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色泽 (罗维朋比色计 133.4mm 槽)≤</w:t>
                  </w:r>
                </w:p>
              </w:tc>
              <w:tc>
                <w:tcPr>
                  <w:tcW w:w="1383" w:type="dxa"/>
                  <w:vAlign w:val="top"/>
                </w:tcPr>
                <w:p w14:paraId="6DC57FF1">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w:t>
                  </w:r>
                </w:p>
              </w:tc>
              <w:tc>
                <w:tcPr>
                  <w:tcW w:w="3700" w:type="dxa"/>
                  <w:vAlign w:val="top"/>
                </w:tcPr>
                <w:p w14:paraId="27B41491">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Y:40;R:5.0</w:t>
                  </w:r>
                </w:p>
              </w:tc>
            </w:tr>
            <w:tr w14:paraId="3187D62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3862" w:type="dxa"/>
                  <w:vAlign w:val="top"/>
                </w:tcPr>
                <w:p w14:paraId="4CD13F70">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水分及挥发物≤</w:t>
                  </w:r>
                </w:p>
              </w:tc>
              <w:tc>
                <w:tcPr>
                  <w:tcW w:w="1383" w:type="dxa"/>
                  <w:vAlign w:val="top"/>
                </w:tcPr>
                <w:p w14:paraId="7F763063">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w:t>
                  </w:r>
                </w:p>
              </w:tc>
              <w:tc>
                <w:tcPr>
                  <w:tcW w:w="3700" w:type="dxa"/>
                  <w:vAlign w:val="top"/>
                </w:tcPr>
                <w:p w14:paraId="66C1CC91">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0.10</w:t>
                  </w:r>
                </w:p>
              </w:tc>
            </w:tr>
            <w:tr w14:paraId="6953AF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3862" w:type="dxa"/>
                  <w:vAlign w:val="top"/>
                </w:tcPr>
                <w:p w14:paraId="19E572E1">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杂质≤</w:t>
                  </w:r>
                </w:p>
              </w:tc>
              <w:tc>
                <w:tcPr>
                  <w:tcW w:w="1383" w:type="dxa"/>
                  <w:vAlign w:val="top"/>
                </w:tcPr>
                <w:p w14:paraId="4BA58363">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w:t>
                  </w:r>
                </w:p>
              </w:tc>
              <w:tc>
                <w:tcPr>
                  <w:tcW w:w="3700" w:type="dxa"/>
                  <w:vAlign w:val="top"/>
                </w:tcPr>
                <w:p w14:paraId="4211686B">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0.10</w:t>
                  </w:r>
                </w:p>
              </w:tc>
            </w:tr>
            <w:tr w14:paraId="404989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3862" w:type="dxa"/>
                  <w:vAlign w:val="top"/>
                </w:tcPr>
                <w:p w14:paraId="73D490C2">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酸价≤</w:t>
                  </w:r>
                </w:p>
                <w:p w14:paraId="36D4F5C7">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过氧化值≤</w:t>
                  </w:r>
                </w:p>
              </w:tc>
              <w:tc>
                <w:tcPr>
                  <w:tcW w:w="1383" w:type="dxa"/>
                  <w:vAlign w:val="top"/>
                </w:tcPr>
                <w:p w14:paraId="6F837C37">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MgKOH/g</w:t>
                  </w:r>
                </w:p>
                <w:p w14:paraId="4E0EAEAF">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Meq/kg</w:t>
                  </w:r>
                </w:p>
              </w:tc>
              <w:tc>
                <w:tcPr>
                  <w:tcW w:w="3700" w:type="dxa"/>
                  <w:vAlign w:val="top"/>
                </w:tcPr>
                <w:p w14:paraId="7A02DC2E">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1.0</w:t>
                  </w:r>
                </w:p>
                <w:p w14:paraId="00DC7FF8">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12</w:t>
                  </w:r>
                </w:p>
              </w:tc>
            </w:tr>
            <w:tr w14:paraId="188390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3862" w:type="dxa"/>
                  <w:vAlign w:val="top"/>
                </w:tcPr>
                <w:p w14:paraId="350F5BAC">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熔点</w:t>
                  </w:r>
                </w:p>
              </w:tc>
              <w:tc>
                <w:tcPr>
                  <w:tcW w:w="1383" w:type="dxa"/>
                  <w:vAlign w:val="top"/>
                </w:tcPr>
                <w:p w14:paraId="1F6078CE">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w:t>
                  </w:r>
                </w:p>
              </w:tc>
              <w:tc>
                <w:tcPr>
                  <w:tcW w:w="3700" w:type="dxa"/>
                  <w:vAlign w:val="top"/>
                </w:tcPr>
                <w:p w14:paraId="5B6DEC4E">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w:t>
                  </w:r>
                </w:p>
              </w:tc>
            </w:tr>
            <w:tr w14:paraId="1EA95B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8" w:hRule="atLeast"/>
              </w:trPr>
              <w:tc>
                <w:tcPr>
                  <w:tcW w:w="3862" w:type="dxa"/>
                  <w:vAlign w:val="top"/>
                </w:tcPr>
                <w:p w14:paraId="415321B3">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冷冻试验 (℃冷藏 5.5h)</w:t>
                  </w:r>
                </w:p>
              </w:tc>
              <w:tc>
                <w:tcPr>
                  <w:tcW w:w="1383" w:type="dxa"/>
                  <w:vAlign w:val="top"/>
                </w:tcPr>
                <w:p w14:paraId="4AF0EDF1">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w:t>
                  </w:r>
                </w:p>
              </w:tc>
              <w:tc>
                <w:tcPr>
                  <w:tcW w:w="3700" w:type="dxa"/>
                  <w:vAlign w:val="top"/>
                </w:tcPr>
                <w:p w14:paraId="6CCEC6CB">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w:t>
                  </w:r>
                </w:p>
              </w:tc>
            </w:tr>
          </w:tbl>
          <w:p w14:paraId="18A5B073">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➢GB/T1534-2017《花生油》国家标准</w:t>
            </w:r>
          </w:p>
          <w:tbl>
            <w:tblPr>
              <w:tblStyle w:val="23"/>
              <w:tblW w:w="9121" w:type="dxa"/>
              <w:tblInd w:w="-27"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783"/>
              <w:gridCol w:w="2834"/>
              <w:gridCol w:w="4504"/>
            </w:tblGrid>
            <w:tr w14:paraId="7FE871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1783" w:type="dxa"/>
                  <w:vMerge w:val="restart"/>
                  <w:tcBorders>
                    <w:bottom w:val="nil"/>
                  </w:tcBorders>
                  <w:vAlign w:val="top"/>
                </w:tcPr>
                <w:p w14:paraId="7416E368">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检验项 目</w:t>
                  </w:r>
                </w:p>
              </w:tc>
              <w:tc>
                <w:tcPr>
                  <w:tcW w:w="7338" w:type="dxa"/>
                  <w:gridSpan w:val="2"/>
                  <w:vAlign w:val="top"/>
                </w:tcPr>
                <w:p w14:paraId="3C4BFD27">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标准要求</w:t>
                  </w:r>
                </w:p>
              </w:tc>
            </w:tr>
            <w:tr w14:paraId="5743302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9" w:hRule="atLeast"/>
              </w:trPr>
              <w:tc>
                <w:tcPr>
                  <w:tcW w:w="1783" w:type="dxa"/>
                  <w:vMerge w:val="continue"/>
                  <w:tcBorders>
                    <w:top w:val="nil"/>
                  </w:tcBorders>
                  <w:vAlign w:val="top"/>
                </w:tcPr>
                <w:p w14:paraId="6C5C7347">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p>
              </w:tc>
              <w:tc>
                <w:tcPr>
                  <w:tcW w:w="2834" w:type="dxa"/>
                  <w:vAlign w:val="top"/>
                </w:tcPr>
                <w:p w14:paraId="3D42DF59">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一级</w:t>
                  </w:r>
                </w:p>
              </w:tc>
              <w:tc>
                <w:tcPr>
                  <w:tcW w:w="4504" w:type="dxa"/>
                  <w:vAlign w:val="top"/>
                </w:tcPr>
                <w:p w14:paraId="3D5E5ECB">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二级</w:t>
                  </w:r>
                </w:p>
              </w:tc>
            </w:tr>
            <w:tr w14:paraId="4488ED8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0" w:hRule="atLeast"/>
              </w:trPr>
              <w:tc>
                <w:tcPr>
                  <w:tcW w:w="1783" w:type="dxa"/>
                  <w:vAlign w:val="top"/>
                </w:tcPr>
                <w:p w14:paraId="34A5F4A3">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色泽</w:t>
                  </w:r>
                </w:p>
                <w:p w14:paraId="2B8A42C2">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(罗维朋比色槽 25.4mm)≤</w:t>
                  </w:r>
                </w:p>
              </w:tc>
              <w:tc>
                <w:tcPr>
                  <w:tcW w:w="2834" w:type="dxa"/>
                  <w:vAlign w:val="top"/>
                </w:tcPr>
                <w:p w14:paraId="4B1AC605">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黄 15;红 1.5</w:t>
                  </w:r>
                </w:p>
              </w:tc>
              <w:tc>
                <w:tcPr>
                  <w:tcW w:w="4504" w:type="dxa"/>
                  <w:vAlign w:val="top"/>
                </w:tcPr>
                <w:p w14:paraId="00DD32F4">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黄 25;红4</w:t>
                  </w:r>
                </w:p>
              </w:tc>
            </w:tr>
            <w:tr w14:paraId="3E3B9B2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1" w:hRule="atLeast"/>
              </w:trPr>
              <w:tc>
                <w:tcPr>
                  <w:tcW w:w="1783" w:type="dxa"/>
                  <w:vAlign w:val="top"/>
                </w:tcPr>
                <w:p w14:paraId="3DF51005">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气味、滋味</w:t>
                  </w:r>
                </w:p>
              </w:tc>
              <w:tc>
                <w:tcPr>
                  <w:tcW w:w="7338" w:type="dxa"/>
                  <w:gridSpan w:val="2"/>
                  <w:vAlign w:val="top"/>
                </w:tcPr>
                <w:p w14:paraId="6EB8A41C">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具有花生油固有的气味和滋味，无异味</w:t>
                  </w:r>
                </w:p>
              </w:tc>
            </w:tr>
            <w:tr w14:paraId="1585561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3" w:hRule="atLeast"/>
              </w:trPr>
              <w:tc>
                <w:tcPr>
                  <w:tcW w:w="1783" w:type="dxa"/>
                  <w:vAlign w:val="top"/>
                </w:tcPr>
                <w:p w14:paraId="1E0900A3">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透明度澄清、透明</w:t>
                  </w:r>
                </w:p>
              </w:tc>
              <w:tc>
                <w:tcPr>
                  <w:tcW w:w="7338" w:type="dxa"/>
                  <w:gridSpan w:val="2"/>
                  <w:vAlign w:val="top"/>
                </w:tcPr>
                <w:p w14:paraId="1523B0DD">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澄清、透明</w:t>
                  </w:r>
                </w:p>
              </w:tc>
            </w:tr>
            <w:tr w14:paraId="4AC52EE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4" w:hRule="atLeast"/>
              </w:trPr>
              <w:tc>
                <w:tcPr>
                  <w:tcW w:w="1783" w:type="dxa"/>
                  <w:vAlign w:val="top"/>
                </w:tcPr>
                <w:p w14:paraId="26D6420F">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酸值(KOH)/(mg/g)≤</w:t>
                  </w:r>
                </w:p>
              </w:tc>
              <w:tc>
                <w:tcPr>
                  <w:tcW w:w="2834" w:type="dxa"/>
                  <w:vAlign w:val="top"/>
                </w:tcPr>
                <w:p w14:paraId="405787BF">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1.0</w:t>
                  </w:r>
                </w:p>
              </w:tc>
              <w:tc>
                <w:tcPr>
                  <w:tcW w:w="4504" w:type="dxa"/>
                  <w:vAlign w:val="top"/>
                </w:tcPr>
                <w:p w14:paraId="26DDD8AD">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2.5</w:t>
                  </w:r>
                </w:p>
              </w:tc>
            </w:tr>
            <w:tr w14:paraId="39BC397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2" w:hRule="atLeast"/>
              </w:trPr>
              <w:tc>
                <w:tcPr>
                  <w:tcW w:w="1783" w:type="dxa"/>
                  <w:vAlign w:val="top"/>
                </w:tcPr>
                <w:p w14:paraId="4E59236C">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水分及挥发物/(%)≤</w:t>
                  </w:r>
                </w:p>
              </w:tc>
              <w:tc>
                <w:tcPr>
                  <w:tcW w:w="2834" w:type="dxa"/>
                  <w:vAlign w:val="top"/>
                </w:tcPr>
                <w:p w14:paraId="5DCD8C18">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0.10</w:t>
                  </w:r>
                </w:p>
              </w:tc>
              <w:tc>
                <w:tcPr>
                  <w:tcW w:w="4504" w:type="dxa"/>
                  <w:vAlign w:val="top"/>
                </w:tcPr>
                <w:p w14:paraId="68A339F8">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0.15</w:t>
                  </w:r>
                </w:p>
              </w:tc>
            </w:tr>
            <w:tr w14:paraId="75C81A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2" w:hRule="atLeast"/>
              </w:trPr>
              <w:tc>
                <w:tcPr>
                  <w:tcW w:w="1783" w:type="dxa"/>
                  <w:vAlign w:val="top"/>
                </w:tcPr>
                <w:p w14:paraId="58F98287">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不溶性杂质(%)≤</w:t>
                  </w:r>
                </w:p>
              </w:tc>
              <w:tc>
                <w:tcPr>
                  <w:tcW w:w="2834" w:type="dxa"/>
                  <w:vAlign w:val="top"/>
                </w:tcPr>
                <w:p w14:paraId="7573A97B">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0.05</w:t>
                  </w:r>
                </w:p>
              </w:tc>
              <w:tc>
                <w:tcPr>
                  <w:tcW w:w="4504" w:type="dxa"/>
                  <w:vAlign w:val="top"/>
                </w:tcPr>
                <w:p w14:paraId="2C2A721B">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0.05</w:t>
                  </w:r>
                </w:p>
              </w:tc>
            </w:tr>
            <w:tr w14:paraId="21C1D6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21" w:hRule="atLeast"/>
              </w:trPr>
              <w:tc>
                <w:tcPr>
                  <w:tcW w:w="1783" w:type="dxa"/>
                  <w:vAlign w:val="top"/>
                </w:tcPr>
                <w:p w14:paraId="4EF47E1A">
                  <w:pPr>
                    <w:keepNext w:val="0"/>
                    <w:keepLines w:val="0"/>
                    <w:pageBreakBefore w:val="0"/>
                    <w:widowControl w:val="0"/>
                    <w:kinsoku/>
                    <w:wordWrap w:val="0"/>
                    <w:overflowPunct w:val="0"/>
                    <w:topLinePunct/>
                    <w:autoSpaceDE w:val="0"/>
                    <w:autoSpaceDN w:val="0"/>
                    <w:bidi w:val="0"/>
                    <w:adjustRightInd w:val="0"/>
                    <w:snapToGrid w:val="0"/>
                    <w:spacing w:line="360" w:lineRule="auto"/>
                    <w:jc w:val="left"/>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加热试验(280℃)≤</w:t>
                  </w:r>
                </w:p>
              </w:tc>
              <w:tc>
                <w:tcPr>
                  <w:tcW w:w="2834" w:type="dxa"/>
                  <w:vAlign w:val="top"/>
                </w:tcPr>
                <w:p w14:paraId="73184CE3">
                  <w:pPr>
                    <w:keepNext w:val="0"/>
                    <w:keepLines w:val="0"/>
                    <w:pageBreakBefore w:val="0"/>
                    <w:widowControl w:val="0"/>
                    <w:kinsoku/>
                    <w:wordWrap w:val="0"/>
                    <w:overflowPunct w:val="0"/>
                    <w:topLinePunct/>
                    <w:autoSpaceDE w:val="0"/>
                    <w:autoSpaceDN w:val="0"/>
                    <w:bidi w:val="0"/>
                    <w:adjustRightInd w:val="0"/>
                    <w:snapToGrid w:val="0"/>
                    <w:spacing w:line="360" w:lineRule="auto"/>
                    <w:jc w:val="left"/>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无析出物，罗维朋比色：</w:t>
                  </w:r>
                </w:p>
                <w:p w14:paraId="79A5FCB6">
                  <w:pPr>
                    <w:keepNext w:val="0"/>
                    <w:keepLines w:val="0"/>
                    <w:pageBreakBefore w:val="0"/>
                    <w:widowControl w:val="0"/>
                    <w:kinsoku/>
                    <w:wordWrap w:val="0"/>
                    <w:overflowPunct w:val="0"/>
                    <w:topLinePunct/>
                    <w:autoSpaceDE w:val="0"/>
                    <w:autoSpaceDN w:val="0"/>
                    <w:bidi w:val="0"/>
                    <w:adjustRightInd w:val="0"/>
                    <w:snapToGrid w:val="0"/>
                    <w:spacing w:line="360" w:lineRule="auto"/>
                    <w:jc w:val="left"/>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黄色值不变红色值增加小于0.4</w:t>
                  </w:r>
                </w:p>
              </w:tc>
              <w:tc>
                <w:tcPr>
                  <w:tcW w:w="4504" w:type="dxa"/>
                  <w:vAlign w:val="top"/>
                </w:tcPr>
                <w:p w14:paraId="50FF976E">
                  <w:pPr>
                    <w:keepNext w:val="0"/>
                    <w:keepLines w:val="0"/>
                    <w:pageBreakBefore w:val="0"/>
                    <w:widowControl w:val="0"/>
                    <w:kinsoku/>
                    <w:wordWrap w:val="0"/>
                    <w:overflowPunct w:val="0"/>
                    <w:topLinePunct/>
                    <w:autoSpaceDE w:val="0"/>
                    <w:autoSpaceDN w:val="0"/>
                    <w:bidi w:val="0"/>
                    <w:adjustRightInd w:val="0"/>
                    <w:snapToGrid w:val="0"/>
                    <w:spacing w:line="360" w:lineRule="auto"/>
                    <w:jc w:val="left"/>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微量析出物，罗维朋比色：</w:t>
                  </w:r>
                </w:p>
                <w:p w14:paraId="5570915A">
                  <w:pPr>
                    <w:keepNext w:val="0"/>
                    <w:keepLines w:val="0"/>
                    <w:pageBreakBefore w:val="0"/>
                    <w:widowControl w:val="0"/>
                    <w:kinsoku/>
                    <w:wordWrap w:val="0"/>
                    <w:overflowPunct w:val="0"/>
                    <w:topLinePunct/>
                    <w:autoSpaceDE w:val="0"/>
                    <w:autoSpaceDN w:val="0"/>
                    <w:bidi w:val="0"/>
                    <w:adjustRightInd w:val="0"/>
                    <w:snapToGrid w:val="0"/>
                    <w:spacing w:line="360" w:lineRule="auto"/>
                    <w:jc w:val="left"/>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黄色值不变，红色值增加</w:t>
                  </w:r>
                </w:p>
                <w:p w14:paraId="36A03353">
                  <w:pPr>
                    <w:keepNext w:val="0"/>
                    <w:keepLines w:val="0"/>
                    <w:pageBreakBefore w:val="0"/>
                    <w:widowControl w:val="0"/>
                    <w:kinsoku/>
                    <w:wordWrap w:val="0"/>
                    <w:overflowPunct w:val="0"/>
                    <w:topLinePunct/>
                    <w:autoSpaceDE w:val="0"/>
                    <w:autoSpaceDN w:val="0"/>
                    <w:bidi w:val="0"/>
                    <w:adjustRightInd w:val="0"/>
                    <w:snapToGrid w:val="0"/>
                    <w:spacing w:line="360" w:lineRule="auto"/>
                    <w:jc w:val="left"/>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小于4.0,蓝色值增加小于0.5</w:t>
                  </w:r>
                </w:p>
              </w:tc>
            </w:tr>
            <w:tr w14:paraId="376497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1" w:hRule="atLeast"/>
              </w:trPr>
              <w:tc>
                <w:tcPr>
                  <w:tcW w:w="1783" w:type="dxa"/>
                  <w:vAlign w:val="top"/>
                </w:tcPr>
                <w:p w14:paraId="3211EFC9">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溶剂残留量/(mg/kg)</w:t>
                  </w:r>
                </w:p>
              </w:tc>
              <w:tc>
                <w:tcPr>
                  <w:tcW w:w="2834" w:type="dxa"/>
                  <w:vAlign w:val="top"/>
                </w:tcPr>
                <w:p w14:paraId="243CA700">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不得检</w:t>
                  </w:r>
                  <w:r>
                    <w:rPr>
                      <w:rFonts w:hint="eastAsia" w:eastAsia="宋体"/>
                      <w:b w:val="0"/>
                      <w:color w:val="000000" w:themeColor="text1"/>
                      <w:spacing w:val="0"/>
                      <w:position w:val="0"/>
                      <w:sz w:val="24"/>
                      <w:vertAlign w:val="baseline"/>
                      <w:lang w:val="en-US" w:eastAsia="zh-CN"/>
                      <w14:textFill>
                        <w14:solidFill>
                          <w14:schemeClr w14:val="tx1"/>
                        </w14:solidFill>
                      </w14:textFill>
                    </w:rPr>
                    <w:t>出</w:t>
                  </w:r>
                </w:p>
              </w:tc>
              <w:tc>
                <w:tcPr>
                  <w:tcW w:w="4504" w:type="dxa"/>
                  <w:vAlign w:val="top"/>
                </w:tcPr>
                <w:p w14:paraId="3BBD1875">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不得检出</w:t>
                  </w:r>
                </w:p>
              </w:tc>
            </w:tr>
            <w:tr w14:paraId="0C6B5C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7" w:hRule="atLeast"/>
              </w:trPr>
              <w:tc>
                <w:tcPr>
                  <w:tcW w:w="1783" w:type="dxa"/>
                  <w:vAlign w:val="top"/>
                </w:tcPr>
                <w:p w14:paraId="56D1649D">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过氧化值/(mmol/kg)≤</w:t>
                  </w:r>
                </w:p>
              </w:tc>
              <w:tc>
                <w:tcPr>
                  <w:tcW w:w="2834" w:type="dxa"/>
                  <w:vAlign w:val="top"/>
                </w:tcPr>
                <w:p w14:paraId="07126AC6">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6.0</w:t>
                  </w:r>
                </w:p>
              </w:tc>
              <w:tc>
                <w:tcPr>
                  <w:tcW w:w="4504" w:type="dxa"/>
                  <w:vAlign w:val="top"/>
                </w:tcPr>
                <w:p w14:paraId="39C55E27">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7.5</w:t>
                  </w:r>
                </w:p>
              </w:tc>
            </w:tr>
          </w:tbl>
          <w:p w14:paraId="3BEB5020">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（5）面粉符合 GB/T 1355-2021 执行标准；必须符合国家行业卫生标准，不得有腐烂、变质、油脂酸败、霉变、生虫、污秽不洁、混有异物或者其他感官性状异常， 并可能对人体健康有害的物质。</w:t>
            </w:r>
          </w:p>
          <w:p w14:paraId="495BD52B">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4、要求提供的食用油生产厂家信誉良好，有明确的商品标签，有生产日期、保质期、质量等级，不许以次充好、不许用转基因油料生产以假充真。如将毛油当一级或二级油进行销售，将低价位的植物油掺入高价位植物油中进行销售，牟取暴利，一经查处，投标人将承担全部责任。</w:t>
            </w:r>
          </w:p>
          <w:p w14:paraId="6693898B">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注：上述产品剩余保存期不少于原有保质期的三分之二。</w:t>
            </w:r>
          </w:p>
        </w:tc>
      </w:tr>
    </w:tbl>
    <w:p w14:paraId="72F4E658">
      <w:pPr>
        <w:pageBreakBefore w:val="0"/>
        <w:widowControl w:val="0"/>
        <w:numPr>
          <w:ilvl w:val="0"/>
          <w:numId w:val="0"/>
        </w:numPr>
        <w:wordWrap/>
        <w:overflowPunct/>
        <w:topLinePunct w:val="0"/>
        <w:bidi w:val="0"/>
        <w:spacing w:line="243" w:lineRule="auto"/>
        <w:rPr>
          <w:rFonts w:hint="default" w:eastAsia="宋体"/>
          <w:color w:val="000000" w:themeColor="text1"/>
          <w:spacing w:val="0"/>
          <w:position w:val="0"/>
          <w:lang w:val="en-US" w:eastAsia="zh-CN"/>
          <w14:textFill>
            <w14:solidFill>
              <w14:schemeClr w14:val="tx1"/>
            </w14:solidFill>
          </w14:textFill>
        </w:rPr>
      </w:pPr>
    </w:p>
    <w:p w14:paraId="762D01FC">
      <w:pPr>
        <w:keepNext w:val="0"/>
        <w:keepLines w:val="0"/>
        <w:pageBreakBefore w:val="0"/>
        <w:widowControl w:val="0"/>
        <w:kinsoku/>
        <w:wordWrap w:val="0"/>
        <w:overflowPunct/>
        <w:topLinePunct w:val="0"/>
        <w:autoSpaceDE w:val="0"/>
        <w:autoSpaceDN w:val="0"/>
        <w:bidi w:val="0"/>
        <w:adjustRightInd w:val="0"/>
        <w:snapToGrid w:val="0"/>
        <w:spacing w:line="360" w:lineRule="auto"/>
        <w:ind w:firstLine="562" w:firstLineChars="200"/>
        <w:textAlignment w:val="baseline"/>
        <w:rPr>
          <w:rFonts w:hint="eastAsia" w:eastAsia="宋体"/>
          <w:b/>
          <w:bCs/>
          <w:color w:val="000000" w:themeColor="text1"/>
          <w:spacing w:val="0"/>
          <w:position w:val="0"/>
          <w:sz w:val="28"/>
          <w:szCs w:val="28"/>
          <w:lang w:val="en-US" w:eastAsia="zh-CN"/>
          <w14:textFill>
            <w14:solidFill>
              <w14:schemeClr w14:val="tx1"/>
            </w14:solidFill>
          </w14:textFill>
        </w:rPr>
      </w:pPr>
      <w:r>
        <w:rPr>
          <w:rFonts w:hint="eastAsia" w:eastAsia="宋体"/>
          <w:b/>
          <w:bCs/>
          <w:color w:val="000000" w:themeColor="text1"/>
          <w:spacing w:val="0"/>
          <w:position w:val="0"/>
          <w:sz w:val="28"/>
          <w:szCs w:val="28"/>
          <w:lang w:val="en-US" w:eastAsia="zh-CN"/>
          <w14:textFill>
            <w14:solidFill>
              <w14:schemeClr w14:val="tx1"/>
            </w14:solidFill>
          </w14:textFill>
        </w:rPr>
        <w:t>4.调味料类</w:t>
      </w: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2"/>
        <w:gridCol w:w="606"/>
        <w:gridCol w:w="7522"/>
      </w:tblGrid>
      <w:tr w14:paraId="4B8000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22" w:type="dxa"/>
            <w:vAlign w:val="top"/>
          </w:tcPr>
          <w:p w14:paraId="5AA72B11">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序号</w:t>
            </w:r>
          </w:p>
        </w:tc>
        <w:tc>
          <w:tcPr>
            <w:tcW w:w="606" w:type="dxa"/>
            <w:vAlign w:val="top"/>
          </w:tcPr>
          <w:p w14:paraId="22D03C34">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品名</w:t>
            </w:r>
          </w:p>
        </w:tc>
        <w:tc>
          <w:tcPr>
            <w:tcW w:w="7522" w:type="dxa"/>
            <w:vAlign w:val="top"/>
          </w:tcPr>
          <w:p w14:paraId="35A4D308">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要求</w:t>
            </w:r>
          </w:p>
        </w:tc>
      </w:tr>
      <w:tr w14:paraId="09E232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2" w:type="dxa"/>
            <w:vAlign w:val="top"/>
          </w:tcPr>
          <w:p w14:paraId="7AA1494F">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1</w:t>
            </w:r>
          </w:p>
        </w:tc>
        <w:tc>
          <w:tcPr>
            <w:tcW w:w="606" w:type="dxa"/>
            <w:vAlign w:val="top"/>
          </w:tcPr>
          <w:p w14:paraId="29C8491A">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干货、盐、酱、醋、味精、鸡精及鸡蛋等</w:t>
            </w:r>
          </w:p>
        </w:tc>
        <w:tc>
          <w:tcPr>
            <w:tcW w:w="7522" w:type="dxa"/>
            <w:vAlign w:val="top"/>
          </w:tcPr>
          <w:p w14:paraId="55F2C424">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1.无霉变和无虫蛀鼠咬现象；</w:t>
            </w:r>
          </w:p>
          <w:p w14:paraId="7EC427E1">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2.无臭味，色泽正常；</w:t>
            </w:r>
          </w:p>
          <w:p w14:paraId="1C7C3662">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3.水份含量保持干菜原料的正常水平，不潮湿；</w:t>
            </w:r>
          </w:p>
          <w:p w14:paraId="00F4B333">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4.无“三无”产品，有商标，生产日期，保质期，生产地址；</w:t>
            </w:r>
          </w:p>
          <w:p w14:paraId="4F487ECB">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5.各类调味品质量基本标准要求符合国家相关行业标准。确保产品质量稳定， 保证营养丰富、绿色安全、易存放、食用方便， 保质期长。从加工、包装、运输、贮存到销售全部符合国家规定标准；</w:t>
            </w:r>
          </w:p>
          <w:p w14:paraId="7DC72B20">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6.标签标识：标明产品名称、净含量、生产者名称和地址、生产日期、保质期、产品标准号、质量等级、生产许可证号、产品批号等内容；</w:t>
            </w:r>
          </w:p>
          <w:p w14:paraId="5B55FF28">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7.酱类食品有正常酿造酱的色泽、气味和滋味，不涩，无其他不良气味，不得有酸、苦、焦糊及其它异味、异物；</w:t>
            </w:r>
          </w:p>
          <w:p w14:paraId="031EBC20">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8.糖、味精、酱油、醋、豆制品、生粉等提供本年度的产品检验报告、最近批次出厂检验报告；</w:t>
            </w:r>
          </w:p>
          <w:p w14:paraId="0E795DFD">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9.不含有转基因原材料；</w:t>
            </w:r>
          </w:p>
          <w:p w14:paraId="567C09AB">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10.辛辣料呈干燥状，具有该种香料植物所特有的色、香、味， 没有不纯正的气味和味道，无发霉味或其他异味；</w:t>
            </w:r>
          </w:p>
          <w:p w14:paraId="76EBA7F0">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11.淀粉制品有各自品种固有的形态和色泽，不酸、不粘、不发霉，无变质，无异味，无杂质，口尝无砂质；</w:t>
            </w:r>
          </w:p>
          <w:p w14:paraId="263CE4F9">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12.食盐必须晶体整齐一致，坚硬光滑，呈透明或半透明，不结块，无反卤吸潮现象，无杂质，沾取少许尝试具有纯正的咸味；</w:t>
            </w:r>
          </w:p>
          <w:p w14:paraId="6E01ADB9">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13.白糖色泽洁白明亮，有光泽，具有白糖的正常气味，无酸味、酒味或其他外来气味；</w:t>
            </w:r>
          </w:p>
          <w:p w14:paraId="0389ADE4">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14.干货类包含但不限于：木耳、紫菜、香菇、红枣、桂皮、辣椒、花椒、大茴香、小茴香、胡椒、枸杞、桂圆、花生、陈皮、葡萄干等；</w:t>
            </w:r>
          </w:p>
          <w:p w14:paraId="3D3759F8">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15.经食品检验检疫合格，调料成分符合国家卫生标准；</w:t>
            </w:r>
          </w:p>
          <w:p w14:paraId="5BE22A56">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16.符合《中华人民共和国食品安全法》相关规定；</w:t>
            </w:r>
          </w:p>
          <w:p w14:paraId="0CB2E815">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17.蛋类</w:t>
            </w:r>
          </w:p>
          <w:p w14:paraId="03548F90">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17.1 蛋壳毛糙，色泽明快，无霉斑，无污染，无血迹，无裂纹；</w:t>
            </w:r>
          </w:p>
          <w:p w14:paraId="077C5E95">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17.2 用手摇晃时，没有像稀汤一样的感觉和声音；</w:t>
            </w:r>
          </w:p>
          <w:p w14:paraId="081F116F">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17.3 攥在手中对着阳光或灯光，从食指和拇指中间能看到蛋中透出的红色光，蛋黄呈出暗影，无异常阴影；</w:t>
            </w:r>
          </w:p>
          <w:p w14:paraId="11959ADF">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17.4 蛋白透明无色，蛋黄紧密且完整，无臭味，无异味；</w:t>
            </w:r>
          </w:p>
          <w:p w14:paraId="57C38923">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注：上述产品剩余保存期不少于原有保质期的三分之二。</w:t>
            </w:r>
          </w:p>
        </w:tc>
      </w:tr>
    </w:tbl>
    <w:p w14:paraId="349E5DA1">
      <w:pPr>
        <w:pageBreakBefore w:val="0"/>
        <w:widowControl w:val="0"/>
        <w:wordWrap/>
        <w:overflowPunct/>
        <w:topLinePunct w:val="0"/>
        <w:bidi w:val="0"/>
        <w:spacing w:line="245" w:lineRule="auto"/>
        <w:rPr>
          <w:color w:val="000000" w:themeColor="text1"/>
          <w:spacing w:val="0"/>
          <w:position w:val="0"/>
          <w:lang w:eastAsia="zh-CN"/>
          <w14:textFill>
            <w14:solidFill>
              <w14:schemeClr w14:val="tx1"/>
            </w14:solidFill>
          </w14:textFill>
        </w:rPr>
      </w:pPr>
    </w:p>
    <w:p w14:paraId="057AC947">
      <w:pPr>
        <w:keepNext w:val="0"/>
        <w:keepLines w:val="0"/>
        <w:pageBreakBefore w:val="0"/>
        <w:widowControl w:val="0"/>
        <w:kinsoku/>
        <w:wordWrap w:val="0"/>
        <w:overflowPunct/>
        <w:topLinePunct w:val="0"/>
        <w:autoSpaceDE w:val="0"/>
        <w:autoSpaceDN w:val="0"/>
        <w:bidi w:val="0"/>
        <w:adjustRightInd w:val="0"/>
        <w:snapToGrid w:val="0"/>
        <w:spacing w:line="360" w:lineRule="auto"/>
        <w:ind w:firstLine="562" w:firstLineChars="200"/>
        <w:textAlignment w:val="baseline"/>
        <w:rPr>
          <w:rFonts w:hint="default" w:eastAsia="宋体"/>
          <w:b/>
          <w:bCs/>
          <w:color w:val="000000" w:themeColor="text1"/>
          <w:spacing w:val="0"/>
          <w:position w:val="0"/>
          <w:sz w:val="28"/>
          <w:szCs w:val="28"/>
          <w:lang w:val="en-US" w:eastAsia="zh-CN"/>
          <w14:textFill>
            <w14:solidFill>
              <w14:schemeClr w14:val="tx1"/>
            </w14:solidFill>
          </w14:textFill>
        </w:rPr>
      </w:pPr>
      <w:r>
        <w:rPr>
          <w:rFonts w:hint="eastAsia" w:eastAsia="宋体"/>
          <w:b/>
          <w:bCs/>
          <w:color w:val="000000" w:themeColor="text1"/>
          <w:spacing w:val="0"/>
          <w:position w:val="0"/>
          <w:sz w:val="28"/>
          <w:szCs w:val="28"/>
          <w:lang w:val="en-US" w:eastAsia="zh-CN"/>
          <w14:textFill>
            <w14:solidFill>
              <w14:schemeClr w14:val="tx1"/>
            </w14:solidFill>
          </w14:textFill>
        </w:rPr>
        <w:t>5.其他类</w:t>
      </w: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2"/>
        <w:gridCol w:w="467"/>
        <w:gridCol w:w="7661"/>
      </w:tblGrid>
      <w:tr w14:paraId="050C3A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2" w:type="dxa"/>
            <w:vAlign w:val="top"/>
          </w:tcPr>
          <w:p w14:paraId="3DC7BE03">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序号</w:t>
            </w:r>
          </w:p>
        </w:tc>
        <w:tc>
          <w:tcPr>
            <w:tcW w:w="467" w:type="dxa"/>
            <w:vAlign w:val="top"/>
          </w:tcPr>
          <w:p w14:paraId="3DD00685">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品名</w:t>
            </w:r>
          </w:p>
        </w:tc>
        <w:tc>
          <w:tcPr>
            <w:tcW w:w="7661" w:type="dxa"/>
            <w:vAlign w:val="top"/>
          </w:tcPr>
          <w:p w14:paraId="5AF7D111">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要求</w:t>
            </w:r>
          </w:p>
        </w:tc>
      </w:tr>
      <w:tr w14:paraId="2854E6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2" w:type="dxa"/>
            <w:vAlign w:val="top"/>
          </w:tcPr>
          <w:p w14:paraId="4A244118">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1</w:t>
            </w:r>
          </w:p>
        </w:tc>
        <w:tc>
          <w:tcPr>
            <w:tcW w:w="467" w:type="dxa"/>
            <w:vAlign w:val="top"/>
          </w:tcPr>
          <w:p w14:paraId="69ED0AB0">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豆制品</w:t>
            </w:r>
          </w:p>
        </w:tc>
        <w:tc>
          <w:tcPr>
            <w:tcW w:w="7661" w:type="dxa"/>
            <w:vAlign w:val="top"/>
          </w:tcPr>
          <w:p w14:paraId="7BCFB2D9">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必须符合国家行业卫生标准，不得有腐烂、变质、油脂酸败、霉变、生虫、污秽不洁、混有异物或者其他感官性状异常，并可能对人体健康有害的物质。</w:t>
            </w:r>
          </w:p>
        </w:tc>
      </w:tr>
      <w:tr w14:paraId="339245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2" w:type="dxa"/>
            <w:vAlign w:val="top"/>
          </w:tcPr>
          <w:p w14:paraId="00E5A91D">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2</w:t>
            </w:r>
          </w:p>
        </w:tc>
        <w:tc>
          <w:tcPr>
            <w:tcW w:w="467" w:type="dxa"/>
            <w:vAlign w:val="top"/>
          </w:tcPr>
          <w:p w14:paraId="0AD7996F">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水产类</w:t>
            </w:r>
          </w:p>
        </w:tc>
        <w:tc>
          <w:tcPr>
            <w:tcW w:w="7661" w:type="dxa"/>
            <w:vAlign w:val="top"/>
          </w:tcPr>
          <w:p w14:paraId="48C18868">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1 鱼眼突出，角膜清晰透明；</w:t>
            </w:r>
          </w:p>
          <w:p w14:paraId="7BFF5468">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2 体表面色鲜明，鳞片紧粘皮上；</w:t>
            </w:r>
          </w:p>
          <w:p w14:paraId="4C58638F">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3 鳃鲜红，无黏液，鳃盖禁闭易揭开，肉质坚实，有弹性，骨肉不分离；</w:t>
            </w:r>
          </w:p>
          <w:p w14:paraId="4C4563CD">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4 淡水鱼实行活鱼供应；</w:t>
            </w:r>
          </w:p>
          <w:p w14:paraId="78DC9C82">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5 有鲜鱼虾的正常腥味，无异臭味；</w:t>
            </w:r>
          </w:p>
          <w:p w14:paraId="51BE27D8">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6 符合《中华人民共和国食品安全法》及水产品检测（重金、微生物、药物残留检测等）的相关规定。</w:t>
            </w:r>
          </w:p>
        </w:tc>
      </w:tr>
    </w:tbl>
    <w:p w14:paraId="2EADDC90">
      <w:pPr>
        <w:pageBreakBefore w:val="0"/>
        <w:widowControl w:val="0"/>
        <w:numPr>
          <w:ilvl w:val="0"/>
          <w:numId w:val="0"/>
        </w:numPr>
        <w:wordWrap/>
        <w:overflowPunct/>
        <w:topLinePunct w:val="0"/>
        <w:bidi w:val="0"/>
        <w:spacing w:line="245" w:lineRule="auto"/>
        <w:ind w:leftChars="0"/>
        <w:rPr>
          <w:rFonts w:hint="eastAsia"/>
          <w:color w:val="000000" w:themeColor="text1"/>
          <w:spacing w:val="0"/>
          <w:position w:val="0"/>
          <w:lang w:val="en-US" w:eastAsia="zh-CN"/>
          <w14:textFill>
            <w14:solidFill>
              <w14:schemeClr w14:val="tx1"/>
            </w14:solidFill>
          </w14:textFill>
        </w:rPr>
      </w:pPr>
    </w:p>
    <w:p w14:paraId="44BFAB47">
      <w:pPr>
        <w:keepNext w:val="0"/>
        <w:keepLines w:val="0"/>
        <w:pageBreakBefore w:val="0"/>
        <w:widowControl w:val="0"/>
        <w:kinsoku/>
        <w:wordWrap w:val="0"/>
        <w:overflowPunct/>
        <w:topLinePunct w:val="0"/>
        <w:autoSpaceDE w:val="0"/>
        <w:autoSpaceDN w:val="0"/>
        <w:bidi w:val="0"/>
        <w:adjustRightInd w:val="0"/>
        <w:snapToGrid w:val="0"/>
        <w:spacing w:line="360" w:lineRule="auto"/>
        <w:ind w:firstLine="562" w:firstLineChars="200"/>
        <w:textAlignment w:val="baseline"/>
        <w:rPr>
          <w:rFonts w:hint="eastAsia" w:eastAsia="宋体"/>
          <w:b/>
          <w:bCs/>
          <w:color w:val="000000" w:themeColor="text1"/>
          <w:spacing w:val="0"/>
          <w:position w:val="0"/>
          <w:sz w:val="28"/>
          <w:szCs w:val="28"/>
          <w:lang w:val="en-US" w:eastAsia="zh-CN"/>
          <w14:textFill>
            <w14:solidFill>
              <w14:schemeClr w14:val="tx1"/>
            </w14:solidFill>
          </w14:textFill>
        </w:rPr>
      </w:pPr>
      <w:r>
        <w:rPr>
          <w:rFonts w:hint="eastAsia" w:eastAsia="宋体"/>
          <w:b/>
          <w:bCs/>
          <w:color w:val="000000" w:themeColor="text1"/>
          <w:spacing w:val="0"/>
          <w:position w:val="0"/>
          <w:sz w:val="28"/>
          <w:szCs w:val="28"/>
          <w:lang w:val="en-US" w:eastAsia="zh-CN"/>
          <w14:textFill>
            <w14:solidFill>
              <w14:schemeClr w14:val="tx1"/>
            </w14:solidFill>
          </w14:textFill>
        </w:rPr>
        <w:t>6.早餐类</w:t>
      </w:r>
    </w:p>
    <w:tbl>
      <w:tblPr>
        <w:tblStyle w:val="16"/>
        <w:tblpPr w:leftFromText="180" w:rightFromText="180" w:vertAnchor="text" w:horzAnchor="page" w:tblpX="1989" w:tblpY="222"/>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2"/>
        <w:gridCol w:w="467"/>
        <w:gridCol w:w="7661"/>
      </w:tblGrid>
      <w:tr w14:paraId="18423D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2" w:type="dxa"/>
            <w:vAlign w:val="top"/>
          </w:tcPr>
          <w:p w14:paraId="17482530">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序号</w:t>
            </w:r>
          </w:p>
        </w:tc>
        <w:tc>
          <w:tcPr>
            <w:tcW w:w="467" w:type="dxa"/>
            <w:vAlign w:val="top"/>
          </w:tcPr>
          <w:p w14:paraId="396AAA46">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品名</w:t>
            </w:r>
          </w:p>
        </w:tc>
        <w:tc>
          <w:tcPr>
            <w:tcW w:w="7661" w:type="dxa"/>
            <w:vAlign w:val="top"/>
          </w:tcPr>
          <w:p w14:paraId="66661DC4">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要求</w:t>
            </w:r>
          </w:p>
        </w:tc>
      </w:tr>
      <w:tr w14:paraId="7FCBD4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2" w:type="dxa"/>
            <w:vAlign w:val="top"/>
          </w:tcPr>
          <w:p w14:paraId="4477037F">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1</w:t>
            </w:r>
          </w:p>
        </w:tc>
        <w:tc>
          <w:tcPr>
            <w:tcW w:w="467" w:type="dxa"/>
            <w:vAlign w:val="top"/>
          </w:tcPr>
          <w:p w14:paraId="5EB249A3">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default" w:eastAsia="宋体"/>
                <w:b w:val="0"/>
                <w:color w:val="000000" w:themeColor="text1"/>
                <w:spacing w:val="0"/>
                <w:position w:val="0"/>
                <w:sz w:val="24"/>
                <w:vertAlign w:val="baseline"/>
                <w:lang w:val="en-US" w:eastAsia="zh-CN"/>
                <w14:textFill>
                  <w14:solidFill>
                    <w14:schemeClr w14:val="tx1"/>
                  </w14:solidFill>
                </w14:textFill>
              </w:rPr>
              <w:t>包子、饺子、糕点、米粉、米面等</w:t>
            </w:r>
          </w:p>
        </w:tc>
        <w:tc>
          <w:tcPr>
            <w:tcW w:w="7661" w:type="dxa"/>
            <w:vAlign w:val="top"/>
          </w:tcPr>
          <w:p w14:paraId="3561D3F4">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1、食品安全标准</w:t>
            </w:r>
          </w:p>
          <w:p w14:paraId="4F5CD338">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符合国家《食品安全国家标准预包装食品通则》 (GB7718)、《食品添加剂使用标准》(GB2760)等。禁止使用防腐剂(如苯甲酸钠)、人工合成色素 (如胭脂红)等高风险添加剂 (儿童食品严格限制)。</w:t>
            </w:r>
          </w:p>
          <w:p w14:paraId="0BAA8D0D">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2、微生物指标</w:t>
            </w:r>
          </w:p>
          <w:p w14:paraId="2B1F3A98">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菌落总数、大肠菌群、霉菌等需符合《GB29921-2021食品安全国家标准预包装食品中致病菌限量》。</w:t>
            </w:r>
          </w:p>
          <w:p w14:paraId="593C67AA">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3、包装材料</w:t>
            </w:r>
          </w:p>
          <w:p w14:paraId="2F0B9380">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食品级包装，符合《GB4806.7-2016 食品接触用塑料材料及制品》要求， 无毒、耐高温(如蒸制包子需耐 100℃以上)。</w:t>
            </w:r>
          </w:p>
          <w:p w14:paraId="3C44B5B7">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4、营养成分要求</w:t>
            </w:r>
          </w:p>
          <w:p w14:paraId="5A353590">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4.1 能量与营养素</w:t>
            </w:r>
          </w:p>
          <w:p w14:paraId="2387B941">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包子/饺子：蛋白质≥5g/100g,脂肪≤10g/100g,碳水化合物适中(建议20-30g/100g)。糕点：糖含量≤15g/100g(建议低糖版),反式脂肪酸≤0.3g/100g。</w:t>
            </w:r>
          </w:p>
          <w:p w14:paraId="0B4BB902">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优先选用全谷物、杂粮原料 (如燕麦、玉米粉等)。</w:t>
            </w:r>
          </w:p>
          <w:p w14:paraId="46DFA72F">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4.2 钠含量控制</w:t>
            </w:r>
          </w:p>
          <w:p w14:paraId="01563129">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适合儿童摄入量，建议钠≤300mg/100g(或符合《学生餐营养指南》 WS/T554-2017)。</w:t>
            </w:r>
          </w:p>
          <w:p w14:paraId="24788AA7">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5、原料与工艺要求</w:t>
            </w:r>
          </w:p>
          <w:p w14:paraId="4796B219">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5.1 原料品质</w:t>
            </w:r>
          </w:p>
          <w:p w14:paraId="70ADD94F">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肉类：需检疫合格证明，禁止使用复冻肉、边角料。</w:t>
            </w:r>
          </w:p>
          <w:p w14:paraId="412CB507">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蔬菜：新鲜或速冻蔬菜，避免亚硝酸盐超标。</w:t>
            </w:r>
          </w:p>
          <w:p w14:paraId="05E76714">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油脂：使用非氢化植物油，避免棕榈油过量。</w:t>
            </w:r>
          </w:p>
          <w:p w14:paraId="62795055">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5.2 加工工艺</w:t>
            </w:r>
          </w:p>
          <w:p w14:paraId="3B03DE54">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糕点建议烘焙而非油炸，减少丙烯酰胺生成。</w:t>
            </w:r>
          </w:p>
          <w:p w14:paraId="3E6629CC">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速冻饺子/包子的中心温度需在-18℃以下储存，复热后中心温度≥70℃。</w:t>
            </w:r>
          </w:p>
          <w:p w14:paraId="143EB31A">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6.包装与标签</w:t>
            </w:r>
          </w:p>
          <w:p w14:paraId="54626B21">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6.1 标签信息</w:t>
            </w:r>
          </w:p>
          <w:p w14:paraId="493D6611">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明确标注生产日期、保质期、贮存条件、配料表 (按降序排列)、过敏原(如含麸质、乳制品等)。</w:t>
            </w:r>
          </w:p>
          <w:p w14:paraId="69E1C4E7">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6.2 分装要求</w:t>
            </w:r>
          </w:p>
          <w:p w14:paraId="10B807B2">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独立小包装 (单份包子/糕点克重建议 80-120g),便于分发且减少污染。</w:t>
            </w:r>
          </w:p>
          <w:p w14:paraId="7B52E1EE">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6.3 必须符合国家行业卫生标准，不得有腐烂、变质、油脂酸败、霉变、生虫、污秽不洁、混有异物或者其他感官性状异常，并可能对人体健康有害的物质。</w:t>
            </w:r>
          </w:p>
          <w:p w14:paraId="480B44A2">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注：上述产品剩保存期不少于原有保质期的三分之二。</w:t>
            </w:r>
          </w:p>
        </w:tc>
      </w:tr>
    </w:tbl>
    <w:p w14:paraId="7C4DF315">
      <w:pPr>
        <w:keepNext w:val="0"/>
        <w:keepLines w:val="0"/>
        <w:pageBreakBefore w:val="0"/>
        <w:widowControl w:val="0"/>
        <w:kinsoku/>
        <w:wordWrap w:val="0"/>
        <w:overflowPunct/>
        <w:topLinePunct w:val="0"/>
        <w:autoSpaceDE w:val="0"/>
        <w:autoSpaceDN w:val="0"/>
        <w:bidi w:val="0"/>
        <w:adjustRightInd w:val="0"/>
        <w:snapToGrid w:val="0"/>
        <w:spacing w:line="360" w:lineRule="auto"/>
        <w:ind w:firstLine="560" w:firstLineChars="200"/>
        <w:textAlignment w:val="baseline"/>
        <w:rPr>
          <w:rFonts w:hint="eastAsia" w:eastAsia="宋体"/>
          <w:color w:val="000000" w:themeColor="text1"/>
          <w:spacing w:val="0"/>
          <w:position w:val="0"/>
          <w:sz w:val="28"/>
          <w:szCs w:val="28"/>
          <w:lang w:val="en-US" w:eastAsia="zh-CN"/>
          <w14:textFill>
            <w14:solidFill>
              <w14:schemeClr w14:val="tx1"/>
            </w14:solidFill>
          </w14:textFill>
        </w:rPr>
      </w:pPr>
      <w:r>
        <w:rPr>
          <w:rFonts w:hint="eastAsia" w:eastAsia="宋体"/>
          <w:color w:val="000000" w:themeColor="text1"/>
          <w:spacing w:val="0"/>
          <w:position w:val="0"/>
          <w:sz w:val="28"/>
          <w:szCs w:val="28"/>
          <w:lang w:val="en-US" w:eastAsia="zh-CN"/>
          <w14:textFill>
            <w14:solidFill>
              <w14:schemeClr w14:val="tx1"/>
            </w14:solidFill>
          </w14:textFill>
        </w:rPr>
        <w:t>注：其它未概括完整的食品，因临时需要，应保证食材干净、不含非食品用化学物质，结算价格应按照中标折扣率进行结算。</w:t>
      </w:r>
    </w:p>
    <w:p w14:paraId="1FF85774">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eastAsia="宋体"/>
          <w:b/>
          <w:bCs/>
          <w:color w:val="000000" w:themeColor="text1"/>
          <w:spacing w:val="0"/>
          <w:position w:val="0"/>
          <w:sz w:val="28"/>
          <w:lang w:val="en-US" w:eastAsia="zh-CN"/>
          <w14:textFill>
            <w14:solidFill>
              <w14:schemeClr w14:val="tx1"/>
            </w14:solidFill>
          </w14:textFill>
        </w:rPr>
      </w:pPr>
      <w:r>
        <w:rPr>
          <w:rFonts w:hint="eastAsia" w:eastAsia="宋体"/>
          <w:b/>
          <w:bCs/>
          <w:color w:val="000000" w:themeColor="text1"/>
          <w:spacing w:val="0"/>
          <w:position w:val="0"/>
          <w:sz w:val="28"/>
          <w:lang w:val="en-US" w:eastAsia="zh-CN"/>
          <w14:textFill>
            <w14:solidFill>
              <w14:schemeClr w14:val="tx1"/>
            </w14:solidFill>
          </w14:textFill>
        </w:rPr>
        <w:t>四、配送要求</w:t>
      </w:r>
    </w:p>
    <w:p w14:paraId="779B261F">
      <w:pPr>
        <w:keepNext w:val="0"/>
        <w:keepLines w:val="0"/>
        <w:pageBreakBefore w:val="0"/>
        <w:widowControl w:val="0"/>
        <w:kinsoku/>
        <w:wordWrap w:val="0"/>
        <w:overflowPunct/>
        <w:topLinePunct w:val="0"/>
        <w:autoSpaceDE w:val="0"/>
        <w:autoSpaceDN w:val="0"/>
        <w:bidi w:val="0"/>
        <w:adjustRightInd w:val="0"/>
        <w:snapToGrid w:val="0"/>
        <w:spacing w:line="360" w:lineRule="auto"/>
        <w:ind w:firstLine="560" w:firstLineChars="200"/>
        <w:textAlignment w:val="baseline"/>
        <w:rPr>
          <w:rFonts w:hint="eastAsia" w:eastAsia="宋体"/>
          <w:color w:val="000000" w:themeColor="text1"/>
          <w:spacing w:val="0"/>
          <w:position w:val="0"/>
          <w:sz w:val="28"/>
          <w:szCs w:val="28"/>
          <w:lang w:val="en-US" w:eastAsia="zh-CN"/>
          <w14:textFill>
            <w14:solidFill>
              <w14:schemeClr w14:val="tx1"/>
            </w14:solidFill>
          </w14:textFill>
        </w:rPr>
      </w:pPr>
      <w:r>
        <w:rPr>
          <w:rFonts w:hint="eastAsia" w:eastAsia="宋体"/>
          <w:color w:val="000000" w:themeColor="text1"/>
          <w:spacing w:val="0"/>
          <w:position w:val="0"/>
          <w:sz w:val="28"/>
          <w:szCs w:val="28"/>
          <w:lang w:val="en-US" w:eastAsia="zh-CN"/>
          <w14:textFill>
            <w14:solidFill>
              <w14:schemeClr w14:val="tx1"/>
            </w14:solidFill>
          </w14:textFill>
        </w:rPr>
        <w:t>1、配送地址：采购人指定地点。</w:t>
      </w:r>
    </w:p>
    <w:p w14:paraId="0145A447">
      <w:pPr>
        <w:keepNext w:val="0"/>
        <w:keepLines w:val="0"/>
        <w:pageBreakBefore w:val="0"/>
        <w:widowControl w:val="0"/>
        <w:kinsoku/>
        <w:wordWrap w:val="0"/>
        <w:overflowPunct/>
        <w:topLinePunct w:val="0"/>
        <w:autoSpaceDE w:val="0"/>
        <w:autoSpaceDN w:val="0"/>
        <w:bidi w:val="0"/>
        <w:adjustRightInd w:val="0"/>
        <w:snapToGrid w:val="0"/>
        <w:spacing w:line="360" w:lineRule="auto"/>
        <w:ind w:firstLine="560" w:firstLineChars="200"/>
        <w:textAlignment w:val="baseline"/>
        <w:rPr>
          <w:rFonts w:hint="eastAsia" w:eastAsia="宋体"/>
          <w:color w:val="000000" w:themeColor="text1"/>
          <w:spacing w:val="0"/>
          <w:position w:val="0"/>
          <w:sz w:val="28"/>
          <w:szCs w:val="28"/>
          <w:lang w:val="en-US" w:eastAsia="zh-CN"/>
          <w14:textFill>
            <w14:solidFill>
              <w14:schemeClr w14:val="tx1"/>
            </w14:solidFill>
          </w14:textFill>
        </w:rPr>
      </w:pPr>
      <w:r>
        <w:rPr>
          <w:rFonts w:hint="eastAsia" w:eastAsia="宋体"/>
          <w:color w:val="000000" w:themeColor="text1"/>
          <w:spacing w:val="0"/>
          <w:position w:val="0"/>
          <w:sz w:val="28"/>
          <w:szCs w:val="28"/>
          <w:lang w:val="en-US" w:eastAsia="zh-CN"/>
          <w14:textFill>
            <w14:solidFill>
              <w14:schemeClr w14:val="tx1"/>
            </w14:solidFill>
          </w14:textFill>
        </w:rPr>
        <w:t>2、配送方式：中标人提供供货上门服务，计划内与临时采购并存。</w:t>
      </w:r>
    </w:p>
    <w:p w14:paraId="73D0433C">
      <w:pPr>
        <w:keepNext w:val="0"/>
        <w:keepLines w:val="0"/>
        <w:pageBreakBefore w:val="0"/>
        <w:widowControl w:val="0"/>
        <w:kinsoku/>
        <w:wordWrap w:val="0"/>
        <w:overflowPunct/>
        <w:topLinePunct w:val="0"/>
        <w:autoSpaceDE w:val="0"/>
        <w:autoSpaceDN w:val="0"/>
        <w:bidi w:val="0"/>
        <w:adjustRightInd w:val="0"/>
        <w:snapToGrid w:val="0"/>
        <w:spacing w:line="360" w:lineRule="auto"/>
        <w:ind w:firstLine="560" w:firstLineChars="200"/>
        <w:textAlignment w:val="baseline"/>
        <w:rPr>
          <w:rFonts w:hint="eastAsia" w:eastAsia="宋体"/>
          <w:color w:val="000000" w:themeColor="text1"/>
          <w:spacing w:val="0"/>
          <w:position w:val="0"/>
          <w:sz w:val="28"/>
          <w:szCs w:val="28"/>
          <w:lang w:val="en-US" w:eastAsia="zh-CN"/>
          <w14:textFill>
            <w14:solidFill>
              <w14:schemeClr w14:val="tx1"/>
            </w14:solidFill>
          </w14:textFill>
        </w:rPr>
      </w:pPr>
      <w:r>
        <w:rPr>
          <w:rFonts w:hint="eastAsia" w:eastAsia="宋体"/>
          <w:color w:val="000000" w:themeColor="text1"/>
          <w:spacing w:val="0"/>
          <w:position w:val="0"/>
          <w:sz w:val="28"/>
          <w:szCs w:val="28"/>
          <w:lang w:val="en-US" w:eastAsia="zh-CN"/>
          <w14:textFill>
            <w14:solidFill>
              <w14:schemeClr w14:val="tx1"/>
            </w14:solidFill>
          </w14:textFill>
        </w:rPr>
        <w:t>3、配送时间：每天上午 5:00~8:00（含国家法定节假日），中标人如送货迟到超过 30 分钟，采购人有权收取当天总货款的 10%作为违约金（违约金在货款结算支付时扣除）。备注：如遇特殊情况，采购人需要临时增加供货的，中标人须在 2 个小时内配送至采购人指定地点。</w:t>
      </w:r>
    </w:p>
    <w:p w14:paraId="630CA0D0">
      <w:pPr>
        <w:keepNext w:val="0"/>
        <w:keepLines w:val="0"/>
        <w:pageBreakBefore w:val="0"/>
        <w:widowControl w:val="0"/>
        <w:kinsoku/>
        <w:wordWrap w:val="0"/>
        <w:overflowPunct/>
        <w:topLinePunct w:val="0"/>
        <w:autoSpaceDE w:val="0"/>
        <w:autoSpaceDN w:val="0"/>
        <w:bidi w:val="0"/>
        <w:adjustRightInd w:val="0"/>
        <w:snapToGrid w:val="0"/>
        <w:spacing w:line="360" w:lineRule="auto"/>
        <w:ind w:firstLine="560" w:firstLineChars="200"/>
        <w:textAlignment w:val="baseline"/>
        <w:rPr>
          <w:rFonts w:hint="default" w:eastAsia="宋体"/>
          <w:color w:val="000000" w:themeColor="text1"/>
          <w:spacing w:val="0"/>
          <w:position w:val="0"/>
          <w:sz w:val="28"/>
          <w:szCs w:val="28"/>
          <w:lang w:val="en-US" w:eastAsia="zh-CN"/>
          <w14:textFill>
            <w14:solidFill>
              <w14:schemeClr w14:val="tx1"/>
            </w14:solidFill>
          </w14:textFill>
        </w:rPr>
      </w:pPr>
      <w:r>
        <w:rPr>
          <w:rFonts w:hint="eastAsia" w:eastAsia="宋体"/>
          <w:color w:val="000000" w:themeColor="text1"/>
          <w:spacing w:val="0"/>
          <w:position w:val="0"/>
          <w:sz w:val="28"/>
          <w:szCs w:val="28"/>
          <w:lang w:val="en-US" w:eastAsia="zh-CN"/>
          <w14:textFill>
            <w14:solidFill>
              <w14:schemeClr w14:val="tx1"/>
            </w14:solidFill>
          </w14:textFill>
        </w:rPr>
        <w:t>4</w:t>
      </w:r>
      <w:r>
        <w:rPr>
          <w:rFonts w:hint="default" w:eastAsia="宋体"/>
          <w:color w:val="000000" w:themeColor="text1"/>
          <w:spacing w:val="0"/>
          <w:position w:val="0"/>
          <w:sz w:val="28"/>
          <w:szCs w:val="28"/>
          <w:lang w:val="en-US" w:eastAsia="zh-CN"/>
          <w14:textFill>
            <w14:solidFill>
              <w14:schemeClr w14:val="tx1"/>
            </w14:solidFill>
          </w14:textFill>
        </w:rPr>
        <w:t xml:space="preserve">、如果采购人发现中标人送货的货物质量有问题，有权要求中标人对有问题的货物立刻进行更换，中标人必须在接到采购人通知后 </w:t>
      </w:r>
      <w:r>
        <w:rPr>
          <w:rFonts w:hint="eastAsia" w:eastAsia="宋体"/>
          <w:color w:val="000000" w:themeColor="text1"/>
          <w:spacing w:val="0"/>
          <w:position w:val="0"/>
          <w:sz w:val="28"/>
          <w:szCs w:val="28"/>
          <w:lang w:val="en-US" w:eastAsia="zh-CN"/>
          <w14:textFill>
            <w14:solidFill>
              <w14:schemeClr w14:val="tx1"/>
            </w14:solidFill>
          </w14:textFill>
        </w:rPr>
        <w:t>120</w:t>
      </w:r>
      <w:r>
        <w:rPr>
          <w:rFonts w:hint="default" w:eastAsia="宋体"/>
          <w:color w:val="000000" w:themeColor="text1"/>
          <w:spacing w:val="0"/>
          <w:position w:val="0"/>
          <w:sz w:val="28"/>
          <w:szCs w:val="28"/>
          <w:lang w:val="en-US" w:eastAsia="zh-CN"/>
          <w14:textFill>
            <w14:solidFill>
              <w14:schemeClr w14:val="tx1"/>
            </w14:solidFill>
          </w14:textFill>
        </w:rPr>
        <w:t xml:space="preserve"> 分钟内对有问题的货物进行更换并交到采购人指定地点，超过 </w:t>
      </w:r>
      <w:r>
        <w:rPr>
          <w:rFonts w:hint="eastAsia" w:eastAsia="宋体"/>
          <w:color w:val="000000" w:themeColor="text1"/>
          <w:spacing w:val="0"/>
          <w:position w:val="0"/>
          <w:sz w:val="28"/>
          <w:szCs w:val="28"/>
          <w:lang w:val="en-US" w:eastAsia="zh-CN"/>
          <w14:textFill>
            <w14:solidFill>
              <w14:schemeClr w14:val="tx1"/>
            </w14:solidFill>
          </w14:textFill>
        </w:rPr>
        <w:t>120</w:t>
      </w:r>
      <w:r>
        <w:rPr>
          <w:rFonts w:hint="default" w:eastAsia="宋体"/>
          <w:color w:val="000000" w:themeColor="text1"/>
          <w:spacing w:val="0"/>
          <w:position w:val="0"/>
          <w:sz w:val="28"/>
          <w:szCs w:val="28"/>
          <w:lang w:val="en-US" w:eastAsia="zh-CN"/>
          <w14:textFill>
            <w14:solidFill>
              <w14:schemeClr w14:val="tx1"/>
            </w14:solidFill>
          </w14:textFill>
        </w:rPr>
        <w:t xml:space="preserve"> 分钟，采购人有权收取当天总货款的 10%作为违约金。</w:t>
      </w:r>
    </w:p>
    <w:p w14:paraId="4DB90C77">
      <w:pPr>
        <w:keepNext w:val="0"/>
        <w:keepLines w:val="0"/>
        <w:pageBreakBefore w:val="0"/>
        <w:widowControl w:val="0"/>
        <w:kinsoku/>
        <w:wordWrap w:val="0"/>
        <w:overflowPunct/>
        <w:topLinePunct w:val="0"/>
        <w:autoSpaceDE w:val="0"/>
        <w:autoSpaceDN w:val="0"/>
        <w:bidi w:val="0"/>
        <w:adjustRightInd w:val="0"/>
        <w:snapToGrid w:val="0"/>
        <w:spacing w:line="360" w:lineRule="auto"/>
        <w:ind w:firstLine="560" w:firstLineChars="200"/>
        <w:textAlignment w:val="baseline"/>
        <w:rPr>
          <w:rFonts w:hint="default" w:eastAsia="宋体"/>
          <w:color w:val="000000" w:themeColor="text1"/>
          <w:spacing w:val="0"/>
          <w:position w:val="0"/>
          <w:sz w:val="28"/>
          <w:szCs w:val="28"/>
          <w:lang w:val="en-US" w:eastAsia="zh-CN"/>
          <w14:textFill>
            <w14:solidFill>
              <w14:schemeClr w14:val="tx1"/>
            </w14:solidFill>
          </w14:textFill>
        </w:rPr>
      </w:pPr>
      <w:r>
        <w:rPr>
          <w:rFonts w:hint="eastAsia" w:eastAsia="宋体"/>
          <w:color w:val="000000" w:themeColor="text1"/>
          <w:spacing w:val="0"/>
          <w:position w:val="0"/>
          <w:sz w:val="28"/>
          <w:szCs w:val="28"/>
          <w:lang w:val="en-US" w:eastAsia="zh-CN"/>
          <w14:textFill>
            <w14:solidFill>
              <w14:schemeClr w14:val="tx1"/>
            </w14:solidFill>
          </w14:textFill>
        </w:rPr>
        <w:t>5</w:t>
      </w:r>
      <w:r>
        <w:rPr>
          <w:rFonts w:hint="default" w:eastAsia="宋体"/>
          <w:color w:val="000000" w:themeColor="text1"/>
          <w:spacing w:val="0"/>
          <w:position w:val="0"/>
          <w:sz w:val="28"/>
          <w:szCs w:val="28"/>
          <w:lang w:val="en-US" w:eastAsia="zh-CN"/>
          <w14:textFill>
            <w14:solidFill>
              <w14:schemeClr w14:val="tx1"/>
            </w14:solidFill>
          </w14:textFill>
        </w:rPr>
        <w:t>、数量要求。保证配送品种斤两的准确性，以采购人的验收数量为准，中标人每次随货送上电脑打印的一式三份的送货清单，供双方验货后签字确认，双方各持一份，作为送、收货的凭证。</w:t>
      </w:r>
    </w:p>
    <w:p w14:paraId="5EA5B9E2">
      <w:pPr>
        <w:keepNext w:val="0"/>
        <w:keepLines w:val="0"/>
        <w:pageBreakBefore w:val="0"/>
        <w:widowControl w:val="0"/>
        <w:kinsoku/>
        <w:wordWrap w:val="0"/>
        <w:overflowPunct/>
        <w:topLinePunct w:val="0"/>
        <w:autoSpaceDE w:val="0"/>
        <w:autoSpaceDN w:val="0"/>
        <w:bidi w:val="0"/>
        <w:adjustRightInd w:val="0"/>
        <w:snapToGrid w:val="0"/>
        <w:spacing w:line="360" w:lineRule="auto"/>
        <w:ind w:firstLine="560" w:firstLineChars="200"/>
        <w:textAlignment w:val="baseline"/>
        <w:rPr>
          <w:rFonts w:hint="eastAsia" w:eastAsia="宋体"/>
          <w:color w:val="000000" w:themeColor="text1"/>
          <w:spacing w:val="0"/>
          <w:position w:val="0"/>
          <w:sz w:val="28"/>
          <w:szCs w:val="28"/>
          <w:lang w:val="en-US" w:eastAsia="zh-CN"/>
          <w14:textFill>
            <w14:solidFill>
              <w14:schemeClr w14:val="tx1"/>
            </w14:solidFill>
          </w14:textFill>
        </w:rPr>
      </w:pPr>
      <w:r>
        <w:rPr>
          <w:rFonts w:hint="eastAsia" w:eastAsia="宋体"/>
          <w:color w:val="000000" w:themeColor="text1"/>
          <w:spacing w:val="0"/>
          <w:position w:val="0"/>
          <w:sz w:val="28"/>
          <w:szCs w:val="28"/>
          <w:lang w:val="en-US" w:eastAsia="zh-CN"/>
          <w14:textFill>
            <w14:solidFill>
              <w14:schemeClr w14:val="tx1"/>
            </w14:solidFill>
          </w14:textFill>
        </w:rPr>
        <w:t xml:space="preserve">6、配送及相关服务要求： </w:t>
      </w:r>
    </w:p>
    <w:p w14:paraId="14DE0753">
      <w:pPr>
        <w:keepNext w:val="0"/>
        <w:keepLines w:val="0"/>
        <w:pageBreakBefore w:val="0"/>
        <w:widowControl w:val="0"/>
        <w:kinsoku/>
        <w:wordWrap w:val="0"/>
        <w:overflowPunct/>
        <w:topLinePunct w:val="0"/>
        <w:autoSpaceDE w:val="0"/>
        <w:autoSpaceDN w:val="0"/>
        <w:bidi w:val="0"/>
        <w:adjustRightInd w:val="0"/>
        <w:snapToGrid w:val="0"/>
        <w:spacing w:line="360" w:lineRule="auto"/>
        <w:ind w:firstLine="560" w:firstLineChars="200"/>
        <w:textAlignment w:val="baseline"/>
        <w:rPr>
          <w:rFonts w:hint="eastAsia" w:eastAsia="宋体"/>
          <w:color w:val="000000" w:themeColor="text1"/>
          <w:spacing w:val="0"/>
          <w:position w:val="0"/>
          <w:sz w:val="28"/>
          <w:szCs w:val="28"/>
          <w:lang w:val="en-US" w:eastAsia="zh-CN"/>
          <w14:textFill>
            <w14:solidFill>
              <w14:schemeClr w14:val="tx1"/>
            </w14:solidFill>
          </w14:textFill>
        </w:rPr>
      </w:pPr>
      <w:r>
        <w:rPr>
          <w:rFonts w:hint="eastAsia" w:eastAsia="宋体"/>
          <w:color w:val="000000" w:themeColor="text1"/>
          <w:spacing w:val="0"/>
          <w:position w:val="0"/>
          <w:sz w:val="28"/>
          <w:szCs w:val="28"/>
          <w:lang w:val="en-US" w:eastAsia="zh-CN"/>
          <w14:textFill>
            <w14:solidFill>
              <w14:schemeClr w14:val="tx1"/>
            </w14:solidFill>
          </w14:textFill>
        </w:rPr>
        <w:t>（1）中标人为本项目配备服务人员（包括但不限于项目负责人、司机、财务人员、配送员、跟单员、质量安全检测人员）。因采购人配送地点较多、货物采购数量无法准确预估，中标人须保证拟投入本项目配送安排不少于 4 名配送员专门负责货物配送。</w:t>
      </w:r>
    </w:p>
    <w:p w14:paraId="060A0017">
      <w:pPr>
        <w:keepNext w:val="0"/>
        <w:keepLines w:val="0"/>
        <w:pageBreakBefore w:val="0"/>
        <w:widowControl w:val="0"/>
        <w:kinsoku/>
        <w:wordWrap w:val="0"/>
        <w:overflowPunct/>
        <w:topLinePunct w:val="0"/>
        <w:autoSpaceDE w:val="0"/>
        <w:autoSpaceDN w:val="0"/>
        <w:bidi w:val="0"/>
        <w:adjustRightInd w:val="0"/>
        <w:snapToGrid w:val="0"/>
        <w:spacing w:line="360" w:lineRule="auto"/>
        <w:ind w:firstLine="560" w:firstLineChars="200"/>
        <w:textAlignment w:val="baseline"/>
        <w:rPr>
          <w:rFonts w:hint="eastAsia" w:eastAsia="宋体"/>
          <w:color w:val="000000" w:themeColor="text1"/>
          <w:spacing w:val="0"/>
          <w:position w:val="0"/>
          <w:sz w:val="28"/>
          <w:szCs w:val="28"/>
          <w:lang w:val="en-US" w:eastAsia="zh-CN"/>
          <w14:textFill>
            <w14:solidFill>
              <w14:schemeClr w14:val="tx1"/>
            </w14:solidFill>
          </w14:textFill>
        </w:rPr>
      </w:pPr>
      <w:r>
        <w:rPr>
          <w:rFonts w:hint="eastAsia" w:eastAsia="宋体"/>
          <w:color w:val="000000" w:themeColor="text1"/>
          <w:spacing w:val="0"/>
          <w:position w:val="0"/>
          <w:sz w:val="28"/>
          <w:szCs w:val="28"/>
          <w:lang w:val="en-US" w:eastAsia="zh-CN"/>
          <w14:textFill>
            <w14:solidFill>
              <w14:schemeClr w14:val="tx1"/>
            </w14:solidFill>
          </w14:textFill>
        </w:rPr>
        <w:t>（2）中标人为本项目配备的配送员须过政审无犯罪记录，持有有效的健康证明，配送团队人员需稳定不得随意变更人员，首次供货时须提供给采购人进行备案存档，如有人员调整或更换，中标人亦须补充替换或新增配送员相关证明予采购人进行备案存档。</w:t>
      </w:r>
    </w:p>
    <w:p w14:paraId="2E30A3D9">
      <w:pPr>
        <w:keepNext w:val="0"/>
        <w:keepLines w:val="0"/>
        <w:pageBreakBefore w:val="0"/>
        <w:widowControl w:val="0"/>
        <w:kinsoku/>
        <w:wordWrap w:val="0"/>
        <w:overflowPunct/>
        <w:topLinePunct w:val="0"/>
        <w:autoSpaceDE w:val="0"/>
        <w:autoSpaceDN w:val="0"/>
        <w:bidi w:val="0"/>
        <w:adjustRightInd w:val="0"/>
        <w:snapToGrid w:val="0"/>
        <w:spacing w:line="360" w:lineRule="auto"/>
        <w:ind w:firstLine="560" w:firstLineChars="200"/>
        <w:textAlignment w:val="baseline"/>
        <w:rPr>
          <w:rFonts w:hint="eastAsia" w:eastAsia="宋体"/>
          <w:color w:val="000000" w:themeColor="text1"/>
          <w:spacing w:val="0"/>
          <w:position w:val="0"/>
          <w:sz w:val="28"/>
          <w:szCs w:val="28"/>
          <w:lang w:val="en-US" w:eastAsia="zh-CN"/>
          <w14:textFill>
            <w14:solidFill>
              <w14:schemeClr w14:val="tx1"/>
            </w14:solidFill>
          </w14:textFill>
        </w:rPr>
      </w:pPr>
      <w:r>
        <w:rPr>
          <w:rFonts w:hint="eastAsia" w:eastAsia="宋体"/>
          <w:color w:val="000000" w:themeColor="text1"/>
          <w:spacing w:val="0"/>
          <w:position w:val="0"/>
          <w:sz w:val="28"/>
          <w:szCs w:val="28"/>
          <w:lang w:val="en-US" w:eastAsia="zh-CN"/>
          <w14:textFill>
            <w14:solidFill>
              <w14:schemeClr w14:val="tx1"/>
            </w14:solidFill>
          </w14:textFill>
        </w:rPr>
        <w:t>（3）中标人应对配送的货物质量进行把控，设立食材检验检测室，配备相应的食材快检设备，具备对食材检测的能力，在配送前应对货物进行全面检测、检查，在检查合格后，由中标人配送至采购人指定地点，由双方进行验收和签字确认。</w:t>
      </w:r>
    </w:p>
    <w:p w14:paraId="4AF0B008">
      <w:pPr>
        <w:keepNext w:val="0"/>
        <w:keepLines w:val="0"/>
        <w:pageBreakBefore w:val="0"/>
        <w:widowControl w:val="0"/>
        <w:kinsoku/>
        <w:wordWrap w:val="0"/>
        <w:overflowPunct/>
        <w:topLinePunct w:val="0"/>
        <w:autoSpaceDE w:val="0"/>
        <w:autoSpaceDN w:val="0"/>
        <w:bidi w:val="0"/>
        <w:adjustRightInd w:val="0"/>
        <w:snapToGrid w:val="0"/>
        <w:spacing w:line="360" w:lineRule="auto"/>
        <w:ind w:firstLine="562" w:firstLineChars="200"/>
        <w:textAlignment w:val="baseline"/>
        <w:rPr>
          <w:rFonts w:hint="eastAsia" w:eastAsia="宋体"/>
          <w:b/>
          <w:bCs/>
          <w:color w:val="000000" w:themeColor="text1"/>
          <w:spacing w:val="0"/>
          <w:position w:val="0"/>
          <w:sz w:val="28"/>
          <w:szCs w:val="28"/>
          <w:lang w:val="en-US" w:eastAsia="zh-CN"/>
          <w14:textFill>
            <w14:solidFill>
              <w14:schemeClr w14:val="tx1"/>
            </w14:solidFill>
          </w14:textFill>
        </w:rPr>
      </w:pPr>
      <w:r>
        <w:rPr>
          <w:rFonts w:hint="eastAsia" w:eastAsia="宋体"/>
          <w:b/>
          <w:bCs/>
          <w:color w:val="000000" w:themeColor="text1"/>
          <w:spacing w:val="0"/>
          <w:position w:val="0"/>
          <w:sz w:val="28"/>
          <w:szCs w:val="28"/>
          <w:lang w:val="en-US" w:eastAsia="zh-CN"/>
          <w14:textFill>
            <w14:solidFill>
              <w14:schemeClr w14:val="tx1"/>
            </w14:solidFill>
          </w14:textFill>
        </w:rPr>
        <w:t>（4）供应商提供的食材必须符合食品安全质量标准，若因供应商提供的食材质量存在问题，导致采购人食堂用餐人员身体健康受到伤害，供应商必须承担全部责任。（投标文件中需提供承诺函，格式自拟）</w:t>
      </w:r>
    </w:p>
    <w:p w14:paraId="3059EE33">
      <w:pPr>
        <w:keepNext w:val="0"/>
        <w:keepLines w:val="0"/>
        <w:pageBreakBefore w:val="0"/>
        <w:widowControl w:val="0"/>
        <w:kinsoku/>
        <w:wordWrap w:val="0"/>
        <w:overflowPunct/>
        <w:topLinePunct w:val="0"/>
        <w:autoSpaceDE w:val="0"/>
        <w:autoSpaceDN w:val="0"/>
        <w:bidi w:val="0"/>
        <w:adjustRightInd w:val="0"/>
        <w:snapToGrid w:val="0"/>
        <w:spacing w:line="360" w:lineRule="auto"/>
        <w:ind w:firstLine="560" w:firstLineChars="200"/>
        <w:textAlignment w:val="baseline"/>
        <w:rPr>
          <w:rFonts w:hint="eastAsia" w:eastAsia="宋体"/>
          <w:color w:val="000000" w:themeColor="text1"/>
          <w:spacing w:val="0"/>
          <w:position w:val="0"/>
          <w:sz w:val="28"/>
          <w:szCs w:val="28"/>
          <w:lang w:val="en-US" w:eastAsia="zh-CN"/>
          <w14:textFill>
            <w14:solidFill>
              <w14:schemeClr w14:val="tx1"/>
            </w14:solidFill>
          </w14:textFill>
        </w:rPr>
      </w:pPr>
      <w:r>
        <w:rPr>
          <w:rFonts w:hint="eastAsia" w:eastAsia="宋体"/>
          <w:color w:val="000000" w:themeColor="text1"/>
          <w:spacing w:val="0"/>
          <w:position w:val="0"/>
          <w:sz w:val="28"/>
          <w:szCs w:val="28"/>
          <w:lang w:val="en-US" w:eastAsia="zh-CN"/>
          <w14:textFill>
            <w14:solidFill>
              <w14:schemeClr w14:val="tx1"/>
            </w14:solidFill>
          </w14:textFill>
        </w:rPr>
        <w:t>（5）中标人应承诺配备不少于 3 辆专用的食品类运输车辆，保证卫生清洁，每日配送食材前须消毒，确保食材未被二次污染，采购人有权不定期检查消毒记录。</w:t>
      </w:r>
    </w:p>
    <w:p w14:paraId="76EA60D0">
      <w:pPr>
        <w:keepNext w:val="0"/>
        <w:keepLines w:val="0"/>
        <w:pageBreakBefore w:val="0"/>
        <w:widowControl w:val="0"/>
        <w:kinsoku/>
        <w:wordWrap w:val="0"/>
        <w:overflowPunct/>
        <w:topLinePunct w:val="0"/>
        <w:autoSpaceDE w:val="0"/>
        <w:autoSpaceDN w:val="0"/>
        <w:bidi w:val="0"/>
        <w:adjustRightInd w:val="0"/>
        <w:snapToGrid w:val="0"/>
        <w:spacing w:line="360" w:lineRule="auto"/>
        <w:ind w:firstLine="560" w:firstLineChars="200"/>
        <w:textAlignment w:val="baseline"/>
        <w:rPr>
          <w:rFonts w:hint="eastAsia" w:eastAsia="宋体"/>
          <w:color w:val="000000" w:themeColor="text1"/>
          <w:spacing w:val="0"/>
          <w:position w:val="0"/>
          <w:sz w:val="28"/>
          <w:szCs w:val="28"/>
          <w:lang w:val="en-US" w:eastAsia="zh-CN"/>
          <w14:textFill>
            <w14:solidFill>
              <w14:schemeClr w14:val="tx1"/>
            </w14:solidFill>
          </w14:textFill>
        </w:rPr>
      </w:pPr>
      <w:r>
        <w:rPr>
          <w:rFonts w:hint="eastAsia" w:eastAsia="宋体"/>
          <w:color w:val="000000" w:themeColor="text1"/>
          <w:spacing w:val="0"/>
          <w:position w:val="0"/>
          <w:sz w:val="28"/>
          <w:szCs w:val="28"/>
          <w:lang w:val="en-US" w:eastAsia="zh-CN"/>
          <w14:textFill>
            <w14:solidFill>
              <w14:schemeClr w14:val="tx1"/>
            </w14:solidFill>
          </w14:textFill>
        </w:rPr>
        <w:t>（6）中标人须自有或租赁固定的配送中心，具有加工、分拣、储存货物的能力，配送中心符合集中加工配送行业规范。配送中心应设置冷藏(冻)库、储存库、净菜加工车间、挑拣分配间等。供应商配送中心符合相关国家规定要求。</w:t>
      </w:r>
    </w:p>
    <w:p w14:paraId="136EA0CC">
      <w:pPr>
        <w:keepNext w:val="0"/>
        <w:keepLines w:val="0"/>
        <w:pageBreakBefore w:val="0"/>
        <w:widowControl w:val="0"/>
        <w:kinsoku/>
        <w:wordWrap w:val="0"/>
        <w:overflowPunct/>
        <w:topLinePunct w:val="0"/>
        <w:autoSpaceDE w:val="0"/>
        <w:autoSpaceDN w:val="0"/>
        <w:bidi w:val="0"/>
        <w:adjustRightInd w:val="0"/>
        <w:snapToGrid w:val="0"/>
        <w:spacing w:line="360" w:lineRule="auto"/>
        <w:ind w:firstLine="560" w:firstLineChars="200"/>
        <w:textAlignment w:val="baseline"/>
        <w:rPr>
          <w:rFonts w:hint="eastAsia" w:eastAsia="宋体"/>
          <w:color w:val="000000" w:themeColor="text1"/>
          <w:spacing w:val="0"/>
          <w:position w:val="0"/>
          <w:sz w:val="28"/>
          <w:szCs w:val="28"/>
          <w:lang w:val="en-US" w:eastAsia="zh-CN"/>
          <w14:textFill>
            <w14:solidFill>
              <w14:schemeClr w14:val="tx1"/>
            </w14:solidFill>
          </w14:textFill>
        </w:rPr>
      </w:pPr>
      <w:r>
        <w:rPr>
          <w:rFonts w:hint="eastAsia" w:eastAsia="宋体"/>
          <w:color w:val="000000" w:themeColor="text1"/>
          <w:spacing w:val="0"/>
          <w:position w:val="0"/>
          <w:sz w:val="28"/>
          <w:szCs w:val="28"/>
          <w:lang w:val="en-US" w:eastAsia="zh-CN"/>
          <w14:textFill>
            <w14:solidFill>
              <w14:schemeClr w14:val="tx1"/>
            </w14:solidFill>
          </w14:textFill>
        </w:rPr>
        <w:t>7、送货时间要求：一般为每天按采购人的时间要求将货物送至采购人指定地点，中标人如送货迟到超过 30 分钟，采购人有权收取当天总货款的 10%作为违约金。</w:t>
      </w:r>
    </w:p>
    <w:p w14:paraId="00B87ED9">
      <w:pPr>
        <w:keepNext w:val="0"/>
        <w:keepLines w:val="0"/>
        <w:pageBreakBefore w:val="0"/>
        <w:widowControl w:val="0"/>
        <w:kinsoku/>
        <w:wordWrap w:val="0"/>
        <w:overflowPunct/>
        <w:topLinePunct w:val="0"/>
        <w:autoSpaceDE w:val="0"/>
        <w:autoSpaceDN w:val="0"/>
        <w:bidi w:val="0"/>
        <w:adjustRightInd w:val="0"/>
        <w:snapToGrid w:val="0"/>
        <w:spacing w:line="360" w:lineRule="auto"/>
        <w:ind w:firstLine="560" w:firstLineChars="200"/>
        <w:textAlignment w:val="baseline"/>
        <w:rPr>
          <w:rFonts w:hint="eastAsia" w:eastAsia="宋体"/>
          <w:color w:val="000000" w:themeColor="text1"/>
          <w:spacing w:val="0"/>
          <w:position w:val="0"/>
          <w:sz w:val="28"/>
          <w:szCs w:val="28"/>
          <w:lang w:val="en-US" w:eastAsia="zh-CN"/>
          <w14:textFill>
            <w14:solidFill>
              <w14:schemeClr w14:val="tx1"/>
            </w14:solidFill>
          </w14:textFill>
        </w:rPr>
      </w:pPr>
      <w:r>
        <w:rPr>
          <w:rFonts w:hint="eastAsia" w:eastAsia="宋体"/>
          <w:color w:val="000000" w:themeColor="text1"/>
          <w:spacing w:val="0"/>
          <w:position w:val="0"/>
          <w:sz w:val="28"/>
          <w:szCs w:val="28"/>
          <w:lang w:val="en-US" w:eastAsia="zh-CN"/>
          <w14:textFill>
            <w14:solidFill>
              <w14:schemeClr w14:val="tx1"/>
            </w14:solidFill>
          </w14:textFill>
        </w:rPr>
        <w:t>8、责任方面：如因中标人所送货物造成食物中毒等事故，中标人应承担全部法律责任，采购人有权解除合同，并保留追究其法律责任的权利。</w:t>
      </w:r>
    </w:p>
    <w:p w14:paraId="521E34CC">
      <w:pPr>
        <w:keepNext w:val="0"/>
        <w:keepLines w:val="0"/>
        <w:pageBreakBefore w:val="0"/>
        <w:widowControl w:val="0"/>
        <w:kinsoku/>
        <w:wordWrap w:val="0"/>
        <w:overflowPunct/>
        <w:topLinePunct w:val="0"/>
        <w:autoSpaceDE w:val="0"/>
        <w:autoSpaceDN w:val="0"/>
        <w:bidi w:val="0"/>
        <w:adjustRightInd w:val="0"/>
        <w:snapToGrid w:val="0"/>
        <w:spacing w:line="360" w:lineRule="auto"/>
        <w:ind w:firstLine="560" w:firstLineChars="200"/>
        <w:textAlignment w:val="baseline"/>
        <w:rPr>
          <w:rFonts w:hint="eastAsia" w:eastAsia="宋体"/>
          <w:color w:val="000000" w:themeColor="text1"/>
          <w:spacing w:val="0"/>
          <w:position w:val="0"/>
          <w:sz w:val="28"/>
          <w:szCs w:val="28"/>
          <w:lang w:val="en-US" w:eastAsia="zh-CN"/>
          <w14:textFill>
            <w14:solidFill>
              <w14:schemeClr w14:val="tx1"/>
            </w14:solidFill>
          </w14:textFill>
        </w:rPr>
      </w:pPr>
      <w:r>
        <w:rPr>
          <w:rFonts w:hint="eastAsia" w:eastAsia="宋体"/>
          <w:color w:val="000000" w:themeColor="text1"/>
          <w:spacing w:val="0"/>
          <w:position w:val="0"/>
          <w:sz w:val="28"/>
          <w:szCs w:val="28"/>
          <w:lang w:val="en-US" w:eastAsia="zh-CN"/>
          <w14:textFill>
            <w14:solidFill>
              <w14:schemeClr w14:val="tx1"/>
            </w14:solidFill>
          </w14:textFill>
        </w:rPr>
        <w:t xml:space="preserve">9、由于中标人满足不了采购人食品需求或中标人所提供的食品质量不符合采购人要求，采购人有权自购。 </w:t>
      </w:r>
    </w:p>
    <w:p w14:paraId="7141A670">
      <w:pPr>
        <w:keepNext w:val="0"/>
        <w:keepLines w:val="0"/>
        <w:pageBreakBefore w:val="0"/>
        <w:widowControl w:val="0"/>
        <w:kinsoku/>
        <w:wordWrap w:val="0"/>
        <w:overflowPunct/>
        <w:topLinePunct w:val="0"/>
        <w:autoSpaceDE w:val="0"/>
        <w:autoSpaceDN w:val="0"/>
        <w:bidi w:val="0"/>
        <w:adjustRightInd w:val="0"/>
        <w:snapToGrid w:val="0"/>
        <w:spacing w:line="360" w:lineRule="auto"/>
        <w:ind w:firstLine="560" w:firstLineChars="200"/>
        <w:textAlignment w:val="baseline"/>
        <w:rPr>
          <w:rFonts w:hint="eastAsia" w:eastAsia="宋体"/>
          <w:color w:val="000000" w:themeColor="text1"/>
          <w:spacing w:val="0"/>
          <w:position w:val="0"/>
          <w:sz w:val="28"/>
          <w:szCs w:val="28"/>
          <w:lang w:val="en-US" w:eastAsia="zh-CN"/>
          <w14:textFill>
            <w14:solidFill>
              <w14:schemeClr w14:val="tx1"/>
            </w14:solidFill>
          </w14:textFill>
        </w:rPr>
      </w:pPr>
      <w:r>
        <w:rPr>
          <w:rFonts w:hint="eastAsia" w:eastAsia="宋体"/>
          <w:color w:val="000000" w:themeColor="text1"/>
          <w:spacing w:val="0"/>
          <w:position w:val="0"/>
          <w:sz w:val="28"/>
          <w:szCs w:val="28"/>
          <w:lang w:val="en-US" w:eastAsia="zh-CN"/>
          <w14:textFill>
            <w14:solidFill>
              <w14:schemeClr w14:val="tx1"/>
            </w14:solidFill>
          </w14:textFill>
        </w:rPr>
        <w:t>10、合同期内中标人保证足够的货物供应，不能以任何理由中途停止供应。否则视为中标人违约，采购人有权解除合同。</w:t>
      </w:r>
    </w:p>
    <w:p w14:paraId="1E95399D">
      <w:pPr>
        <w:keepNext w:val="0"/>
        <w:keepLines w:val="0"/>
        <w:pageBreakBefore w:val="0"/>
        <w:widowControl w:val="0"/>
        <w:kinsoku/>
        <w:wordWrap w:val="0"/>
        <w:overflowPunct/>
        <w:topLinePunct w:val="0"/>
        <w:autoSpaceDE w:val="0"/>
        <w:autoSpaceDN w:val="0"/>
        <w:bidi w:val="0"/>
        <w:adjustRightInd w:val="0"/>
        <w:snapToGrid w:val="0"/>
        <w:spacing w:line="360" w:lineRule="auto"/>
        <w:ind w:firstLine="560" w:firstLineChars="200"/>
        <w:textAlignment w:val="baseline"/>
        <w:rPr>
          <w:rFonts w:hint="eastAsia" w:eastAsia="宋体"/>
          <w:color w:val="000000" w:themeColor="text1"/>
          <w:spacing w:val="0"/>
          <w:position w:val="0"/>
          <w:sz w:val="28"/>
          <w:szCs w:val="28"/>
          <w:lang w:val="en-US" w:eastAsia="zh-CN"/>
          <w14:textFill>
            <w14:solidFill>
              <w14:schemeClr w14:val="tx1"/>
            </w14:solidFill>
          </w14:textFill>
        </w:rPr>
      </w:pPr>
      <w:r>
        <w:rPr>
          <w:rFonts w:hint="eastAsia" w:eastAsia="宋体"/>
          <w:color w:val="000000" w:themeColor="text1"/>
          <w:spacing w:val="0"/>
          <w:position w:val="0"/>
          <w:sz w:val="28"/>
          <w:szCs w:val="28"/>
          <w:lang w:val="en-US" w:eastAsia="zh-CN"/>
          <w14:textFill>
            <w14:solidFill>
              <w14:schemeClr w14:val="tx1"/>
            </w14:solidFill>
          </w14:textFill>
        </w:rPr>
        <w:t>11、中标人需无条件接受并配合采购人对服务工作的监督和检查。</w:t>
      </w:r>
    </w:p>
    <w:p w14:paraId="16938348">
      <w:pPr>
        <w:keepNext w:val="0"/>
        <w:keepLines w:val="0"/>
        <w:pageBreakBefore w:val="0"/>
        <w:widowControl w:val="0"/>
        <w:kinsoku/>
        <w:wordWrap w:val="0"/>
        <w:overflowPunct/>
        <w:topLinePunct w:val="0"/>
        <w:autoSpaceDE w:val="0"/>
        <w:autoSpaceDN w:val="0"/>
        <w:bidi w:val="0"/>
        <w:adjustRightInd w:val="0"/>
        <w:snapToGrid w:val="0"/>
        <w:spacing w:line="360" w:lineRule="auto"/>
        <w:ind w:firstLine="560" w:firstLineChars="200"/>
        <w:textAlignment w:val="baseline"/>
        <w:rPr>
          <w:rFonts w:hint="eastAsia" w:eastAsia="宋体"/>
          <w:color w:val="000000" w:themeColor="text1"/>
          <w:spacing w:val="0"/>
          <w:position w:val="0"/>
          <w:sz w:val="28"/>
          <w:szCs w:val="28"/>
          <w:lang w:val="en-US" w:eastAsia="zh-CN"/>
          <w14:textFill>
            <w14:solidFill>
              <w14:schemeClr w14:val="tx1"/>
            </w14:solidFill>
          </w14:textFill>
        </w:rPr>
      </w:pPr>
      <w:r>
        <w:rPr>
          <w:rFonts w:hint="eastAsia" w:eastAsia="宋体"/>
          <w:color w:val="000000" w:themeColor="text1"/>
          <w:spacing w:val="0"/>
          <w:position w:val="0"/>
          <w:sz w:val="28"/>
          <w:szCs w:val="28"/>
          <w:lang w:val="en-US" w:eastAsia="zh-CN"/>
          <w14:textFill>
            <w14:solidFill>
              <w14:schemeClr w14:val="tx1"/>
            </w14:solidFill>
          </w14:textFill>
        </w:rPr>
        <w:t>12、如遇特殊情况，中标人必须听从采购人的调度指挥，有临时需要增加供货，须及时响应，按约定时间内执行。</w:t>
      </w:r>
    </w:p>
    <w:p w14:paraId="2409AA8E">
      <w:pPr>
        <w:keepNext w:val="0"/>
        <w:keepLines w:val="0"/>
        <w:pageBreakBefore w:val="0"/>
        <w:widowControl w:val="0"/>
        <w:kinsoku/>
        <w:wordWrap w:val="0"/>
        <w:overflowPunct/>
        <w:topLinePunct w:val="0"/>
        <w:autoSpaceDE w:val="0"/>
        <w:autoSpaceDN w:val="0"/>
        <w:bidi w:val="0"/>
        <w:adjustRightInd w:val="0"/>
        <w:snapToGrid w:val="0"/>
        <w:spacing w:line="360" w:lineRule="auto"/>
        <w:ind w:firstLine="560" w:firstLineChars="200"/>
        <w:textAlignment w:val="baseline"/>
        <w:rPr>
          <w:rFonts w:hint="default" w:eastAsia="宋体"/>
          <w:color w:val="000000" w:themeColor="text1"/>
          <w:spacing w:val="0"/>
          <w:position w:val="0"/>
          <w:sz w:val="28"/>
          <w:szCs w:val="28"/>
          <w:lang w:val="en-US" w:eastAsia="zh-CN"/>
          <w14:textFill>
            <w14:solidFill>
              <w14:schemeClr w14:val="tx1"/>
            </w14:solidFill>
          </w14:textFill>
        </w:rPr>
      </w:pPr>
      <w:r>
        <w:rPr>
          <w:rFonts w:hint="eastAsia" w:eastAsia="宋体"/>
          <w:color w:val="000000" w:themeColor="text1"/>
          <w:spacing w:val="0"/>
          <w:position w:val="0"/>
          <w:sz w:val="28"/>
          <w:szCs w:val="28"/>
          <w:lang w:val="en-US" w:eastAsia="zh-CN"/>
          <w14:textFill>
            <w14:solidFill>
              <w14:schemeClr w14:val="tx1"/>
            </w14:solidFill>
          </w14:textFill>
        </w:rPr>
        <w:t>13、中标人须在合同签订后10个工作日内购买食品安全责任保险，并将保单复印件提交采购人备案。</w:t>
      </w:r>
    </w:p>
    <w:p w14:paraId="7FB1F655">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eastAsia="宋体"/>
          <w:b/>
          <w:bCs/>
          <w:color w:val="000000" w:themeColor="text1"/>
          <w:spacing w:val="0"/>
          <w:position w:val="0"/>
          <w:sz w:val="28"/>
          <w:lang w:val="en-US" w:eastAsia="zh-CN"/>
          <w14:textFill>
            <w14:solidFill>
              <w14:schemeClr w14:val="tx1"/>
            </w14:solidFill>
          </w14:textFill>
        </w:rPr>
      </w:pPr>
      <w:r>
        <w:rPr>
          <w:rFonts w:hint="eastAsia" w:eastAsia="宋体"/>
          <w:b/>
          <w:bCs/>
          <w:color w:val="000000" w:themeColor="text1"/>
          <w:spacing w:val="0"/>
          <w:position w:val="0"/>
          <w:sz w:val="28"/>
          <w:lang w:val="en-US" w:eastAsia="zh-CN"/>
          <w14:textFill>
            <w14:solidFill>
              <w14:schemeClr w14:val="tx1"/>
            </w14:solidFill>
          </w14:textFill>
        </w:rPr>
        <w:t>五、服务质量考核</w:t>
      </w:r>
    </w:p>
    <w:p w14:paraId="59797AB9">
      <w:pPr>
        <w:keepNext w:val="0"/>
        <w:keepLines w:val="0"/>
        <w:pageBreakBefore w:val="0"/>
        <w:widowControl w:val="0"/>
        <w:kinsoku/>
        <w:wordWrap w:val="0"/>
        <w:overflowPunct/>
        <w:topLinePunct w:val="0"/>
        <w:autoSpaceDE w:val="0"/>
        <w:autoSpaceDN w:val="0"/>
        <w:bidi w:val="0"/>
        <w:adjustRightInd w:val="0"/>
        <w:snapToGrid w:val="0"/>
        <w:spacing w:line="360" w:lineRule="auto"/>
        <w:ind w:firstLine="560" w:firstLineChars="200"/>
        <w:textAlignment w:val="baseline"/>
        <w:rPr>
          <w:rFonts w:hint="default" w:eastAsia="宋体"/>
          <w:color w:val="000000" w:themeColor="text1"/>
          <w:spacing w:val="0"/>
          <w:position w:val="0"/>
          <w:sz w:val="28"/>
          <w:szCs w:val="28"/>
          <w:lang w:val="en-US" w:eastAsia="zh-CN"/>
          <w14:textFill>
            <w14:solidFill>
              <w14:schemeClr w14:val="tx1"/>
            </w14:solidFill>
          </w14:textFill>
        </w:rPr>
      </w:pPr>
      <w:r>
        <w:rPr>
          <w:rFonts w:hint="default" w:eastAsia="宋体"/>
          <w:color w:val="000000" w:themeColor="text1"/>
          <w:spacing w:val="0"/>
          <w:position w:val="0"/>
          <w:sz w:val="28"/>
          <w:szCs w:val="28"/>
          <w:lang w:val="en-US" w:eastAsia="zh-CN"/>
          <w14:textFill>
            <w14:solidFill>
              <w14:schemeClr w14:val="tx1"/>
            </w14:solidFill>
          </w14:textFill>
        </w:rPr>
        <w:t>1、合同签订后，按月进行</w:t>
      </w:r>
      <w:r>
        <w:rPr>
          <w:rFonts w:hint="eastAsia" w:eastAsia="宋体"/>
          <w:color w:val="000000" w:themeColor="text1"/>
          <w:spacing w:val="0"/>
          <w:position w:val="0"/>
          <w:sz w:val="28"/>
          <w:szCs w:val="28"/>
          <w:lang w:val="en-US" w:eastAsia="zh-CN"/>
          <w14:textFill>
            <w14:solidFill>
              <w14:schemeClr w14:val="tx1"/>
            </w14:solidFill>
          </w14:textFill>
        </w:rPr>
        <w:t>服务质量考核</w:t>
      </w:r>
      <w:r>
        <w:rPr>
          <w:rFonts w:hint="default" w:eastAsia="宋体"/>
          <w:color w:val="000000" w:themeColor="text1"/>
          <w:spacing w:val="0"/>
          <w:position w:val="0"/>
          <w:sz w:val="28"/>
          <w:szCs w:val="28"/>
          <w:lang w:val="en-US" w:eastAsia="zh-CN"/>
          <w14:textFill>
            <w14:solidFill>
              <w14:schemeClr w14:val="tx1"/>
            </w14:solidFill>
          </w14:textFill>
        </w:rPr>
        <w:t>，扣分达到10分（含10分）的扣减当期货款的5%，扣分达到20分（含20分）的扣减当期货款的10%，扣分达到30分(含30分）的扣减当期货款的20%。评分低于70分的，除扣罚货款外，视为供应商无法继续履约，采购人有权单方面提前终止合同。考核小组由各成员单位（各敬老院、</w:t>
      </w:r>
      <w:r>
        <w:rPr>
          <w:rFonts w:hint="eastAsia" w:eastAsia="宋体"/>
          <w:color w:val="000000" w:themeColor="text1"/>
          <w:spacing w:val="0"/>
          <w:position w:val="0"/>
          <w:sz w:val="28"/>
          <w:szCs w:val="28"/>
          <w:lang w:val="en-US" w:eastAsia="zh-CN"/>
          <w14:textFill>
            <w14:solidFill>
              <w14:schemeClr w14:val="tx1"/>
            </w14:solidFill>
          </w14:textFill>
        </w:rPr>
        <w:t>新余市渝水区</w:t>
      </w:r>
      <w:r>
        <w:rPr>
          <w:rFonts w:hint="default" w:eastAsia="宋体"/>
          <w:color w:val="000000" w:themeColor="text1"/>
          <w:spacing w:val="0"/>
          <w:position w:val="0"/>
          <w:sz w:val="28"/>
          <w:szCs w:val="28"/>
          <w:lang w:val="en-US" w:eastAsia="zh-CN"/>
          <w14:textFill>
            <w14:solidFill>
              <w14:schemeClr w14:val="tx1"/>
            </w14:solidFill>
          </w14:textFill>
        </w:rPr>
        <w:t>民政局）组成</w:t>
      </w:r>
    </w:p>
    <w:p w14:paraId="6AED1523">
      <w:pPr>
        <w:keepNext w:val="0"/>
        <w:keepLines w:val="0"/>
        <w:pageBreakBefore w:val="0"/>
        <w:widowControl w:val="0"/>
        <w:kinsoku/>
        <w:wordWrap w:val="0"/>
        <w:overflowPunct/>
        <w:topLinePunct w:val="0"/>
        <w:autoSpaceDE w:val="0"/>
        <w:autoSpaceDN w:val="0"/>
        <w:bidi w:val="0"/>
        <w:adjustRightInd w:val="0"/>
        <w:snapToGrid w:val="0"/>
        <w:spacing w:line="360" w:lineRule="auto"/>
        <w:ind w:firstLine="560" w:firstLineChars="200"/>
        <w:textAlignment w:val="baseline"/>
        <w:rPr>
          <w:rFonts w:hint="default" w:eastAsia="宋体"/>
          <w:color w:val="000000" w:themeColor="text1"/>
          <w:spacing w:val="0"/>
          <w:position w:val="0"/>
          <w:sz w:val="28"/>
          <w:szCs w:val="28"/>
          <w:lang w:val="en-US" w:eastAsia="zh-CN"/>
          <w14:textFill>
            <w14:solidFill>
              <w14:schemeClr w14:val="tx1"/>
            </w14:solidFill>
          </w14:textFill>
        </w:rPr>
      </w:pPr>
      <w:r>
        <w:rPr>
          <w:rFonts w:hint="default" w:eastAsia="宋体"/>
          <w:color w:val="000000" w:themeColor="text1"/>
          <w:spacing w:val="0"/>
          <w:position w:val="0"/>
          <w:sz w:val="28"/>
          <w:szCs w:val="28"/>
          <w:lang w:val="en-US" w:eastAsia="zh-CN"/>
          <w14:textFill>
            <w14:solidFill>
              <w14:schemeClr w14:val="tx1"/>
            </w14:solidFill>
          </w14:textFill>
        </w:rPr>
        <w:t>2、中标人服务过程中，首次评分低于70分时，采购人可向中标人发出书面的整改通知。中标人收到通知书30日内应对其服务质量进行整改，30日后采购人将会对其进行整改检查，中标人检查通过才可继续履约。</w:t>
      </w:r>
    </w:p>
    <w:p w14:paraId="45B24CE3">
      <w:pPr>
        <w:keepNext w:val="0"/>
        <w:keepLines w:val="0"/>
        <w:pageBreakBefore w:val="0"/>
        <w:widowControl w:val="0"/>
        <w:kinsoku/>
        <w:wordWrap w:val="0"/>
        <w:overflowPunct/>
        <w:topLinePunct w:val="0"/>
        <w:autoSpaceDE w:val="0"/>
        <w:autoSpaceDN w:val="0"/>
        <w:bidi w:val="0"/>
        <w:adjustRightInd w:val="0"/>
        <w:snapToGrid w:val="0"/>
        <w:spacing w:line="360" w:lineRule="auto"/>
        <w:ind w:firstLine="560" w:firstLineChars="200"/>
        <w:textAlignment w:val="baseline"/>
        <w:rPr>
          <w:rFonts w:hint="default" w:eastAsia="宋体"/>
          <w:color w:val="000000" w:themeColor="text1"/>
          <w:spacing w:val="0"/>
          <w:position w:val="0"/>
          <w:sz w:val="28"/>
          <w:szCs w:val="28"/>
          <w:lang w:val="en-US" w:eastAsia="zh-CN"/>
          <w14:textFill>
            <w14:solidFill>
              <w14:schemeClr w14:val="tx1"/>
            </w14:solidFill>
          </w14:textFill>
        </w:rPr>
      </w:pPr>
      <w:r>
        <w:rPr>
          <w:rFonts w:hint="default" w:eastAsia="宋体"/>
          <w:color w:val="000000" w:themeColor="text1"/>
          <w:spacing w:val="0"/>
          <w:position w:val="0"/>
          <w:sz w:val="28"/>
          <w:szCs w:val="28"/>
          <w:lang w:val="en-US" w:eastAsia="zh-CN"/>
          <w14:textFill>
            <w14:solidFill>
              <w14:schemeClr w14:val="tx1"/>
            </w14:solidFill>
          </w14:textFill>
        </w:rPr>
        <w:t>具体考评细则如下表：</w:t>
      </w: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28"/>
        <w:gridCol w:w="733"/>
        <w:gridCol w:w="2783"/>
        <w:gridCol w:w="600"/>
        <w:gridCol w:w="3906"/>
      </w:tblGrid>
      <w:tr w14:paraId="774C99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8" w:type="dxa"/>
          </w:tcPr>
          <w:p w14:paraId="1D6B147F">
            <w:pPr>
              <w:keepNext w:val="0"/>
              <w:keepLines w:val="0"/>
              <w:pageBreakBefore w:val="0"/>
              <w:widowControl w:val="0"/>
              <w:kinsoku/>
              <w:wordWrap w:val="0"/>
              <w:overflowPunct/>
              <w:topLinePunct w:val="0"/>
              <w:autoSpaceDE w:val="0"/>
              <w:autoSpaceDN w:val="0"/>
              <w:bidi w:val="0"/>
              <w:adjustRightInd w:val="0"/>
              <w:snapToGrid w:val="0"/>
              <w:spacing w:line="360" w:lineRule="auto"/>
              <w:jc w:val="center"/>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序号</w:t>
            </w:r>
          </w:p>
        </w:tc>
        <w:tc>
          <w:tcPr>
            <w:tcW w:w="733" w:type="dxa"/>
          </w:tcPr>
          <w:p w14:paraId="7301B392">
            <w:pPr>
              <w:keepNext w:val="0"/>
              <w:keepLines w:val="0"/>
              <w:pageBreakBefore w:val="0"/>
              <w:widowControl w:val="0"/>
              <w:kinsoku/>
              <w:wordWrap w:val="0"/>
              <w:overflowPunct/>
              <w:topLinePunct w:val="0"/>
              <w:autoSpaceDE w:val="0"/>
              <w:autoSpaceDN w:val="0"/>
              <w:bidi w:val="0"/>
              <w:adjustRightInd w:val="0"/>
              <w:snapToGrid w:val="0"/>
              <w:spacing w:line="360" w:lineRule="auto"/>
              <w:jc w:val="center"/>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考核项目</w:t>
            </w:r>
          </w:p>
        </w:tc>
        <w:tc>
          <w:tcPr>
            <w:tcW w:w="2783" w:type="dxa"/>
          </w:tcPr>
          <w:p w14:paraId="58E4645B">
            <w:pPr>
              <w:keepNext w:val="0"/>
              <w:keepLines w:val="0"/>
              <w:pageBreakBefore w:val="0"/>
              <w:widowControl w:val="0"/>
              <w:kinsoku/>
              <w:wordWrap w:val="0"/>
              <w:overflowPunct/>
              <w:topLinePunct w:val="0"/>
              <w:autoSpaceDE w:val="0"/>
              <w:autoSpaceDN w:val="0"/>
              <w:bidi w:val="0"/>
              <w:adjustRightInd w:val="0"/>
              <w:snapToGrid w:val="0"/>
              <w:spacing w:line="360" w:lineRule="auto"/>
              <w:jc w:val="center"/>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考核细则</w:t>
            </w:r>
          </w:p>
        </w:tc>
        <w:tc>
          <w:tcPr>
            <w:tcW w:w="600" w:type="dxa"/>
          </w:tcPr>
          <w:p w14:paraId="63D157E4">
            <w:pPr>
              <w:keepNext w:val="0"/>
              <w:keepLines w:val="0"/>
              <w:pageBreakBefore w:val="0"/>
              <w:widowControl w:val="0"/>
              <w:kinsoku/>
              <w:wordWrap w:val="0"/>
              <w:overflowPunct/>
              <w:topLinePunct w:val="0"/>
              <w:autoSpaceDE w:val="0"/>
              <w:autoSpaceDN w:val="0"/>
              <w:bidi w:val="0"/>
              <w:adjustRightInd w:val="0"/>
              <w:snapToGrid w:val="0"/>
              <w:spacing w:line="360" w:lineRule="auto"/>
              <w:jc w:val="center"/>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分值</w:t>
            </w:r>
          </w:p>
        </w:tc>
        <w:tc>
          <w:tcPr>
            <w:tcW w:w="3906" w:type="dxa"/>
          </w:tcPr>
          <w:p w14:paraId="0C1BC0B4">
            <w:pPr>
              <w:keepNext w:val="0"/>
              <w:keepLines w:val="0"/>
              <w:pageBreakBefore w:val="0"/>
              <w:widowControl w:val="0"/>
              <w:kinsoku/>
              <w:wordWrap w:val="0"/>
              <w:overflowPunct/>
              <w:topLinePunct w:val="0"/>
              <w:autoSpaceDE w:val="0"/>
              <w:autoSpaceDN w:val="0"/>
              <w:bidi w:val="0"/>
              <w:adjustRightInd w:val="0"/>
              <w:snapToGrid w:val="0"/>
              <w:spacing w:line="360" w:lineRule="auto"/>
              <w:jc w:val="center"/>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评分标准</w:t>
            </w:r>
          </w:p>
          <w:p w14:paraId="2FBA4BBE">
            <w:pPr>
              <w:keepNext w:val="0"/>
              <w:keepLines w:val="0"/>
              <w:pageBreakBefore w:val="0"/>
              <w:widowControl w:val="0"/>
              <w:kinsoku/>
              <w:wordWrap w:val="0"/>
              <w:overflowPunct/>
              <w:topLinePunct w:val="0"/>
              <w:autoSpaceDE w:val="0"/>
              <w:autoSpaceDN w:val="0"/>
              <w:bidi w:val="0"/>
              <w:adjustRightInd w:val="0"/>
              <w:snapToGrid w:val="0"/>
              <w:spacing w:line="360" w:lineRule="auto"/>
              <w:jc w:val="center"/>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p>
        </w:tc>
      </w:tr>
      <w:tr w14:paraId="4CB007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8" w:type="dxa"/>
          </w:tcPr>
          <w:p w14:paraId="68C3B3A7">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1</w:t>
            </w:r>
          </w:p>
        </w:tc>
        <w:tc>
          <w:tcPr>
            <w:tcW w:w="733" w:type="dxa"/>
          </w:tcPr>
          <w:p w14:paraId="6158214A">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配送人员</w:t>
            </w:r>
          </w:p>
          <w:p w14:paraId="072C95DB">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p>
        </w:tc>
        <w:tc>
          <w:tcPr>
            <w:tcW w:w="2783" w:type="dxa"/>
          </w:tcPr>
          <w:p w14:paraId="14F3C2CA">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人员相对固定且持有有效的健康证；</w:t>
            </w:r>
          </w:p>
          <w:p w14:paraId="2F97A494">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配送期间无传染疾病或其他影响食品安全的疾病。</w:t>
            </w:r>
          </w:p>
        </w:tc>
        <w:tc>
          <w:tcPr>
            <w:tcW w:w="600" w:type="dxa"/>
          </w:tcPr>
          <w:p w14:paraId="4B8D1167">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5</w:t>
            </w:r>
          </w:p>
        </w:tc>
        <w:tc>
          <w:tcPr>
            <w:tcW w:w="3906" w:type="dxa"/>
          </w:tcPr>
          <w:p w14:paraId="73466201">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1.未提供配送人员花名册或未提供有效健康证的，扣5分；</w:t>
            </w:r>
          </w:p>
          <w:p w14:paraId="377009D8">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2.未经同意更换配送人员或有传染疾病仍然安排上岗的，出现一次扣5分。</w:t>
            </w:r>
          </w:p>
        </w:tc>
      </w:tr>
      <w:tr w14:paraId="35FD8C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8" w:type="dxa"/>
          </w:tcPr>
          <w:p w14:paraId="79A7E451">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2</w:t>
            </w:r>
          </w:p>
        </w:tc>
        <w:tc>
          <w:tcPr>
            <w:tcW w:w="733" w:type="dxa"/>
          </w:tcPr>
          <w:p w14:paraId="773FF710">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车辆安全检查</w:t>
            </w:r>
          </w:p>
        </w:tc>
        <w:tc>
          <w:tcPr>
            <w:tcW w:w="2783" w:type="dxa"/>
          </w:tcPr>
          <w:p w14:paraId="2F370C66">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配送车辆证件齐全有效；</w:t>
            </w:r>
          </w:p>
          <w:p w14:paraId="730E2345">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保持车厢干净整洁无污染，定期进行清洗消毒；</w:t>
            </w:r>
          </w:p>
          <w:p w14:paraId="1A469594">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进入甲方场所时减速慢行，按要求停放。</w:t>
            </w:r>
          </w:p>
        </w:tc>
        <w:tc>
          <w:tcPr>
            <w:tcW w:w="600" w:type="dxa"/>
          </w:tcPr>
          <w:p w14:paraId="31E828C0">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5</w:t>
            </w:r>
          </w:p>
        </w:tc>
        <w:tc>
          <w:tcPr>
            <w:tcW w:w="3906" w:type="dxa"/>
          </w:tcPr>
          <w:p w14:paraId="1EA0FD44">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 xml:space="preserve">1.未提供齐全有效车辆证件的，扣5分； </w:t>
            </w:r>
          </w:p>
          <w:p w14:paraId="294E23FB">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 xml:space="preserve">2.车厢脏乱，卫生不达标的，出现一次扣1分； </w:t>
            </w:r>
          </w:p>
          <w:p w14:paraId="4A28D457">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3.车辆超速或不按要求行驶停放的，出现一次扣1分。</w:t>
            </w:r>
          </w:p>
        </w:tc>
      </w:tr>
      <w:tr w14:paraId="09822C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8" w:type="dxa"/>
            <w:vMerge w:val="restart"/>
          </w:tcPr>
          <w:p w14:paraId="5845FB72">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3</w:t>
            </w:r>
          </w:p>
        </w:tc>
        <w:tc>
          <w:tcPr>
            <w:tcW w:w="733" w:type="dxa"/>
            <w:vMerge w:val="restart"/>
          </w:tcPr>
          <w:p w14:paraId="6CFEDB39">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货物质量</w:t>
            </w:r>
          </w:p>
        </w:tc>
        <w:tc>
          <w:tcPr>
            <w:tcW w:w="2783" w:type="dxa"/>
          </w:tcPr>
          <w:p w14:paraId="1AD00B54">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食材安全检测履约</w:t>
            </w:r>
          </w:p>
        </w:tc>
        <w:tc>
          <w:tcPr>
            <w:tcW w:w="600" w:type="dxa"/>
          </w:tcPr>
          <w:p w14:paraId="3E1CDBAE">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10</w:t>
            </w:r>
          </w:p>
        </w:tc>
        <w:tc>
          <w:tcPr>
            <w:tcW w:w="3906" w:type="dxa"/>
          </w:tcPr>
          <w:p w14:paraId="089A71B6">
            <w:pPr>
              <w:keepNext w:val="0"/>
              <w:keepLines w:val="0"/>
              <w:pageBreakBefore w:val="0"/>
              <w:widowControl w:val="0"/>
              <w:numPr>
                <w:ilvl w:val="0"/>
                <w:numId w:val="1"/>
              </w:numPr>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未按合同约定在配送前对所供食材进行检测（如无检测记录、检测记录不完整或与配送批次不符）；出现一次扣2分。</w:t>
            </w:r>
          </w:p>
          <w:p w14:paraId="4AF516CA">
            <w:pPr>
              <w:keepNext w:val="0"/>
              <w:keepLines w:val="0"/>
              <w:pageBreakBefore w:val="0"/>
              <w:widowControl w:val="0"/>
              <w:numPr>
                <w:ilvl w:val="0"/>
                <w:numId w:val="1"/>
              </w:numPr>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检测人员、检测设备未按承诺配备到位，或检测设备无法正常使用；出现一次扣2分。</w:t>
            </w:r>
          </w:p>
          <w:p w14:paraId="08DE6AF2">
            <w:pPr>
              <w:keepNext w:val="0"/>
              <w:keepLines w:val="0"/>
              <w:pageBreakBefore w:val="0"/>
              <w:widowControl w:val="0"/>
              <w:numPr>
                <w:ilvl w:val="0"/>
                <w:numId w:val="1"/>
              </w:numPr>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检测记录弄虚作假，出现一次扣5分。</w:t>
            </w:r>
          </w:p>
        </w:tc>
      </w:tr>
      <w:tr w14:paraId="20386A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8" w:type="dxa"/>
            <w:vMerge w:val="continue"/>
          </w:tcPr>
          <w:p w14:paraId="00FD9E98">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p>
        </w:tc>
        <w:tc>
          <w:tcPr>
            <w:tcW w:w="733" w:type="dxa"/>
            <w:vMerge w:val="continue"/>
          </w:tcPr>
          <w:p w14:paraId="0210CFAE">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p>
        </w:tc>
        <w:tc>
          <w:tcPr>
            <w:tcW w:w="2783" w:type="dxa"/>
          </w:tcPr>
          <w:p w14:paraId="679E5C71">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 xml:space="preserve">按照采购订单备货，组织 </w:t>
            </w:r>
          </w:p>
          <w:p w14:paraId="5B0BB18E">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 xml:space="preserve">配送前进行货物检查，无 </w:t>
            </w:r>
          </w:p>
          <w:p w14:paraId="52ECD654">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漏送、少送、错送情况。</w:t>
            </w:r>
          </w:p>
        </w:tc>
        <w:tc>
          <w:tcPr>
            <w:tcW w:w="600" w:type="dxa"/>
          </w:tcPr>
          <w:p w14:paraId="1EEF9C08">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10</w:t>
            </w:r>
          </w:p>
        </w:tc>
        <w:tc>
          <w:tcPr>
            <w:tcW w:w="3906" w:type="dxa"/>
          </w:tcPr>
          <w:p w14:paraId="5F6AAF9D">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 xml:space="preserve">1.未及时接收订单或在备货中发现市场无货时未及时通知甲方换货的，出现一次扣1分； </w:t>
            </w:r>
          </w:p>
          <w:p w14:paraId="586C96D6">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2.提供的货物品种、品牌、规格、质量等级等与订单要求不符的，出现一次扣1分。</w:t>
            </w:r>
          </w:p>
        </w:tc>
      </w:tr>
      <w:tr w14:paraId="4BF805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8" w:type="dxa"/>
            <w:vMerge w:val="continue"/>
          </w:tcPr>
          <w:p w14:paraId="2FA9B1B6">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p>
        </w:tc>
        <w:tc>
          <w:tcPr>
            <w:tcW w:w="733" w:type="dxa"/>
            <w:vMerge w:val="continue"/>
          </w:tcPr>
          <w:p w14:paraId="74344B6F">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p>
        </w:tc>
        <w:tc>
          <w:tcPr>
            <w:tcW w:w="2783" w:type="dxa"/>
          </w:tcPr>
          <w:p w14:paraId="670D8358">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配送食材符合食品安全质量标准，提供产品合格证明（合格证、检疫证、检验报告等）。</w:t>
            </w:r>
          </w:p>
        </w:tc>
        <w:tc>
          <w:tcPr>
            <w:tcW w:w="600" w:type="dxa"/>
          </w:tcPr>
          <w:p w14:paraId="6740F918">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10</w:t>
            </w:r>
          </w:p>
        </w:tc>
        <w:tc>
          <w:tcPr>
            <w:tcW w:w="3906" w:type="dxa"/>
          </w:tcPr>
          <w:p w14:paraId="2254C34E">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 xml:space="preserve">1.未提供产品合格证明，缺一样扣1分； </w:t>
            </w:r>
          </w:p>
          <w:p w14:paraId="15C7BD79">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 xml:space="preserve">2.甲方对食材抽检发现不合格的，出现一次扣5分； </w:t>
            </w:r>
          </w:p>
          <w:p w14:paraId="1E7F951F">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3.提供虚假的产品合格证明或在食材中掺假、掺杂的，出现一次扣10分。</w:t>
            </w:r>
          </w:p>
        </w:tc>
      </w:tr>
      <w:tr w14:paraId="5B3290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8" w:type="dxa"/>
            <w:vMerge w:val="continue"/>
          </w:tcPr>
          <w:p w14:paraId="56C1FA2E">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p>
        </w:tc>
        <w:tc>
          <w:tcPr>
            <w:tcW w:w="733" w:type="dxa"/>
            <w:vMerge w:val="continue"/>
          </w:tcPr>
          <w:p w14:paraId="4AE9D157">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p>
        </w:tc>
        <w:tc>
          <w:tcPr>
            <w:tcW w:w="2783" w:type="dxa"/>
          </w:tcPr>
          <w:p w14:paraId="336C6E60">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包装产品要求外包装完好，各项标识清晰，有SC标志，剩余保质期不少于三分之二；</w:t>
            </w:r>
          </w:p>
          <w:p w14:paraId="4E02F804">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散装产品要求有必要的包装物，产品符合食品安全要求。</w:t>
            </w:r>
          </w:p>
        </w:tc>
        <w:tc>
          <w:tcPr>
            <w:tcW w:w="600" w:type="dxa"/>
          </w:tcPr>
          <w:p w14:paraId="1417DAB8">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10</w:t>
            </w:r>
          </w:p>
        </w:tc>
        <w:tc>
          <w:tcPr>
            <w:tcW w:w="3906" w:type="dxa"/>
          </w:tcPr>
          <w:p w14:paraId="75465723">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 xml:space="preserve">1.包装产品的外包装破损严重、标识模糊不清或外包装污渍严重的，出现一次扣1分； </w:t>
            </w:r>
          </w:p>
          <w:p w14:paraId="6098A79E">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 xml:space="preserve">2.包装产品剩余保质期不足三分之二的，出现一次扣1分，在箱装产品中掺杂不符质保期要求产品的，出现一次扣2分； </w:t>
            </w:r>
          </w:p>
          <w:p w14:paraId="4FB79A95">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3.散装产品未进行必要的安全卫生包装的，出现一次扣1分。</w:t>
            </w:r>
          </w:p>
        </w:tc>
      </w:tr>
      <w:tr w14:paraId="328A50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8" w:type="dxa"/>
          </w:tcPr>
          <w:p w14:paraId="73BAF2A4">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4</w:t>
            </w:r>
          </w:p>
        </w:tc>
        <w:tc>
          <w:tcPr>
            <w:tcW w:w="733" w:type="dxa"/>
          </w:tcPr>
          <w:p w14:paraId="5580F893">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交货期</w:t>
            </w:r>
          </w:p>
        </w:tc>
        <w:tc>
          <w:tcPr>
            <w:tcW w:w="2783" w:type="dxa"/>
          </w:tcPr>
          <w:p w14:paraId="569EDB2D">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按照合同约定或甲方指定的时间、地点配送食材。</w:t>
            </w:r>
          </w:p>
        </w:tc>
        <w:tc>
          <w:tcPr>
            <w:tcW w:w="600" w:type="dxa"/>
          </w:tcPr>
          <w:p w14:paraId="13EFF02F">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10</w:t>
            </w:r>
          </w:p>
        </w:tc>
        <w:tc>
          <w:tcPr>
            <w:tcW w:w="3906" w:type="dxa"/>
          </w:tcPr>
          <w:p w14:paraId="36080A46">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每延误一批次扣1分。</w:t>
            </w:r>
          </w:p>
        </w:tc>
      </w:tr>
      <w:tr w14:paraId="55C0EB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8" w:type="dxa"/>
            <w:vMerge w:val="restart"/>
          </w:tcPr>
          <w:p w14:paraId="45D4C94A">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5</w:t>
            </w:r>
          </w:p>
        </w:tc>
        <w:tc>
          <w:tcPr>
            <w:tcW w:w="733" w:type="dxa"/>
            <w:vMerge w:val="restart"/>
          </w:tcPr>
          <w:p w14:paraId="0A9D9193">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服务质量</w:t>
            </w:r>
          </w:p>
          <w:p w14:paraId="7D38341F">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p>
        </w:tc>
        <w:tc>
          <w:tcPr>
            <w:tcW w:w="2783" w:type="dxa"/>
          </w:tcPr>
          <w:p w14:paraId="1BAB8F49">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遵守甲方场所管理规定，配合做好食材交接验收。</w:t>
            </w:r>
          </w:p>
        </w:tc>
        <w:tc>
          <w:tcPr>
            <w:tcW w:w="600" w:type="dxa"/>
          </w:tcPr>
          <w:p w14:paraId="65B59152">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5</w:t>
            </w:r>
          </w:p>
        </w:tc>
        <w:tc>
          <w:tcPr>
            <w:tcW w:w="3906" w:type="dxa"/>
          </w:tcPr>
          <w:p w14:paraId="0F46DF12">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未按甲方要求交接验收食材，不遵守管理规定的，出现一次扣1分。</w:t>
            </w:r>
          </w:p>
        </w:tc>
      </w:tr>
      <w:tr w14:paraId="29FC83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8" w:type="dxa"/>
            <w:vMerge w:val="continue"/>
          </w:tcPr>
          <w:p w14:paraId="42F30ACC">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p>
        </w:tc>
        <w:tc>
          <w:tcPr>
            <w:tcW w:w="733" w:type="dxa"/>
            <w:vMerge w:val="continue"/>
          </w:tcPr>
          <w:p w14:paraId="5917B45F">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p>
        </w:tc>
        <w:tc>
          <w:tcPr>
            <w:tcW w:w="2783" w:type="dxa"/>
          </w:tcPr>
          <w:p w14:paraId="744F2584">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建立食材供应应急保障机制，积极配合甲方做好特殊情况下食材配送保障。</w:t>
            </w:r>
          </w:p>
        </w:tc>
        <w:tc>
          <w:tcPr>
            <w:tcW w:w="600" w:type="dxa"/>
          </w:tcPr>
          <w:p w14:paraId="56E6984C">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7</w:t>
            </w:r>
          </w:p>
        </w:tc>
        <w:tc>
          <w:tcPr>
            <w:tcW w:w="3906" w:type="dxa"/>
          </w:tcPr>
          <w:p w14:paraId="54F5C5F6">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不能或不配合甲方做好特殊情况下食材配送保障的，出现一次扣1分。</w:t>
            </w:r>
          </w:p>
        </w:tc>
      </w:tr>
      <w:tr w14:paraId="68EAAF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8" w:type="dxa"/>
            <w:vMerge w:val="continue"/>
          </w:tcPr>
          <w:p w14:paraId="562B97D8">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p>
        </w:tc>
        <w:tc>
          <w:tcPr>
            <w:tcW w:w="733" w:type="dxa"/>
            <w:vMerge w:val="continue"/>
          </w:tcPr>
          <w:p w14:paraId="570DA6C5">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p>
        </w:tc>
        <w:tc>
          <w:tcPr>
            <w:tcW w:w="2783" w:type="dxa"/>
          </w:tcPr>
          <w:p w14:paraId="3FE834D9">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及时调换不符合配送要求或甲方指定更换的食材。</w:t>
            </w:r>
          </w:p>
        </w:tc>
        <w:tc>
          <w:tcPr>
            <w:tcW w:w="600" w:type="dxa"/>
          </w:tcPr>
          <w:p w14:paraId="51DFAB8F">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7</w:t>
            </w:r>
          </w:p>
        </w:tc>
        <w:tc>
          <w:tcPr>
            <w:tcW w:w="3906" w:type="dxa"/>
          </w:tcPr>
          <w:p w14:paraId="516ACFF7">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不配合及时调换相关不符合要求货物的，一次扣1分。</w:t>
            </w:r>
          </w:p>
        </w:tc>
      </w:tr>
      <w:tr w14:paraId="420B5E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8" w:type="dxa"/>
            <w:vMerge w:val="restart"/>
          </w:tcPr>
          <w:p w14:paraId="43C5BFEF">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6</w:t>
            </w:r>
          </w:p>
        </w:tc>
        <w:tc>
          <w:tcPr>
            <w:tcW w:w="733" w:type="dxa"/>
            <w:vMerge w:val="restart"/>
          </w:tcPr>
          <w:p w14:paraId="006CB718">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各类台账及对账</w:t>
            </w:r>
          </w:p>
        </w:tc>
        <w:tc>
          <w:tcPr>
            <w:tcW w:w="2783" w:type="dxa"/>
          </w:tcPr>
          <w:p w14:paraId="4CB2DFEA">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每批次配送的食材均有进出库记录</w:t>
            </w:r>
          </w:p>
        </w:tc>
        <w:tc>
          <w:tcPr>
            <w:tcW w:w="600" w:type="dxa"/>
          </w:tcPr>
          <w:p w14:paraId="17B6FC3D">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4</w:t>
            </w:r>
          </w:p>
        </w:tc>
        <w:tc>
          <w:tcPr>
            <w:tcW w:w="3906" w:type="dxa"/>
          </w:tcPr>
          <w:p w14:paraId="41023E73">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如有缺少，每批次扣1分。</w:t>
            </w:r>
          </w:p>
        </w:tc>
      </w:tr>
      <w:tr w14:paraId="7F707D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8" w:type="dxa"/>
            <w:vMerge w:val="continue"/>
          </w:tcPr>
          <w:p w14:paraId="6F1BDDDC">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p>
        </w:tc>
        <w:tc>
          <w:tcPr>
            <w:tcW w:w="733" w:type="dxa"/>
            <w:vMerge w:val="continue"/>
          </w:tcPr>
          <w:p w14:paraId="2405D338">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p>
        </w:tc>
        <w:tc>
          <w:tcPr>
            <w:tcW w:w="2783" w:type="dxa"/>
          </w:tcPr>
          <w:p w14:paraId="5F275B3C">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48小时食材留样记录</w:t>
            </w:r>
          </w:p>
        </w:tc>
        <w:tc>
          <w:tcPr>
            <w:tcW w:w="600" w:type="dxa"/>
          </w:tcPr>
          <w:p w14:paraId="2C2A3238">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4</w:t>
            </w:r>
          </w:p>
        </w:tc>
        <w:tc>
          <w:tcPr>
            <w:tcW w:w="3906" w:type="dxa"/>
          </w:tcPr>
          <w:p w14:paraId="31D447DE">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如有缺少，每批次扣1分。</w:t>
            </w:r>
          </w:p>
        </w:tc>
      </w:tr>
      <w:tr w14:paraId="0CFE39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8" w:type="dxa"/>
            <w:vMerge w:val="continue"/>
          </w:tcPr>
          <w:p w14:paraId="560CB9B2">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p>
        </w:tc>
        <w:tc>
          <w:tcPr>
            <w:tcW w:w="733" w:type="dxa"/>
            <w:vMerge w:val="continue"/>
          </w:tcPr>
          <w:p w14:paraId="7300FAFA">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p>
        </w:tc>
        <w:tc>
          <w:tcPr>
            <w:tcW w:w="2783" w:type="dxa"/>
          </w:tcPr>
          <w:p w14:paraId="179D6651">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财会人员按要求将有关票据、报表等送达甲方。</w:t>
            </w:r>
          </w:p>
        </w:tc>
        <w:tc>
          <w:tcPr>
            <w:tcW w:w="600" w:type="dxa"/>
          </w:tcPr>
          <w:p w14:paraId="6F564D88">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3</w:t>
            </w:r>
          </w:p>
        </w:tc>
        <w:tc>
          <w:tcPr>
            <w:tcW w:w="3906" w:type="dxa"/>
          </w:tcPr>
          <w:p w14:paraId="470BAC58">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未及时提供的，出现一次扣1分。</w:t>
            </w:r>
          </w:p>
        </w:tc>
      </w:tr>
      <w:tr w14:paraId="29187A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8" w:type="dxa"/>
          </w:tcPr>
          <w:p w14:paraId="59BE9104">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7</w:t>
            </w:r>
          </w:p>
        </w:tc>
        <w:tc>
          <w:tcPr>
            <w:tcW w:w="733" w:type="dxa"/>
          </w:tcPr>
          <w:p w14:paraId="5865C40D">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配送价格</w:t>
            </w:r>
          </w:p>
        </w:tc>
        <w:tc>
          <w:tcPr>
            <w:tcW w:w="2783" w:type="dxa"/>
          </w:tcPr>
          <w:p w14:paraId="7616E53A">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按合同约定的食材报价方式报价</w:t>
            </w:r>
          </w:p>
        </w:tc>
        <w:tc>
          <w:tcPr>
            <w:tcW w:w="600" w:type="dxa"/>
          </w:tcPr>
          <w:p w14:paraId="3CF53116">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10</w:t>
            </w:r>
          </w:p>
        </w:tc>
        <w:tc>
          <w:tcPr>
            <w:tcW w:w="3906" w:type="dxa"/>
          </w:tcPr>
          <w:p w14:paraId="693BAFF0">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不按照约定的报价方式报价的，每批次扣1分。</w:t>
            </w:r>
          </w:p>
        </w:tc>
      </w:tr>
      <w:tr w14:paraId="3EF776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61" w:type="dxa"/>
            <w:gridSpan w:val="2"/>
          </w:tcPr>
          <w:p w14:paraId="037928C9">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合计</w:t>
            </w:r>
          </w:p>
        </w:tc>
        <w:tc>
          <w:tcPr>
            <w:tcW w:w="7289" w:type="dxa"/>
            <w:gridSpan w:val="3"/>
          </w:tcPr>
          <w:p w14:paraId="1B4B0A6B">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100分</w:t>
            </w:r>
          </w:p>
        </w:tc>
      </w:tr>
    </w:tbl>
    <w:p w14:paraId="1DA5AAAA">
      <w:pPr>
        <w:pageBreakBefore w:val="0"/>
        <w:widowControl w:val="0"/>
        <w:wordWrap/>
        <w:overflowPunct/>
        <w:topLinePunct w:val="0"/>
        <w:bidi w:val="0"/>
        <w:spacing w:before="78" w:line="219" w:lineRule="auto"/>
        <w:rPr>
          <w:rFonts w:ascii="宋体" w:hAnsi="宋体" w:eastAsia="宋体" w:cs="宋体"/>
          <w:color w:val="000000" w:themeColor="text1"/>
          <w:spacing w:val="0"/>
          <w:position w:val="0"/>
          <w:sz w:val="24"/>
          <w:szCs w:val="24"/>
          <w:lang w:eastAsia="zh-CN"/>
          <w14:textFill>
            <w14:solidFill>
              <w14:schemeClr w14:val="tx1"/>
            </w14:solidFill>
          </w14:textFill>
        </w:rPr>
        <w:sectPr>
          <w:footerReference r:id="rId4" w:type="default"/>
          <w:pgSz w:w="11906" w:h="16839"/>
          <w:pgMar w:top="1429" w:right="1786" w:bottom="1429" w:left="1786" w:header="0" w:footer="994" w:gutter="0"/>
          <w:pgNumType w:fmt="decimal"/>
          <w:cols w:space="720" w:num="1"/>
        </w:sectPr>
      </w:pPr>
    </w:p>
    <w:p w14:paraId="3F6F4099">
      <w:pPr>
        <w:pageBreakBefore w:val="0"/>
        <w:widowControl w:val="0"/>
        <w:wordWrap/>
        <w:overflowPunct/>
        <w:topLinePunct w:val="0"/>
        <w:bidi w:val="0"/>
        <w:spacing w:before="78" w:line="219" w:lineRule="auto"/>
        <w:jc w:val="center"/>
        <w:rPr>
          <w:rFonts w:ascii="宋体" w:hAnsi="宋体" w:eastAsia="宋体" w:cs="宋体"/>
          <w:b/>
          <w:bCs/>
          <w:color w:val="000000" w:themeColor="text1"/>
          <w:spacing w:val="0"/>
          <w:position w:val="0"/>
          <w:sz w:val="32"/>
          <w:szCs w:val="32"/>
          <w:lang w:eastAsia="zh-CN"/>
          <w14:textFill>
            <w14:solidFill>
              <w14:schemeClr w14:val="tx1"/>
            </w14:solidFill>
          </w14:textFill>
        </w:rPr>
      </w:pPr>
      <w:r>
        <w:rPr>
          <w:rFonts w:ascii="宋体" w:hAnsi="宋体" w:eastAsia="宋体" w:cs="宋体"/>
          <w:b/>
          <w:bCs/>
          <w:color w:val="000000" w:themeColor="text1"/>
          <w:spacing w:val="0"/>
          <w:position w:val="0"/>
          <w:sz w:val="32"/>
          <w:szCs w:val="32"/>
          <w:lang w:eastAsia="zh-CN"/>
          <w14:textFill>
            <w14:solidFill>
              <w14:schemeClr w14:val="tx1"/>
            </w14:solidFill>
          </w14:textFill>
        </w:rPr>
        <w:t>（二） 商务条件</w:t>
      </w:r>
    </w:p>
    <w:p w14:paraId="2ABCB29E">
      <w:pPr>
        <w:pageBreakBefore w:val="0"/>
        <w:widowControl w:val="0"/>
        <w:wordWrap/>
        <w:overflowPunct/>
        <w:topLinePunct w:val="0"/>
        <w:bidi w:val="0"/>
        <w:spacing w:line="249" w:lineRule="auto"/>
        <w:rPr>
          <w:color w:val="000000" w:themeColor="text1"/>
          <w:spacing w:val="0"/>
          <w:position w:val="0"/>
          <w:lang w:eastAsia="zh-CN"/>
          <w14:textFill>
            <w14:solidFill>
              <w14:schemeClr w14:val="tx1"/>
            </w14:solidFill>
          </w14:textFill>
        </w:rPr>
      </w:pP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2"/>
        <w:gridCol w:w="1483"/>
        <w:gridCol w:w="6245"/>
      </w:tblGrid>
      <w:tr w14:paraId="367E64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2" w:type="dxa"/>
            <w:vAlign w:val="center"/>
          </w:tcPr>
          <w:p w14:paraId="045E6383">
            <w:pPr>
              <w:keepNext w:val="0"/>
              <w:keepLines w:val="0"/>
              <w:pageBreakBefore w:val="0"/>
              <w:widowControl w:val="0"/>
              <w:kinsoku/>
              <w:wordWrap w:val="0"/>
              <w:overflowPunct/>
              <w:topLinePunct w:val="0"/>
              <w:autoSpaceDE w:val="0"/>
              <w:autoSpaceDN w:val="0"/>
              <w:bidi w:val="0"/>
              <w:adjustRightInd w:val="0"/>
              <w:snapToGrid w:val="0"/>
              <w:spacing w:line="360" w:lineRule="auto"/>
              <w:jc w:val="center"/>
              <w:textAlignment w:val="baseline"/>
              <w:rPr>
                <w:rFonts w:hint="default" w:eastAsia="宋体"/>
                <w:b/>
                <w:bCs/>
                <w:color w:val="000000" w:themeColor="text1"/>
                <w:spacing w:val="0"/>
                <w:position w:val="0"/>
                <w:sz w:val="24"/>
                <w:vertAlign w:val="baseline"/>
                <w:lang w:val="en-US" w:eastAsia="zh-CN"/>
                <w14:textFill>
                  <w14:solidFill>
                    <w14:schemeClr w14:val="tx1"/>
                  </w14:solidFill>
                </w14:textFill>
              </w:rPr>
            </w:pPr>
            <w:r>
              <w:rPr>
                <w:rFonts w:hint="eastAsia" w:eastAsia="宋体"/>
                <w:b/>
                <w:bCs/>
                <w:color w:val="000000" w:themeColor="text1"/>
                <w:spacing w:val="0"/>
                <w:position w:val="0"/>
                <w:sz w:val="24"/>
                <w:vertAlign w:val="baseline"/>
                <w:lang w:val="en-US" w:eastAsia="zh-CN"/>
                <w14:textFill>
                  <w14:solidFill>
                    <w14:schemeClr w14:val="tx1"/>
                  </w14:solidFill>
                </w14:textFill>
              </w:rPr>
              <w:t>序号</w:t>
            </w:r>
          </w:p>
        </w:tc>
        <w:tc>
          <w:tcPr>
            <w:tcW w:w="1483" w:type="dxa"/>
            <w:vAlign w:val="center"/>
          </w:tcPr>
          <w:p w14:paraId="2067DAB1">
            <w:pPr>
              <w:keepNext w:val="0"/>
              <w:keepLines w:val="0"/>
              <w:pageBreakBefore w:val="0"/>
              <w:widowControl w:val="0"/>
              <w:kinsoku/>
              <w:wordWrap w:val="0"/>
              <w:overflowPunct/>
              <w:topLinePunct w:val="0"/>
              <w:autoSpaceDE w:val="0"/>
              <w:autoSpaceDN w:val="0"/>
              <w:bidi w:val="0"/>
              <w:adjustRightInd w:val="0"/>
              <w:snapToGrid w:val="0"/>
              <w:spacing w:line="360" w:lineRule="auto"/>
              <w:jc w:val="center"/>
              <w:textAlignment w:val="baseline"/>
              <w:rPr>
                <w:rFonts w:hint="default" w:eastAsia="宋体"/>
                <w:b/>
                <w:bCs/>
                <w:color w:val="000000" w:themeColor="text1"/>
                <w:spacing w:val="0"/>
                <w:position w:val="0"/>
                <w:sz w:val="24"/>
                <w:vertAlign w:val="baseline"/>
                <w:lang w:val="en-US" w:eastAsia="zh-CN"/>
                <w14:textFill>
                  <w14:solidFill>
                    <w14:schemeClr w14:val="tx1"/>
                  </w14:solidFill>
                </w14:textFill>
              </w:rPr>
            </w:pPr>
            <w:r>
              <w:rPr>
                <w:rFonts w:hint="eastAsia" w:eastAsia="宋体"/>
                <w:b/>
                <w:bCs/>
                <w:color w:val="000000" w:themeColor="text1"/>
                <w:spacing w:val="0"/>
                <w:position w:val="0"/>
                <w:sz w:val="24"/>
                <w:vertAlign w:val="baseline"/>
                <w:lang w:val="en-US" w:eastAsia="zh-CN"/>
                <w14:textFill>
                  <w14:solidFill>
                    <w14:schemeClr w14:val="tx1"/>
                  </w14:solidFill>
                </w14:textFill>
              </w:rPr>
              <w:t>需求名称</w:t>
            </w:r>
          </w:p>
        </w:tc>
        <w:tc>
          <w:tcPr>
            <w:tcW w:w="6245" w:type="dxa"/>
            <w:vAlign w:val="center"/>
          </w:tcPr>
          <w:p w14:paraId="6B254C16">
            <w:pPr>
              <w:keepNext w:val="0"/>
              <w:keepLines w:val="0"/>
              <w:pageBreakBefore w:val="0"/>
              <w:widowControl w:val="0"/>
              <w:kinsoku/>
              <w:wordWrap w:val="0"/>
              <w:overflowPunct/>
              <w:topLinePunct w:val="0"/>
              <w:autoSpaceDE w:val="0"/>
              <w:autoSpaceDN w:val="0"/>
              <w:bidi w:val="0"/>
              <w:adjustRightInd w:val="0"/>
              <w:snapToGrid w:val="0"/>
              <w:spacing w:line="360" w:lineRule="auto"/>
              <w:jc w:val="center"/>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bCs/>
                <w:color w:val="000000" w:themeColor="text1"/>
                <w:spacing w:val="0"/>
                <w:position w:val="0"/>
                <w:sz w:val="24"/>
                <w:vertAlign w:val="baseline"/>
                <w:lang w:val="en-US" w:eastAsia="zh-CN"/>
                <w14:textFill>
                  <w14:solidFill>
                    <w14:schemeClr w14:val="tx1"/>
                  </w14:solidFill>
                </w14:textFill>
              </w:rPr>
              <w:t>需求说明</w:t>
            </w:r>
          </w:p>
        </w:tc>
      </w:tr>
      <w:tr w14:paraId="2C45E7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2" w:type="dxa"/>
            <w:vAlign w:val="center"/>
          </w:tcPr>
          <w:p w14:paraId="71A4FB1B">
            <w:pPr>
              <w:keepNext w:val="0"/>
              <w:keepLines w:val="0"/>
              <w:pageBreakBefore w:val="0"/>
              <w:widowControl w:val="0"/>
              <w:kinsoku/>
              <w:wordWrap w:val="0"/>
              <w:overflowPunct/>
              <w:topLinePunct w:val="0"/>
              <w:autoSpaceDE w:val="0"/>
              <w:autoSpaceDN w:val="0"/>
              <w:bidi w:val="0"/>
              <w:adjustRightInd w:val="0"/>
              <w:snapToGrid w:val="0"/>
              <w:spacing w:line="360" w:lineRule="auto"/>
              <w:jc w:val="center"/>
              <w:textAlignment w:val="baseline"/>
              <w:rPr>
                <w:rFonts w:hint="default" w:eastAsia="宋体"/>
                <w:b/>
                <w:bCs/>
                <w:color w:val="000000" w:themeColor="text1"/>
                <w:spacing w:val="0"/>
                <w:position w:val="0"/>
                <w:sz w:val="24"/>
                <w:vertAlign w:val="baseline"/>
                <w:lang w:val="en-US" w:eastAsia="zh-CN"/>
                <w14:textFill>
                  <w14:solidFill>
                    <w14:schemeClr w14:val="tx1"/>
                  </w14:solidFill>
                </w14:textFill>
              </w:rPr>
            </w:pPr>
            <w:r>
              <w:rPr>
                <w:rFonts w:hint="eastAsia" w:eastAsia="宋体"/>
                <w:b/>
                <w:bCs/>
                <w:color w:val="000000" w:themeColor="text1"/>
                <w:spacing w:val="0"/>
                <w:position w:val="0"/>
                <w:sz w:val="24"/>
                <w:vertAlign w:val="baseline"/>
                <w:lang w:val="en-US" w:eastAsia="zh-CN"/>
                <w14:textFill>
                  <w14:solidFill>
                    <w14:schemeClr w14:val="tx1"/>
                  </w14:solidFill>
                </w14:textFill>
              </w:rPr>
              <w:t>1</w:t>
            </w:r>
          </w:p>
        </w:tc>
        <w:tc>
          <w:tcPr>
            <w:tcW w:w="1483" w:type="dxa"/>
            <w:vAlign w:val="center"/>
          </w:tcPr>
          <w:p w14:paraId="0E2419C8">
            <w:pPr>
              <w:keepNext w:val="0"/>
              <w:keepLines w:val="0"/>
              <w:pageBreakBefore w:val="0"/>
              <w:widowControl w:val="0"/>
              <w:kinsoku/>
              <w:wordWrap w:val="0"/>
              <w:overflowPunct/>
              <w:topLinePunct w:val="0"/>
              <w:autoSpaceDE w:val="0"/>
              <w:autoSpaceDN w:val="0"/>
              <w:bidi w:val="0"/>
              <w:adjustRightInd w:val="0"/>
              <w:snapToGrid w:val="0"/>
              <w:spacing w:line="360" w:lineRule="auto"/>
              <w:jc w:val="center"/>
              <w:textAlignment w:val="baseline"/>
              <w:rPr>
                <w:rFonts w:hint="eastAsia" w:eastAsia="宋体"/>
                <w:b/>
                <w:bCs/>
                <w:color w:val="000000" w:themeColor="text1"/>
                <w:spacing w:val="0"/>
                <w:position w:val="0"/>
                <w:sz w:val="24"/>
                <w:vertAlign w:val="baseline"/>
                <w:lang w:val="en-US" w:eastAsia="zh-CN"/>
                <w14:textFill>
                  <w14:solidFill>
                    <w14:schemeClr w14:val="tx1"/>
                  </w14:solidFill>
                </w14:textFill>
              </w:rPr>
            </w:pPr>
            <w:r>
              <w:rPr>
                <w:rFonts w:hint="eastAsia" w:eastAsia="宋体"/>
                <w:b/>
                <w:bCs/>
                <w:color w:val="000000" w:themeColor="text1"/>
                <w:spacing w:val="0"/>
                <w:position w:val="0"/>
                <w:sz w:val="24"/>
                <w:vertAlign w:val="baseline"/>
                <w:lang w:val="en-US" w:eastAsia="zh-CN"/>
                <w14:textFill>
                  <w14:solidFill>
                    <w14:schemeClr w14:val="tx1"/>
                  </w14:solidFill>
                </w14:textFill>
              </w:rPr>
              <w:t>交货地点</w:t>
            </w:r>
          </w:p>
        </w:tc>
        <w:tc>
          <w:tcPr>
            <w:tcW w:w="6245" w:type="dxa"/>
            <w:vAlign w:val="center"/>
          </w:tcPr>
          <w:p w14:paraId="3AAE8D3A">
            <w:pPr>
              <w:keepNext w:val="0"/>
              <w:keepLines w:val="0"/>
              <w:pageBreakBefore w:val="0"/>
              <w:widowControl w:val="0"/>
              <w:kinsoku/>
              <w:wordWrap w:val="0"/>
              <w:overflowPunct/>
              <w:topLinePunct w:val="0"/>
              <w:autoSpaceDE w:val="0"/>
              <w:autoSpaceDN w:val="0"/>
              <w:bidi w:val="0"/>
              <w:adjustRightInd w:val="0"/>
              <w:snapToGrid w:val="0"/>
              <w:spacing w:line="360" w:lineRule="auto"/>
              <w:jc w:val="center"/>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采购人指定地点</w:t>
            </w:r>
          </w:p>
        </w:tc>
      </w:tr>
      <w:tr w14:paraId="010262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2" w:type="dxa"/>
            <w:vAlign w:val="center"/>
          </w:tcPr>
          <w:p w14:paraId="01356871">
            <w:pPr>
              <w:keepNext w:val="0"/>
              <w:keepLines w:val="0"/>
              <w:pageBreakBefore w:val="0"/>
              <w:widowControl w:val="0"/>
              <w:kinsoku/>
              <w:wordWrap w:val="0"/>
              <w:overflowPunct/>
              <w:topLinePunct w:val="0"/>
              <w:autoSpaceDE w:val="0"/>
              <w:autoSpaceDN w:val="0"/>
              <w:bidi w:val="0"/>
              <w:adjustRightInd w:val="0"/>
              <w:snapToGrid w:val="0"/>
              <w:spacing w:line="360" w:lineRule="auto"/>
              <w:jc w:val="center"/>
              <w:textAlignment w:val="baseline"/>
              <w:rPr>
                <w:rFonts w:hint="default" w:eastAsia="宋体"/>
                <w:b/>
                <w:bCs/>
                <w:color w:val="000000" w:themeColor="text1"/>
                <w:spacing w:val="0"/>
                <w:position w:val="0"/>
                <w:sz w:val="24"/>
                <w:vertAlign w:val="baseline"/>
                <w:lang w:val="en-US" w:eastAsia="zh-CN"/>
                <w14:textFill>
                  <w14:solidFill>
                    <w14:schemeClr w14:val="tx1"/>
                  </w14:solidFill>
                </w14:textFill>
              </w:rPr>
            </w:pPr>
            <w:r>
              <w:rPr>
                <w:rFonts w:hint="eastAsia" w:eastAsia="宋体"/>
                <w:b/>
                <w:bCs/>
                <w:color w:val="000000" w:themeColor="text1"/>
                <w:spacing w:val="0"/>
                <w:position w:val="0"/>
                <w:sz w:val="24"/>
                <w:vertAlign w:val="baseline"/>
                <w:lang w:val="en-US" w:eastAsia="zh-CN"/>
                <w14:textFill>
                  <w14:solidFill>
                    <w14:schemeClr w14:val="tx1"/>
                  </w14:solidFill>
                </w14:textFill>
              </w:rPr>
              <w:t>2</w:t>
            </w:r>
          </w:p>
        </w:tc>
        <w:tc>
          <w:tcPr>
            <w:tcW w:w="1483" w:type="dxa"/>
            <w:vAlign w:val="center"/>
          </w:tcPr>
          <w:p w14:paraId="39E8F963">
            <w:pPr>
              <w:keepNext w:val="0"/>
              <w:keepLines w:val="0"/>
              <w:pageBreakBefore w:val="0"/>
              <w:widowControl w:val="0"/>
              <w:kinsoku/>
              <w:wordWrap w:val="0"/>
              <w:overflowPunct/>
              <w:topLinePunct w:val="0"/>
              <w:autoSpaceDE w:val="0"/>
              <w:autoSpaceDN w:val="0"/>
              <w:bidi w:val="0"/>
              <w:adjustRightInd w:val="0"/>
              <w:snapToGrid w:val="0"/>
              <w:spacing w:line="360" w:lineRule="auto"/>
              <w:jc w:val="center"/>
              <w:textAlignment w:val="baseline"/>
              <w:rPr>
                <w:rFonts w:hint="default" w:eastAsia="宋体"/>
                <w:b/>
                <w:bCs/>
                <w:color w:val="000000" w:themeColor="text1"/>
                <w:spacing w:val="0"/>
                <w:position w:val="0"/>
                <w:sz w:val="24"/>
                <w:vertAlign w:val="baseline"/>
                <w:lang w:val="en-US" w:eastAsia="zh-CN"/>
                <w14:textFill>
                  <w14:solidFill>
                    <w14:schemeClr w14:val="tx1"/>
                  </w14:solidFill>
                </w14:textFill>
              </w:rPr>
            </w:pPr>
            <w:r>
              <w:rPr>
                <w:rFonts w:hint="eastAsia" w:eastAsia="宋体"/>
                <w:b/>
                <w:bCs/>
                <w:color w:val="000000" w:themeColor="text1"/>
                <w:spacing w:val="0"/>
                <w:position w:val="0"/>
                <w:sz w:val="24"/>
                <w:vertAlign w:val="baseline"/>
                <w:lang w:val="en-US" w:eastAsia="zh-CN"/>
                <w14:textFill>
                  <w14:solidFill>
                    <w14:schemeClr w14:val="tx1"/>
                  </w14:solidFill>
                </w14:textFill>
              </w:rPr>
              <w:t>服务期限</w:t>
            </w:r>
          </w:p>
        </w:tc>
        <w:tc>
          <w:tcPr>
            <w:tcW w:w="6245" w:type="dxa"/>
            <w:vAlign w:val="center"/>
          </w:tcPr>
          <w:p w14:paraId="3F0AFA39">
            <w:pPr>
              <w:keepNext w:val="0"/>
              <w:keepLines w:val="0"/>
              <w:pageBreakBefore w:val="0"/>
              <w:widowControl w:val="0"/>
              <w:kinsoku/>
              <w:wordWrap w:val="0"/>
              <w:overflowPunct/>
              <w:topLinePunct w:val="0"/>
              <w:autoSpaceDE w:val="0"/>
              <w:autoSpaceDN w:val="0"/>
              <w:bidi w:val="0"/>
              <w:adjustRightInd w:val="0"/>
              <w:snapToGrid w:val="0"/>
              <w:spacing w:line="360" w:lineRule="auto"/>
              <w:jc w:val="center"/>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总配送服务期限为壹年(考核合格续签第二年)</w:t>
            </w:r>
          </w:p>
        </w:tc>
      </w:tr>
      <w:tr w14:paraId="1AD3A5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2" w:type="dxa"/>
            <w:vAlign w:val="center"/>
          </w:tcPr>
          <w:p w14:paraId="08803C82">
            <w:pPr>
              <w:keepNext w:val="0"/>
              <w:keepLines w:val="0"/>
              <w:pageBreakBefore w:val="0"/>
              <w:widowControl w:val="0"/>
              <w:kinsoku/>
              <w:wordWrap w:val="0"/>
              <w:overflowPunct/>
              <w:topLinePunct w:val="0"/>
              <w:autoSpaceDE w:val="0"/>
              <w:autoSpaceDN w:val="0"/>
              <w:bidi w:val="0"/>
              <w:adjustRightInd w:val="0"/>
              <w:snapToGrid w:val="0"/>
              <w:spacing w:line="360" w:lineRule="auto"/>
              <w:jc w:val="center"/>
              <w:textAlignment w:val="baseline"/>
              <w:rPr>
                <w:rFonts w:hint="default" w:eastAsia="宋体"/>
                <w:b/>
                <w:bCs/>
                <w:color w:val="000000" w:themeColor="text1"/>
                <w:spacing w:val="0"/>
                <w:position w:val="0"/>
                <w:sz w:val="24"/>
                <w:vertAlign w:val="baseline"/>
                <w:lang w:val="en-US" w:eastAsia="zh-CN"/>
                <w14:textFill>
                  <w14:solidFill>
                    <w14:schemeClr w14:val="tx1"/>
                  </w14:solidFill>
                </w14:textFill>
              </w:rPr>
            </w:pPr>
            <w:r>
              <w:rPr>
                <w:rFonts w:hint="eastAsia" w:eastAsia="宋体"/>
                <w:b/>
                <w:bCs/>
                <w:color w:val="000000" w:themeColor="text1"/>
                <w:spacing w:val="0"/>
                <w:position w:val="0"/>
                <w:sz w:val="24"/>
                <w:vertAlign w:val="baseline"/>
                <w:lang w:val="en-US" w:eastAsia="zh-CN"/>
                <w14:textFill>
                  <w14:solidFill>
                    <w14:schemeClr w14:val="tx1"/>
                  </w14:solidFill>
                </w14:textFill>
              </w:rPr>
              <w:t>3</w:t>
            </w:r>
          </w:p>
        </w:tc>
        <w:tc>
          <w:tcPr>
            <w:tcW w:w="1483" w:type="dxa"/>
            <w:vAlign w:val="center"/>
          </w:tcPr>
          <w:p w14:paraId="4F6523A1">
            <w:pPr>
              <w:keepNext w:val="0"/>
              <w:keepLines w:val="0"/>
              <w:pageBreakBefore w:val="0"/>
              <w:widowControl w:val="0"/>
              <w:kinsoku/>
              <w:wordWrap w:val="0"/>
              <w:overflowPunct/>
              <w:topLinePunct w:val="0"/>
              <w:autoSpaceDE w:val="0"/>
              <w:autoSpaceDN w:val="0"/>
              <w:bidi w:val="0"/>
              <w:adjustRightInd w:val="0"/>
              <w:snapToGrid w:val="0"/>
              <w:spacing w:line="360" w:lineRule="auto"/>
              <w:jc w:val="center"/>
              <w:textAlignment w:val="baseline"/>
              <w:rPr>
                <w:rFonts w:hint="default" w:eastAsia="宋体"/>
                <w:b/>
                <w:bCs/>
                <w:color w:val="000000" w:themeColor="text1"/>
                <w:spacing w:val="0"/>
                <w:position w:val="0"/>
                <w:sz w:val="24"/>
                <w:vertAlign w:val="baseline"/>
                <w:lang w:val="en-US" w:eastAsia="zh-CN"/>
                <w14:textFill>
                  <w14:solidFill>
                    <w14:schemeClr w14:val="tx1"/>
                  </w14:solidFill>
                </w14:textFill>
              </w:rPr>
            </w:pPr>
            <w:r>
              <w:rPr>
                <w:rFonts w:hint="eastAsia" w:eastAsia="宋体"/>
                <w:b/>
                <w:bCs/>
                <w:color w:val="000000" w:themeColor="text1"/>
                <w:spacing w:val="0"/>
                <w:position w:val="0"/>
                <w:sz w:val="24"/>
                <w:vertAlign w:val="baseline"/>
                <w:lang w:val="en-US" w:eastAsia="zh-CN"/>
                <w14:textFill>
                  <w14:solidFill>
                    <w14:schemeClr w14:val="tx1"/>
                  </w14:solidFill>
                </w14:textFill>
              </w:rPr>
              <w:t>付款条件</w:t>
            </w:r>
          </w:p>
        </w:tc>
        <w:tc>
          <w:tcPr>
            <w:tcW w:w="6245" w:type="dxa"/>
            <w:vAlign w:val="center"/>
          </w:tcPr>
          <w:p w14:paraId="3BB776EC">
            <w:pPr>
              <w:keepNext w:val="0"/>
              <w:keepLines w:val="0"/>
              <w:pageBreakBefore w:val="0"/>
              <w:widowControl w:val="0"/>
              <w:numPr>
                <w:ilvl w:val="0"/>
                <w:numId w:val="2"/>
              </w:numPr>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结算方式：每半个月由采购人（或双方共同）组织询价一次。询价渠道为：选取本区域内三个以上（含三个）中大型超市，或三个以上（含三个）中大型农贸市场的同一食材价格，计算其算术平均值作为当期基准价。该基准价不得高于新余市发展和改革委员会公布的最新一期《价格监测简报》（http://fgw.xinyu.gov.cn/）及江西省发展与改革委员会配送当月最后一周公布的《江西省居民生活必需品价格监测报表》（http://drc.jiangxi.gov.cn/）中相同食材的价格。最终结算以实际配送数量为准，据实支付。</w:t>
            </w:r>
          </w:p>
          <w:p w14:paraId="4B7291D7">
            <w:pPr>
              <w:keepNext w:val="0"/>
              <w:keepLines w:val="0"/>
              <w:pageBreakBefore w:val="0"/>
              <w:widowControl w:val="0"/>
              <w:numPr>
                <w:ilvl w:val="0"/>
                <w:numId w:val="0"/>
              </w:numPr>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2、按每月所有物品实际供货量、当月基准价及中标折扣率进行结算，原则上一个月付款一次，每次付款前均需向采购敬老院提供正规税务发票，采购敬老院于次月 15日之前 (遇节假日顺延)将上月有双方认可签字的物品验收清单合计总额通过银行转账方式结算。</w:t>
            </w:r>
          </w:p>
          <w:p w14:paraId="53101D05">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最终结算价=当月实际供货量×（当月基准价×中标折扣率）。</w:t>
            </w:r>
          </w:p>
        </w:tc>
      </w:tr>
      <w:tr w14:paraId="3A3577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2" w:type="dxa"/>
            <w:vAlign w:val="center"/>
          </w:tcPr>
          <w:p w14:paraId="26B53A57">
            <w:pPr>
              <w:keepNext w:val="0"/>
              <w:keepLines w:val="0"/>
              <w:pageBreakBefore w:val="0"/>
              <w:widowControl w:val="0"/>
              <w:kinsoku/>
              <w:wordWrap w:val="0"/>
              <w:overflowPunct/>
              <w:topLinePunct w:val="0"/>
              <w:autoSpaceDE w:val="0"/>
              <w:autoSpaceDN w:val="0"/>
              <w:bidi w:val="0"/>
              <w:adjustRightInd w:val="0"/>
              <w:snapToGrid w:val="0"/>
              <w:spacing w:line="360" w:lineRule="auto"/>
              <w:jc w:val="center"/>
              <w:textAlignment w:val="baseline"/>
              <w:rPr>
                <w:rFonts w:hint="default" w:eastAsia="宋体"/>
                <w:b/>
                <w:bCs/>
                <w:color w:val="000000" w:themeColor="text1"/>
                <w:spacing w:val="0"/>
                <w:position w:val="0"/>
                <w:sz w:val="24"/>
                <w:vertAlign w:val="baseline"/>
                <w:lang w:val="en-US" w:eastAsia="zh-CN"/>
                <w14:textFill>
                  <w14:solidFill>
                    <w14:schemeClr w14:val="tx1"/>
                  </w14:solidFill>
                </w14:textFill>
              </w:rPr>
            </w:pPr>
            <w:r>
              <w:rPr>
                <w:rFonts w:hint="eastAsia" w:eastAsia="宋体"/>
                <w:b/>
                <w:bCs/>
                <w:color w:val="000000" w:themeColor="text1"/>
                <w:spacing w:val="0"/>
                <w:position w:val="0"/>
                <w:sz w:val="24"/>
                <w:vertAlign w:val="baseline"/>
                <w:lang w:val="en-US" w:eastAsia="zh-CN"/>
                <w14:textFill>
                  <w14:solidFill>
                    <w14:schemeClr w14:val="tx1"/>
                  </w14:solidFill>
                </w14:textFill>
              </w:rPr>
              <w:t>4</w:t>
            </w:r>
          </w:p>
        </w:tc>
        <w:tc>
          <w:tcPr>
            <w:tcW w:w="1483" w:type="dxa"/>
            <w:vAlign w:val="center"/>
          </w:tcPr>
          <w:p w14:paraId="30F37DA1">
            <w:pPr>
              <w:keepNext w:val="0"/>
              <w:keepLines w:val="0"/>
              <w:pageBreakBefore w:val="0"/>
              <w:widowControl w:val="0"/>
              <w:kinsoku/>
              <w:wordWrap w:val="0"/>
              <w:overflowPunct/>
              <w:topLinePunct w:val="0"/>
              <w:autoSpaceDE w:val="0"/>
              <w:autoSpaceDN w:val="0"/>
              <w:bidi w:val="0"/>
              <w:adjustRightInd w:val="0"/>
              <w:snapToGrid w:val="0"/>
              <w:spacing w:line="360" w:lineRule="auto"/>
              <w:jc w:val="center"/>
              <w:textAlignment w:val="baseline"/>
              <w:rPr>
                <w:rFonts w:hint="default" w:eastAsia="宋体"/>
                <w:b/>
                <w:bCs/>
                <w:color w:val="000000" w:themeColor="text1"/>
                <w:spacing w:val="0"/>
                <w:position w:val="0"/>
                <w:sz w:val="24"/>
                <w:vertAlign w:val="baseline"/>
                <w:lang w:val="en-US" w:eastAsia="zh-CN"/>
                <w14:textFill>
                  <w14:solidFill>
                    <w14:schemeClr w14:val="tx1"/>
                  </w14:solidFill>
                </w14:textFill>
              </w:rPr>
            </w:pPr>
            <w:r>
              <w:rPr>
                <w:rFonts w:hint="eastAsia" w:eastAsia="宋体"/>
                <w:b/>
                <w:bCs/>
                <w:color w:val="000000" w:themeColor="text1"/>
                <w:spacing w:val="0"/>
                <w:position w:val="0"/>
                <w:sz w:val="24"/>
                <w:vertAlign w:val="baseline"/>
                <w:lang w:val="en-US" w:eastAsia="zh-CN"/>
                <w14:textFill>
                  <w14:solidFill>
                    <w14:schemeClr w14:val="tx1"/>
                  </w14:solidFill>
                </w14:textFill>
              </w:rPr>
              <w:t>验收要求</w:t>
            </w:r>
          </w:p>
        </w:tc>
        <w:tc>
          <w:tcPr>
            <w:tcW w:w="6245" w:type="dxa"/>
            <w:vAlign w:val="center"/>
          </w:tcPr>
          <w:p w14:paraId="2699AA77">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1、验收：每次所供应食品原材料须接受现场验货，并在送货清单上签字，作为结算依据。</w:t>
            </w:r>
          </w:p>
          <w:p w14:paraId="46B6CCE1">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2、验收管理：</w:t>
            </w:r>
          </w:p>
          <w:p w14:paraId="0FADDF6A">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各敬老院食堂建立“双人或多人联检 ”查验制度，在现场负责大宗食材验收，验收人员至少包含敬老院食品安全员和食堂管理人员，集体验收，公开透明，各敬老院根据需要保留影像资料，清晰详实记录进货查验情况，内容包括但不限于以下内容：</w:t>
            </w:r>
          </w:p>
          <w:p w14:paraId="4A1D430B">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①信息核对：核对采购大宗食材与购货凭证（或者送货单据）上的名称、数量是否相符。</w:t>
            </w:r>
          </w:p>
          <w:p w14:paraId="41ED99F0">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②外观检查：检查包装是否有破损、污渍、霉变、腐烂，感官性状是否异常，是否有异味，是否有病虫害附着等。</w:t>
            </w:r>
          </w:p>
          <w:p w14:paraId="6E3A16DC">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③标签检查：检查外包装标注信息是否完整，是否有产品的名称、规格或者净含量、生产日期、保质期、成分或者配料表、贮存条件等信息， 是否标识生产者的名称、地址、联系方式以及产品标准代号、生产许可证编号等。</w:t>
            </w:r>
          </w:p>
          <w:p w14:paraId="62798BF7">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④温度检查：需冷藏冷冻的大宗食材是否冷链运输，冷藏大宗食材表面温度与标签标识的温度要求不得超过+3℃,冷冻大宗食材表面温度不宜高于-9℃。</w:t>
            </w:r>
          </w:p>
          <w:p w14:paraId="3A6FCF96">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⑤票据核验：检查随货同行的产品合格证明文件，文件上载明的内容是否与到货的食品生产日期、规格等信息保持一致。</w:t>
            </w:r>
          </w:p>
          <w:p w14:paraId="11492F0D">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⑥中标供应商自备称重仪器，供应前按采购人采购计划分拣好并自行称重，采购单位接收货物时使用进行复称，双方称重一致时，即完成数量验收。</w:t>
            </w:r>
          </w:p>
          <w:p w14:paraId="79A2D080">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default"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3、采购人由 2 位以上人员验收并共同在送货单上签字确认。</w:t>
            </w:r>
          </w:p>
        </w:tc>
      </w:tr>
      <w:tr w14:paraId="5E7581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2" w:type="dxa"/>
            <w:vAlign w:val="center"/>
          </w:tcPr>
          <w:p w14:paraId="1FCF2DCE">
            <w:pPr>
              <w:pageBreakBefore w:val="0"/>
              <w:widowControl w:val="0"/>
              <w:wordWrap/>
              <w:overflowPunct/>
              <w:topLinePunct w:val="0"/>
              <w:bidi w:val="0"/>
              <w:spacing w:line="249" w:lineRule="auto"/>
              <w:jc w:val="center"/>
              <w:rPr>
                <w:rFonts w:hint="default"/>
                <w:b/>
                <w:bCs/>
                <w:color w:val="000000" w:themeColor="text1"/>
                <w:spacing w:val="0"/>
                <w:position w:val="0"/>
                <w:vertAlign w:val="baseline"/>
                <w:lang w:val="en-US" w:eastAsia="zh-CN"/>
                <w14:textFill>
                  <w14:solidFill>
                    <w14:schemeClr w14:val="tx1"/>
                  </w14:solidFill>
                </w14:textFill>
              </w:rPr>
            </w:pPr>
            <w:r>
              <w:rPr>
                <w:rFonts w:hint="eastAsia"/>
                <w:b/>
                <w:bCs/>
                <w:color w:val="000000" w:themeColor="text1"/>
                <w:spacing w:val="0"/>
                <w:position w:val="0"/>
                <w:vertAlign w:val="baseline"/>
                <w:lang w:val="en-US" w:eastAsia="zh-CN"/>
                <w14:textFill>
                  <w14:solidFill>
                    <w14:schemeClr w14:val="tx1"/>
                  </w14:solidFill>
                </w14:textFill>
              </w:rPr>
              <w:t>5</w:t>
            </w:r>
          </w:p>
        </w:tc>
        <w:tc>
          <w:tcPr>
            <w:tcW w:w="1483" w:type="dxa"/>
            <w:vAlign w:val="center"/>
          </w:tcPr>
          <w:p w14:paraId="649C8F7E">
            <w:pPr>
              <w:keepNext w:val="0"/>
              <w:keepLines w:val="0"/>
              <w:pageBreakBefore w:val="0"/>
              <w:widowControl w:val="0"/>
              <w:kinsoku/>
              <w:wordWrap w:val="0"/>
              <w:overflowPunct/>
              <w:topLinePunct w:val="0"/>
              <w:autoSpaceDE w:val="0"/>
              <w:autoSpaceDN w:val="0"/>
              <w:bidi w:val="0"/>
              <w:adjustRightInd w:val="0"/>
              <w:snapToGrid w:val="0"/>
              <w:spacing w:line="360" w:lineRule="auto"/>
              <w:jc w:val="center"/>
              <w:textAlignment w:val="baseline"/>
              <w:rPr>
                <w:rFonts w:hint="eastAsia" w:eastAsia="宋体"/>
                <w:b/>
                <w:bCs/>
                <w:color w:val="000000" w:themeColor="text1"/>
                <w:spacing w:val="0"/>
                <w:position w:val="0"/>
                <w:sz w:val="24"/>
                <w:vertAlign w:val="baseline"/>
                <w:lang w:val="en-US" w:eastAsia="zh-CN"/>
                <w14:textFill>
                  <w14:solidFill>
                    <w14:schemeClr w14:val="tx1"/>
                  </w14:solidFill>
                </w14:textFill>
              </w:rPr>
            </w:pPr>
            <w:r>
              <w:rPr>
                <w:rFonts w:hint="eastAsia" w:eastAsia="宋体"/>
                <w:b/>
                <w:bCs/>
                <w:color w:val="000000" w:themeColor="text1"/>
                <w:spacing w:val="0"/>
                <w:position w:val="0"/>
                <w:sz w:val="24"/>
                <w:vertAlign w:val="baseline"/>
                <w:lang w:val="en-US" w:eastAsia="zh-CN"/>
                <w14:textFill>
                  <w14:solidFill>
                    <w14:schemeClr w14:val="tx1"/>
                  </w14:solidFill>
                </w14:textFill>
              </w:rPr>
              <w:t>售后服务</w:t>
            </w:r>
          </w:p>
        </w:tc>
        <w:tc>
          <w:tcPr>
            <w:tcW w:w="6245" w:type="dxa"/>
            <w:vAlign w:val="center"/>
          </w:tcPr>
          <w:p w14:paraId="2C8F882D">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1、所提供的货品质量必须符合国家质量技术监督和食品卫生标准，并符合敬老院食品安全要求，同时提供有效的质检报告，若采购人验收中发现质量不符，配送单位无条件给予退换，采购单位视情给予相应处罚。</w:t>
            </w:r>
          </w:p>
          <w:p w14:paraId="79F0AE66">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2、因货品的质量或产地等问题发生争议，采购人或中标人认为有需要，可以共同提出或分别提出质量鉴定，江西省质检部门与新余市质检部门的鉴定结论不一致的，以江西省质检部门的鉴定结论为准。产品符合规定标准的，鉴定费由采购人承担；产品不符合规定标准的，鉴定费由中标人承担，并需承担相应的责任。</w:t>
            </w:r>
          </w:p>
          <w:p w14:paraId="33BCA025">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3、中标人需配备运送食品及原材料的专用车辆，车辆必须每日清洁、消毒，拍照做好记录待查，并做好责任人登记；配备专人联络且该联络人原则上不得变更；从事食品及原材料配送人员须持有有效健康证方可上岗，并且需定期体检，体检如有出现染病情况，需立即向采购单位报告并更换配送人员。</w:t>
            </w:r>
          </w:p>
          <w:p w14:paraId="6DFDD7DD">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4、非用户的人为原因而出现产品质量问题，中标人应包换或包退，并承担因此而产生的一切费用。</w:t>
            </w:r>
          </w:p>
          <w:p w14:paraId="2D65E520">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5、中标人在实施货物供货期间，不得将供货的实际数量及供货地点泄露给其他企业或者个人，中标人需指派相对固定的人员完成货物配送服务，并需将配送人员的详细资料报采购人备案，货物配送人员需遵纪守法、品行良好，无违法犯罪记录。</w:t>
            </w:r>
          </w:p>
          <w:p w14:paraId="69514AA1">
            <w:pPr>
              <w:keepNext w:val="0"/>
              <w:keepLines w:val="0"/>
              <w:pageBreakBefore w:val="0"/>
              <w:widowControl w:val="0"/>
              <w:kinsoku/>
              <w:wordWrap w:val="0"/>
              <w:overflowPunct/>
              <w:topLinePunct w:val="0"/>
              <w:autoSpaceDE w:val="0"/>
              <w:autoSpaceDN w:val="0"/>
              <w:bidi w:val="0"/>
              <w:adjustRightInd w:val="0"/>
              <w:snapToGrid w:val="0"/>
              <w:spacing w:line="360" w:lineRule="auto"/>
              <w:jc w:val="both"/>
              <w:textAlignment w:val="baseline"/>
              <w:rPr>
                <w:rFonts w:hint="eastAsia" w:eastAsia="宋体"/>
                <w:b w:val="0"/>
                <w:color w:val="000000" w:themeColor="text1"/>
                <w:spacing w:val="0"/>
                <w:position w:val="0"/>
                <w:sz w:val="24"/>
                <w:vertAlign w:val="baseline"/>
                <w:lang w:val="en-US" w:eastAsia="zh-CN"/>
                <w14:textFill>
                  <w14:solidFill>
                    <w14:schemeClr w14:val="tx1"/>
                  </w14:solidFill>
                </w14:textFill>
              </w:rPr>
            </w:pPr>
            <w:r>
              <w:rPr>
                <w:rFonts w:hint="eastAsia" w:eastAsia="宋体"/>
                <w:b w:val="0"/>
                <w:color w:val="000000" w:themeColor="text1"/>
                <w:spacing w:val="0"/>
                <w:position w:val="0"/>
                <w:sz w:val="24"/>
                <w:vertAlign w:val="baseline"/>
                <w:lang w:val="en-US" w:eastAsia="zh-CN"/>
                <w14:textFill>
                  <w14:solidFill>
                    <w14:schemeClr w14:val="tx1"/>
                  </w14:solidFill>
                </w14:textFill>
              </w:rPr>
              <w:t>6、配送单位工作人员及车辆在现场必须服从采购单位的管理规定。</w:t>
            </w:r>
          </w:p>
        </w:tc>
      </w:tr>
    </w:tbl>
    <w:p w14:paraId="7086FD55">
      <w:pPr>
        <w:pageBreakBefore w:val="0"/>
        <w:widowControl w:val="0"/>
        <w:wordWrap/>
        <w:overflowPunct/>
        <w:topLinePunct w:val="0"/>
        <w:bidi w:val="0"/>
        <w:rPr>
          <w:vanish/>
          <w:color w:val="000000" w:themeColor="text1"/>
          <w:spacing w:val="0"/>
          <w:position w:val="0"/>
          <w:sz w:val="21"/>
          <w:lang w:eastAsia="zh-CN"/>
          <w14:textFill>
            <w14:solidFill>
              <w14:schemeClr w14:val="tx1"/>
            </w14:solidFill>
          </w14:textFill>
        </w:rPr>
      </w:pPr>
      <w:bookmarkStart w:id="3" w:name="bookmark82"/>
      <w:bookmarkEnd w:id="3"/>
    </w:p>
    <w:sectPr>
      <w:footerReference r:id="rId5" w:type="default"/>
      <w:pgSz w:w="11906" w:h="16839"/>
      <w:pgMar w:top="1009" w:right="1310" w:bottom="1043" w:left="1307" w:header="0" w:footer="994"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auto"/>
    <w:pitch w:val="default"/>
    <w:sig w:usb0="800002BF" w:usb1="38CF7CFA" w:usb2="00000016" w:usb3="00000000" w:csb0="00040001" w:csb1="00000000"/>
  </w:font>
  <w:font w:name="汉仪青云简">
    <w:panose1 w:val="00020600040101010101"/>
    <w:charset w:val="86"/>
    <w:family w:val="auto"/>
    <w:pitch w:val="default"/>
    <w:sig w:usb0="8000001F" w:usb1="1A0F781A" w:usb2="00000016" w:usb3="00000000" w:csb0="0004009F" w:csb1="DFD70000"/>
  </w:font>
  <w:font w:name="Wingdings 2">
    <w:panose1 w:val="05020102010507070707"/>
    <w:charset w:val="00"/>
    <w:family w:val="auto"/>
    <w:pitch w:val="default"/>
    <w:sig w:usb0="00000000" w:usb1="00000000" w:usb2="00000000" w:usb3="00000000" w:csb0="80000000" w:csb1="00000000"/>
  </w:font>
  <w:font w:name="方正小标宋简体">
    <w:panose1 w:val="02000000000000000000"/>
    <w:charset w:val="86"/>
    <w:family w:val="auto"/>
    <w:pitch w:val="default"/>
    <w:sig w:usb0="00000001" w:usb1="08000000" w:usb2="00000000" w:usb3="00000000" w:csb0="00040000" w:csb1="00000000"/>
  </w:font>
  <w:font w:name="Cambria Math">
    <w:panose1 w:val="02040503050406030204"/>
    <w:charset w:val="00"/>
    <w:family w:val="auto"/>
    <w:pitch w:val="default"/>
    <w:sig w:usb0="E00006FF" w:usb1="420024FF" w:usb2="02000000" w:usb3="00000000" w:csb0="2000019F" w:csb1="00000000"/>
  </w:font>
  <w:font w:name="Segoe UI">
    <w:panose1 w:val="020B0502040204020203"/>
    <w:charset w:val="00"/>
    <w:family w:val="auto"/>
    <w:pitch w:val="default"/>
    <w:sig w:usb0="E4002EFF" w:usb1="C000E47F" w:usb2="00000009" w:usb3="00000000" w:csb0="200001FF" w:csb1="00000000"/>
  </w:font>
  <w:font w:name="WPSEMBED2">
    <w:panose1 w:val="05020102010507070707"/>
    <w:charset w:val="00"/>
    <w:family w:val="auto"/>
    <w:pitch w:val="default"/>
    <w:sig w:usb0="00000000" w:usb1="00000000" w:usb2="00000000" w:usb3="00000000" w:csb0="80000000" w:csb1="00000000"/>
  </w:font>
  <w:font w:name="WPSEMBED3">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33B49A">
    <w:pPr>
      <w:pStyle w:val="9"/>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8" name="文本框 1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F8D5874">
                          <w:pPr>
                            <w:pStyle w:val="9"/>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iEy20zAgAAZQ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6g8IZplPz04/vp&#10;58Pp1zeSDiFR48IMkfcOsbF9Z1uED+cBh4l5W3mdvuBE4IfAx4vAoo2Ep0vTyXSaw8XhGzbAzx6v&#10;Ox/ie2E1SUZBPSrYCcsOmxD70CEkZTN2LZXqqqgMaQp69fpt3l24eACuDHIkEv1jkxXbbXtmtrXl&#10;EcS87bsjOL6WSL5hId4xj3bAgzEw8RZLpSyS2LNFSW3913+dp3hUCV5KGrRXQQ2miRL1waB6AIyD&#10;4QdjOxhmr28s+nWMQXS8M3HBRzWYlbf6C6ZomXLAxQxHpoLGwbyJfYtjCrlYLrugvfNyV/cX0HuO&#10;xY25dzylSUIGt9xHiNlpnATqVTnrhu7rqnSelNTef+67qMe/w+I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iEy20zAgAAZQQAAA4AAAAAAAAAAQAgAAAAHwEAAGRycy9lMm9Eb2MueG1sUEsF&#10;BgAAAAAGAAYAWQEAAMQFAAAAAA==&#10;">
              <v:fill on="f" focussize="0,0"/>
              <v:stroke on="f" weight="0.5pt"/>
              <v:imagedata o:title=""/>
              <o:lock v:ext="edit" aspectratio="f"/>
              <v:textbox inset="0mm,0mm,0mm,0mm" style="mso-fit-shape-to-text:t;">
                <w:txbxContent>
                  <w:p w14:paraId="6F8D5874">
                    <w:pPr>
                      <w:pStyle w:val="9"/>
                    </w:pPr>
                    <w:r>
                      <w:fldChar w:fldCharType="begin"/>
                    </w:r>
                    <w:r>
                      <w:instrText xml:space="preserve"> PAGE  \* MERGEFORMAT </w:instrText>
                    </w:r>
                    <w:r>
                      <w:fldChar w:fldCharType="separate"/>
                    </w:r>
                    <w:r>
                      <w:t>55</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1973F9">
    <w:pPr>
      <w:pStyle w:val="9"/>
      <w:rPr>
        <w:lang w:eastAsia="zh-CN"/>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49" name="文本框 14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DB29FF5">
                          <w:pPr>
                            <w:pStyle w:val="9"/>
                          </w:pPr>
                          <w:r>
                            <w:fldChar w:fldCharType="begin"/>
                          </w:r>
                          <w:r>
                            <w:instrText xml:space="preserve"> PAGE  \* MERGEFORMAT </w:instrText>
                          </w:r>
                          <w:r>
                            <w:fldChar w:fldCharType="separate"/>
                          </w:r>
                          <w:r>
                            <w:t>56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M4VfE0AgAAZQQAAA4AAABkcnMvZTJvRG9jLnhtbK1UzY7TMBC+I/EO&#10;lu80aYFVqZquylZFSCt2pYI4u47TWPKfbLdJeQB4A05cuPNcfQ4+J00XLRz2wMUZe8bf+PtmJvPr&#10;VityED5Iawo6HuWUCMNtKc2uoJ8+rl9MKQmRmZIpa0RBjyLQ68XzZ/PGzcTE1laVwhOAmDBrXEHr&#10;GN0sywKvhWZhZJ0wcFbWaxax9bus9KwBulbZJM+vssb60nnLRQg4XfVOekb0TwG0VSW5WFm+18LE&#10;HtULxSIohVq6QBfda6tK8HhXVUFEogoKprFbkQT2Nq3ZYs5mO89cLfn5CewpT3jESTNpkPQCtWKR&#10;kb2Xf0Fpyb0NtoojbnXWE+kUAYtx/kibTc2c6LhA6uAuoof/B8s/HO49kSU64dUbSgzTKPnp+7fT&#10;j1+nn19JOoREjQszRG4cYmP71rYIH84DDhPztvI6fcGJwA+BjxeBRRsJT5emk+k0h4vDN2yAnz1c&#10;dz7Ed8JqkoyCelSwE5YdbkPsQ4eQlM3YtVSqq6IypCno1cvXeXfh4gG4MsiRSPSPTVZst+2Z2daW&#10;RxDztu+O4PhaIvktC/GeebQDHoyBiXdYKmWRxJ4tSmrrv/zrPMWjSvBS0qC9CmowTZSo9wbVA2Ac&#10;DD8Y28Ewe31j0a9jDKLjnYkLPqrBrLzVnzFFy5QDLmY4MhU0DuZN7FscU8jFctkF7Z2Xu7q/gN5z&#10;LN6ajeMpTRIyuOU+QsxO4yRQr8pZN3RfV6XzpKT2/nPfRT38HRa/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CjOFXxNAIAAGUEAAAOAAAAAAAAAAEAIAAAAB8BAABkcnMvZTJvRG9jLnhtbFBL&#10;BQYAAAAABgAGAFkBAADFBQAAAAA=&#10;">
              <v:fill on="f" focussize="0,0"/>
              <v:stroke on="f" weight="0.5pt"/>
              <v:imagedata o:title=""/>
              <o:lock v:ext="edit" aspectratio="f"/>
              <v:textbox inset="0mm,0mm,0mm,0mm" style="mso-fit-shape-to-text:t;">
                <w:txbxContent>
                  <w:p w14:paraId="3DB29FF5">
                    <w:pPr>
                      <w:pStyle w:val="9"/>
                    </w:pPr>
                    <w:r>
                      <w:fldChar w:fldCharType="begin"/>
                    </w:r>
                    <w:r>
                      <w:instrText xml:space="preserve"> PAGE  \* MERGEFORMAT </w:instrText>
                    </w:r>
                    <w:r>
                      <w:fldChar w:fldCharType="separate"/>
                    </w:r>
                    <w:r>
                      <w:t>56</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8145E">
    <w:pPr>
      <w:pStyle w:val="9"/>
      <w:rPr>
        <w:lang w:eastAsia="zh-CN"/>
      </w:rP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780BC57">
                          <w:pPr>
                            <w:pStyle w:val="9"/>
                          </w:pPr>
                          <w:r>
                            <w:fldChar w:fldCharType="begin"/>
                          </w:r>
                          <w:r>
                            <w:instrText xml:space="preserve"> PAGE  \* MERGEFORMAT </w:instrText>
                          </w:r>
                          <w:r>
                            <w:fldChar w:fldCharType="separate"/>
                          </w:r>
                          <w:r>
                            <w:t>57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1780BC57">
                    <w:pPr>
                      <w:pStyle w:val="9"/>
                    </w:pPr>
                    <w:r>
                      <w:fldChar w:fldCharType="begin"/>
                    </w:r>
                    <w:r>
                      <w:instrText xml:space="preserve"> PAGE  \* MERGEFORMAT </w:instrText>
                    </w:r>
                    <w:r>
                      <w:fldChar w:fldCharType="separate"/>
                    </w:r>
                    <w:r>
                      <w:t>57</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7CEE054"/>
    <w:multiLevelType w:val="singleLevel"/>
    <w:tmpl w:val="97CEE054"/>
    <w:lvl w:ilvl="0" w:tentative="0">
      <w:start w:val="1"/>
      <w:numFmt w:val="decimal"/>
      <w:suff w:val="nothing"/>
      <w:lvlText w:val="%1、"/>
      <w:lvlJc w:val="left"/>
    </w:lvl>
  </w:abstractNum>
  <w:abstractNum w:abstractNumId="1">
    <w:nsid w:val="FB22B7E1"/>
    <w:multiLevelType w:val="singleLevel"/>
    <w:tmpl w:val="FB22B7E1"/>
    <w:lvl w:ilvl="0" w:tentative="0">
      <w:start w:val="1"/>
      <w:numFmt w:val="decimal"/>
      <w:lvlText w:val="%1."/>
      <w:lvlJc w:val="left"/>
      <w:pPr>
        <w:tabs>
          <w:tab w:val="left" w:pos="312"/>
        </w:tabs>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isplayBackgroundShape w:val="1"/>
  <w:embedTrueTypeFonts/>
  <w:saveSubsetFonts/>
  <w:bordersDoNotSurroundHeader w:val="0"/>
  <w:bordersDoNotSurroundFooter w:val="0"/>
  <w:documentProtection w:enforcement="0"/>
  <w:defaultTabStop w:val="420"/>
  <w:displayHorizontalDrawingGridEvery w:val="1"/>
  <w:displayVerticalDrawingGridEvery w:val="1"/>
  <w:noPunctuationKerning w:val="1"/>
  <w:characterSpacingControl w:val="doNotCompress"/>
  <w:compat>
    <w:spaceForUL/>
    <w:ulTrailSpace/>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mQ1M2IwZTUyMDQ1NGQwYjA1ZjExM2FlODA3YjQ0MzEifQ=="/>
  </w:docVars>
  <w:rsids>
    <w:rsidRoot w:val="00F72BE7"/>
    <w:rsid w:val="00247343"/>
    <w:rsid w:val="006308AB"/>
    <w:rsid w:val="00847DE1"/>
    <w:rsid w:val="009A3586"/>
    <w:rsid w:val="00CD47AB"/>
    <w:rsid w:val="00D6521D"/>
    <w:rsid w:val="00E80370"/>
    <w:rsid w:val="00F72BE7"/>
    <w:rsid w:val="014546DD"/>
    <w:rsid w:val="014707D5"/>
    <w:rsid w:val="0183453D"/>
    <w:rsid w:val="01A9154F"/>
    <w:rsid w:val="01C17C92"/>
    <w:rsid w:val="01F176F8"/>
    <w:rsid w:val="02073E67"/>
    <w:rsid w:val="02AD3BEF"/>
    <w:rsid w:val="02D011F1"/>
    <w:rsid w:val="02E64D83"/>
    <w:rsid w:val="02F62DEB"/>
    <w:rsid w:val="0313488A"/>
    <w:rsid w:val="032C1B81"/>
    <w:rsid w:val="0336275A"/>
    <w:rsid w:val="03A14F29"/>
    <w:rsid w:val="03BC7892"/>
    <w:rsid w:val="03C903E6"/>
    <w:rsid w:val="04352637"/>
    <w:rsid w:val="044D1E30"/>
    <w:rsid w:val="0451447E"/>
    <w:rsid w:val="04F64D19"/>
    <w:rsid w:val="05045C3C"/>
    <w:rsid w:val="052B325D"/>
    <w:rsid w:val="05447ECE"/>
    <w:rsid w:val="054933A7"/>
    <w:rsid w:val="05AB0237"/>
    <w:rsid w:val="05B774CD"/>
    <w:rsid w:val="05CC7E39"/>
    <w:rsid w:val="05F07017"/>
    <w:rsid w:val="062D088E"/>
    <w:rsid w:val="06E94E42"/>
    <w:rsid w:val="075067E0"/>
    <w:rsid w:val="075134A1"/>
    <w:rsid w:val="07B94814"/>
    <w:rsid w:val="07EE250C"/>
    <w:rsid w:val="081F5E69"/>
    <w:rsid w:val="08585DDB"/>
    <w:rsid w:val="08D800EA"/>
    <w:rsid w:val="08F4242E"/>
    <w:rsid w:val="093D11EF"/>
    <w:rsid w:val="098C4275"/>
    <w:rsid w:val="099C3EDE"/>
    <w:rsid w:val="09D036EB"/>
    <w:rsid w:val="0A1575E9"/>
    <w:rsid w:val="0A2C4173"/>
    <w:rsid w:val="0A575D9F"/>
    <w:rsid w:val="0A5F7AD5"/>
    <w:rsid w:val="0A630BD7"/>
    <w:rsid w:val="0A6779EA"/>
    <w:rsid w:val="0AAA50E9"/>
    <w:rsid w:val="0AAF351F"/>
    <w:rsid w:val="0ABB6AF5"/>
    <w:rsid w:val="0B185698"/>
    <w:rsid w:val="0B500317"/>
    <w:rsid w:val="0B6E1EE8"/>
    <w:rsid w:val="0B9C2CEA"/>
    <w:rsid w:val="0BA5688F"/>
    <w:rsid w:val="0BB9031B"/>
    <w:rsid w:val="0BCE5A19"/>
    <w:rsid w:val="0BD25EA5"/>
    <w:rsid w:val="0C027923"/>
    <w:rsid w:val="0C667463"/>
    <w:rsid w:val="0C832B66"/>
    <w:rsid w:val="0CA5180B"/>
    <w:rsid w:val="0D3F1705"/>
    <w:rsid w:val="0D7B409F"/>
    <w:rsid w:val="0DB63714"/>
    <w:rsid w:val="0DBF7C0D"/>
    <w:rsid w:val="0DCA3406"/>
    <w:rsid w:val="0DD809E2"/>
    <w:rsid w:val="0E045967"/>
    <w:rsid w:val="0E0E108A"/>
    <w:rsid w:val="0E240F9D"/>
    <w:rsid w:val="0E306947"/>
    <w:rsid w:val="0E3746E5"/>
    <w:rsid w:val="0F4A4983"/>
    <w:rsid w:val="0F8346BB"/>
    <w:rsid w:val="0FAD17DF"/>
    <w:rsid w:val="107F306E"/>
    <w:rsid w:val="10D31145"/>
    <w:rsid w:val="10FD2C02"/>
    <w:rsid w:val="110272DF"/>
    <w:rsid w:val="114948FA"/>
    <w:rsid w:val="116457F1"/>
    <w:rsid w:val="11AF263B"/>
    <w:rsid w:val="11E93764"/>
    <w:rsid w:val="12653C2C"/>
    <w:rsid w:val="126757A9"/>
    <w:rsid w:val="129C0FBA"/>
    <w:rsid w:val="12EA54DC"/>
    <w:rsid w:val="139D0552"/>
    <w:rsid w:val="13D54C91"/>
    <w:rsid w:val="14290F74"/>
    <w:rsid w:val="143E0B0F"/>
    <w:rsid w:val="1538599A"/>
    <w:rsid w:val="158B0678"/>
    <w:rsid w:val="15E248D7"/>
    <w:rsid w:val="15E25A94"/>
    <w:rsid w:val="16991702"/>
    <w:rsid w:val="16A356CC"/>
    <w:rsid w:val="173418E5"/>
    <w:rsid w:val="17342109"/>
    <w:rsid w:val="173B5246"/>
    <w:rsid w:val="179F0C8E"/>
    <w:rsid w:val="17D60801"/>
    <w:rsid w:val="182E6B2B"/>
    <w:rsid w:val="186009B5"/>
    <w:rsid w:val="18846779"/>
    <w:rsid w:val="188B720A"/>
    <w:rsid w:val="18C97898"/>
    <w:rsid w:val="18E84F59"/>
    <w:rsid w:val="18F643B3"/>
    <w:rsid w:val="18F96020"/>
    <w:rsid w:val="19241D0A"/>
    <w:rsid w:val="193E2DCB"/>
    <w:rsid w:val="196206F1"/>
    <w:rsid w:val="19B60034"/>
    <w:rsid w:val="19F33BB6"/>
    <w:rsid w:val="1A071B72"/>
    <w:rsid w:val="1A0F5E90"/>
    <w:rsid w:val="1A4C3396"/>
    <w:rsid w:val="1AC905BF"/>
    <w:rsid w:val="1AF44F33"/>
    <w:rsid w:val="1B4548E5"/>
    <w:rsid w:val="1B965141"/>
    <w:rsid w:val="1BCF2401"/>
    <w:rsid w:val="1C9E6BD6"/>
    <w:rsid w:val="1CC34B2B"/>
    <w:rsid w:val="1CCC6940"/>
    <w:rsid w:val="1CD001DE"/>
    <w:rsid w:val="1D085BCA"/>
    <w:rsid w:val="1D74500E"/>
    <w:rsid w:val="1D7539C6"/>
    <w:rsid w:val="1E7B23CC"/>
    <w:rsid w:val="1E8C58B0"/>
    <w:rsid w:val="1ED1023E"/>
    <w:rsid w:val="1ED84340"/>
    <w:rsid w:val="1F1B6FE3"/>
    <w:rsid w:val="1F6B239A"/>
    <w:rsid w:val="1F7E7FC4"/>
    <w:rsid w:val="1FAB6CE1"/>
    <w:rsid w:val="1FAD2A59"/>
    <w:rsid w:val="20851D82"/>
    <w:rsid w:val="209A6EE6"/>
    <w:rsid w:val="20A8088C"/>
    <w:rsid w:val="20E40660"/>
    <w:rsid w:val="21097A35"/>
    <w:rsid w:val="213A566A"/>
    <w:rsid w:val="22072FB3"/>
    <w:rsid w:val="22256EC5"/>
    <w:rsid w:val="22791318"/>
    <w:rsid w:val="22C83AD9"/>
    <w:rsid w:val="22FD3CF7"/>
    <w:rsid w:val="23056708"/>
    <w:rsid w:val="23274F5A"/>
    <w:rsid w:val="23746473"/>
    <w:rsid w:val="23A635FF"/>
    <w:rsid w:val="23B337F3"/>
    <w:rsid w:val="23C04A55"/>
    <w:rsid w:val="23C06F33"/>
    <w:rsid w:val="23EB5F92"/>
    <w:rsid w:val="24565806"/>
    <w:rsid w:val="24BE361B"/>
    <w:rsid w:val="24D57DB7"/>
    <w:rsid w:val="25823163"/>
    <w:rsid w:val="25E2090D"/>
    <w:rsid w:val="25E5790C"/>
    <w:rsid w:val="25F37706"/>
    <w:rsid w:val="2671480A"/>
    <w:rsid w:val="268838E2"/>
    <w:rsid w:val="26DA723D"/>
    <w:rsid w:val="26F15921"/>
    <w:rsid w:val="27457A1B"/>
    <w:rsid w:val="27711B25"/>
    <w:rsid w:val="279C2686"/>
    <w:rsid w:val="27ED701E"/>
    <w:rsid w:val="27EF1D1C"/>
    <w:rsid w:val="27FF2A7A"/>
    <w:rsid w:val="280660E7"/>
    <w:rsid w:val="28702875"/>
    <w:rsid w:val="28BC726A"/>
    <w:rsid w:val="291013D4"/>
    <w:rsid w:val="29D87370"/>
    <w:rsid w:val="2A222D2A"/>
    <w:rsid w:val="2A46584F"/>
    <w:rsid w:val="2AC1385C"/>
    <w:rsid w:val="2AC967C3"/>
    <w:rsid w:val="2ADF205D"/>
    <w:rsid w:val="2B064FB4"/>
    <w:rsid w:val="2B3B06C4"/>
    <w:rsid w:val="2BDA2720"/>
    <w:rsid w:val="2BDB047B"/>
    <w:rsid w:val="2BE93C1A"/>
    <w:rsid w:val="2C3B7D1E"/>
    <w:rsid w:val="2C695F59"/>
    <w:rsid w:val="2C7A0E10"/>
    <w:rsid w:val="2C9C00DD"/>
    <w:rsid w:val="2CA90A4C"/>
    <w:rsid w:val="2CE00DF7"/>
    <w:rsid w:val="2CF55C1F"/>
    <w:rsid w:val="2D4B565F"/>
    <w:rsid w:val="2D665E74"/>
    <w:rsid w:val="2D99286E"/>
    <w:rsid w:val="2DAA05D8"/>
    <w:rsid w:val="2DB52697"/>
    <w:rsid w:val="2DF41412"/>
    <w:rsid w:val="2E234DC0"/>
    <w:rsid w:val="2E575FCC"/>
    <w:rsid w:val="2E6611AB"/>
    <w:rsid w:val="2E693B84"/>
    <w:rsid w:val="2EB108A7"/>
    <w:rsid w:val="2EE05A21"/>
    <w:rsid w:val="2F302D5E"/>
    <w:rsid w:val="2F483F47"/>
    <w:rsid w:val="2F7272D1"/>
    <w:rsid w:val="2F7866FD"/>
    <w:rsid w:val="2F912348"/>
    <w:rsid w:val="2FB63E0A"/>
    <w:rsid w:val="2FC17E5A"/>
    <w:rsid w:val="2FD7142C"/>
    <w:rsid w:val="30481513"/>
    <w:rsid w:val="305E1890"/>
    <w:rsid w:val="307956ED"/>
    <w:rsid w:val="30A610B9"/>
    <w:rsid w:val="30AE6631"/>
    <w:rsid w:val="312A215B"/>
    <w:rsid w:val="31526CE7"/>
    <w:rsid w:val="318178A1"/>
    <w:rsid w:val="319C0B7F"/>
    <w:rsid w:val="31B17F01"/>
    <w:rsid w:val="31C55E0D"/>
    <w:rsid w:val="31FC3DDC"/>
    <w:rsid w:val="31FE5396"/>
    <w:rsid w:val="329A3D4F"/>
    <w:rsid w:val="32BE2A91"/>
    <w:rsid w:val="32EC45EB"/>
    <w:rsid w:val="32F3467E"/>
    <w:rsid w:val="33136C1F"/>
    <w:rsid w:val="335214F5"/>
    <w:rsid w:val="33F26834"/>
    <w:rsid w:val="34205B4A"/>
    <w:rsid w:val="342F5CDB"/>
    <w:rsid w:val="34325184"/>
    <w:rsid w:val="34B601B7"/>
    <w:rsid w:val="350C6E7D"/>
    <w:rsid w:val="35A969B2"/>
    <w:rsid w:val="35D71462"/>
    <w:rsid w:val="36597105"/>
    <w:rsid w:val="36F17277"/>
    <w:rsid w:val="377D6D5D"/>
    <w:rsid w:val="37CF537F"/>
    <w:rsid w:val="37CF65F0"/>
    <w:rsid w:val="37F963E3"/>
    <w:rsid w:val="38BF04D8"/>
    <w:rsid w:val="39D30F8F"/>
    <w:rsid w:val="39D96E5F"/>
    <w:rsid w:val="3A3C3FDD"/>
    <w:rsid w:val="3A6B125E"/>
    <w:rsid w:val="3A8E54A5"/>
    <w:rsid w:val="3AD00B10"/>
    <w:rsid w:val="3B0752BB"/>
    <w:rsid w:val="3B132922"/>
    <w:rsid w:val="3B163B4E"/>
    <w:rsid w:val="3B2319C9"/>
    <w:rsid w:val="3B7E51F7"/>
    <w:rsid w:val="3B8811A4"/>
    <w:rsid w:val="3BAC10D3"/>
    <w:rsid w:val="3BB968F3"/>
    <w:rsid w:val="3C0F220A"/>
    <w:rsid w:val="3C1C6307"/>
    <w:rsid w:val="3C504A40"/>
    <w:rsid w:val="3CB902E7"/>
    <w:rsid w:val="3D0165AF"/>
    <w:rsid w:val="3D36354C"/>
    <w:rsid w:val="3D74475E"/>
    <w:rsid w:val="3D7F2D19"/>
    <w:rsid w:val="3D881B77"/>
    <w:rsid w:val="3DBB413B"/>
    <w:rsid w:val="3DC93A44"/>
    <w:rsid w:val="3E1A70B4"/>
    <w:rsid w:val="3E1F3CAD"/>
    <w:rsid w:val="3E292C29"/>
    <w:rsid w:val="3E4141B1"/>
    <w:rsid w:val="3E6C06B0"/>
    <w:rsid w:val="3E78615B"/>
    <w:rsid w:val="3E7C1411"/>
    <w:rsid w:val="3E7E5894"/>
    <w:rsid w:val="3E8E35FE"/>
    <w:rsid w:val="3ECC6F90"/>
    <w:rsid w:val="3ED83782"/>
    <w:rsid w:val="3F07755C"/>
    <w:rsid w:val="3F19434D"/>
    <w:rsid w:val="3F3D2CE8"/>
    <w:rsid w:val="3F650EDC"/>
    <w:rsid w:val="3F984C13"/>
    <w:rsid w:val="3FE1257F"/>
    <w:rsid w:val="403F2E01"/>
    <w:rsid w:val="40583C67"/>
    <w:rsid w:val="407231D7"/>
    <w:rsid w:val="41082FF8"/>
    <w:rsid w:val="41465248"/>
    <w:rsid w:val="41984EBF"/>
    <w:rsid w:val="425E679A"/>
    <w:rsid w:val="42B20B36"/>
    <w:rsid w:val="42FB66C8"/>
    <w:rsid w:val="43192944"/>
    <w:rsid w:val="43394480"/>
    <w:rsid w:val="43865CFC"/>
    <w:rsid w:val="446B4509"/>
    <w:rsid w:val="448B4C1F"/>
    <w:rsid w:val="44B21E06"/>
    <w:rsid w:val="44BA7230"/>
    <w:rsid w:val="44CE27B1"/>
    <w:rsid w:val="44DE0126"/>
    <w:rsid w:val="453A628D"/>
    <w:rsid w:val="45402EBF"/>
    <w:rsid w:val="454B2248"/>
    <w:rsid w:val="45B61DB8"/>
    <w:rsid w:val="45D70058"/>
    <w:rsid w:val="45EE0F95"/>
    <w:rsid w:val="45F42F70"/>
    <w:rsid w:val="45F85626"/>
    <w:rsid w:val="46024FFD"/>
    <w:rsid w:val="46770659"/>
    <w:rsid w:val="4692195B"/>
    <w:rsid w:val="46E60E0B"/>
    <w:rsid w:val="46FA073D"/>
    <w:rsid w:val="470E15D4"/>
    <w:rsid w:val="47234C6F"/>
    <w:rsid w:val="474D04FA"/>
    <w:rsid w:val="47906273"/>
    <w:rsid w:val="47A345BE"/>
    <w:rsid w:val="47E36768"/>
    <w:rsid w:val="48643D4D"/>
    <w:rsid w:val="487D7E3E"/>
    <w:rsid w:val="4882553E"/>
    <w:rsid w:val="488533D9"/>
    <w:rsid w:val="48967192"/>
    <w:rsid w:val="48BD520B"/>
    <w:rsid w:val="492265CB"/>
    <w:rsid w:val="49291D26"/>
    <w:rsid w:val="4949445D"/>
    <w:rsid w:val="49B51BAE"/>
    <w:rsid w:val="49B614F4"/>
    <w:rsid w:val="4A2268D5"/>
    <w:rsid w:val="4A442B3D"/>
    <w:rsid w:val="4A5E47CC"/>
    <w:rsid w:val="4A882A4B"/>
    <w:rsid w:val="4A884CC6"/>
    <w:rsid w:val="4AA55BC3"/>
    <w:rsid w:val="4ABC7D85"/>
    <w:rsid w:val="4AEC6877"/>
    <w:rsid w:val="4B83595C"/>
    <w:rsid w:val="4B8D5369"/>
    <w:rsid w:val="4C0F5D7E"/>
    <w:rsid w:val="4CEC044C"/>
    <w:rsid w:val="4D07114B"/>
    <w:rsid w:val="4D621716"/>
    <w:rsid w:val="4D954046"/>
    <w:rsid w:val="4DFF3E40"/>
    <w:rsid w:val="4E060F58"/>
    <w:rsid w:val="4E202AF3"/>
    <w:rsid w:val="4E9D2106"/>
    <w:rsid w:val="4F203B82"/>
    <w:rsid w:val="4F282F37"/>
    <w:rsid w:val="4FAA2095"/>
    <w:rsid w:val="4FB04984"/>
    <w:rsid w:val="4FC72EBA"/>
    <w:rsid w:val="4FEE57DE"/>
    <w:rsid w:val="4FF52C71"/>
    <w:rsid w:val="503A7A08"/>
    <w:rsid w:val="5055041F"/>
    <w:rsid w:val="506C7D14"/>
    <w:rsid w:val="509E3ED1"/>
    <w:rsid w:val="50EC48E0"/>
    <w:rsid w:val="514E559A"/>
    <w:rsid w:val="515661D0"/>
    <w:rsid w:val="51C63383"/>
    <w:rsid w:val="51E92988"/>
    <w:rsid w:val="528312E8"/>
    <w:rsid w:val="529A0B9A"/>
    <w:rsid w:val="52B50FFA"/>
    <w:rsid w:val="52C34CFF"/>
    <w:rsid w:val="52D23FA9"/>
    <w:rsid w:val="52E468A6"/>
    <w:rsid w:val="52E8669F"/>
    <w:rsid w:val="530F22F4"/>
    <w:rsid w:val="531F42E7"/>
    <w:rsid w:val="53AA5D25"/>
    <w:rsid w:val="53D6797D"/>
    <w:rsid w:val="541D1254"/>
    <w:rsid w:val="54452097"/>
    <w:rsid w:val="544A6647"/>
    <w:rsid w:val="54660E4D"/>
    <w:rsid w:val="547A4E67"/>
    <w:rsid w:val="54815451"/>
    <w:rsid w:val="54824C71"/>
    <w:rsid w:val="54BC690A"/>
    <w:rsid w:val="54FD5330"/>
    <w:rsid w:val="55132EB9"/>
    <w:rsid w:val="55E101CF"/>
    <w:rsid w:val="566B62A7"/>
    <w:rsid w:val="567244B1"/>
    <w:rsid w:val="5698153C"/>
    <w:rsid w:val="56AD697C"/>
    <w:rsid w:val="56B8447F"/>
    <w:rsid w:val="56CE0C2A"/>
    <w:rsid w:val="56E5591B"/>
    <w:rsid w:val="56E73AEE"/>
    <w:rsid w:val="575B547C"/>
    <w:rsid w:val="57631674"/>
    <w:rsid w:val="57A500D0"/>
    <w:rsid w:val="57C351F2"/>
    <w:rsid w:val="57D37FDB"/>
    <w:rsid w:val="580F71F2"/>
    <w:rsid w:val="58234D9B"/>
    <w:rsid w:val="58532224"/>
    <w:rsid w:val="586903C5"/>
    <w:rsid w:val="593212FE"/>
    <w:rsid w:val="593B1F82"/>
    <w:rsid w:val="59590F80"/>
    <w:rsid w:val="59A909E1"/>
    <w:rsid w:val="59BC7C61"/>
    <w:rsid w:val="59C3464B"/>
    <w:rsid w:val="59DE2BBE"/>
    <w:rsid w:val="5A410A6F"/>
    <w:rsid w:val="5A9655C2"/>
    <w:rsid w:val="5ADC5A6C"/>
    <w:rsid w:val="5B9462A0"/>
    <w:rsid w:val="5B9D00F7"/>
    <w:rsid w:val="5BB75AA0"/>
    <w:rsid w:val="5C5A54DC"/>
    <w:rsid w:val="5C65447A"/>
    <w:rsid w:val="5CC62662"/>
    <w:rsid w:val="5CE05C01"/>
    <w:rsid w:val="5D406189"/>
    <w:rsid w:val="5D6879E4"/>
    <w:rsid w:val="5DAA3792"/>
    <w:rsid w:val="5DD20F4D"/>
    <w:rsid w:val="5E171218"/>
    <w:rsid w:val="5E830269"/>
    <w:rsid w:val="5E965D2A"/>
    <w:rsid w:val="5EEC5CA6"/>
    <w:rsid w:val="5F096FA4"/>
    <w:rsid w:val="5F8B5C0B"/>
    <w:rsid w:val="5FE055B8"/>
    <w:rsid w:val="608F7035"/>
    <w:rsid w:val="60E02D11"/>
    <w:rsid w:val="60E92BEA"/>
    <w:rsid w:val="60EF5935"/>
    <w:rsid w:val="61032E32"/>
    <w:rsid w:val="611C2FBF"/>
    <w:rsid w:val="613D03AF"/>
    <w:rsid w:val="61DD642F"/>
    <w:rsid w:val="622149A9"/>
    <w:rsid w:val="62840C9B"/>
    <w:rsid w:val="62932D27"/>
    <w:rsid w:val="62E53885"/>
    <w:rsid w:val="6329237C"/>
    <w:rsid w:val="63546196"/>
    <w:rsid w:val="63753EA0"/>
    <w:rsid w:val="63923347"/>
    <w:rsid w:val="63A60D41"/>
    <w:rsid w:val="63C45248"/>
    <w:rsid w:val="63C6035F"/>
    <w:rsid w:val="64045B99"/>
    <w:rsid w:val="6475005E"/>
    <w:rsid w:val="649A1D1D"/>
    <w:rsid w:val="64B20D48"/>
    <w:rsid w:val="64BC23C3"/>
    <w:rsid w:val="64C2203D"/>
    <w:rsid w:val="64CD6E8F"/>
    <w:rsid w:val="64CF0348"/>
    <w:rsid w:val="64E04304"/>
    <w:rsid w:val="659B022A"/>
    <w:rsid w:val="659B691E"/>
    <w:rsid w:val="65D242C5"/>
    <w:rsid w:val="65F10142"/>
    <w:rsid w:val="66124991"/>
    <w:rsid w:val="66391FE9"/>
    <w:rsid w:val="66487257"/>
    <w:rsid w:val="674D0302"/>
    <w:rsid w:val="67544B35"/>
    <w:rsid w:val="67D2438B"/>
    <w:rsid w:val="68407331"/>
    <w:rsid w:val="68B46274"/>
    <w:rsid w:val="68D47A7B"/>
    <w:rsid w:val="68DF193E"/>
    <w:rsid w:val="68E84E3F"/>
    <w:rsid w:val="691B0A9F"/>
    <w:rsid w:val="69455133"/>
    <w:rsid w:val="697649DB"/>
    <w:rsid w:val="69CE10E5"/>
    <w:rsid w:val="6A044377"/>
    <w:rsid w:val="6A1F767C"/>
    <w:rsid w:val="6A701523"/>
    <w:rsid w:val="6A824FF4"/>
    <w:rsid w:val="6B164DCC"/>
    <w:rsid w:val="6B2D62D6"/>
    <w:rsid w:val="6BC22AA0"/>
    <w:rsid w:val="6BDD42B9"/>
    <w:rsid w:val="6BDF1C87"/>
    <w:rsid w:val="6C085287"/>
    <w:rsid w:val="6C401523"/>
    <w:rsid w:val="6C545490"/>
    <w:rsid w:val="6CD00EA6"/>
    <w:rsid w:val="6CE6131C"/>
    <w:rsid w:val="6D313420"/>
    <w:rsid w:val="6D8D0DA1"/>
    <w:rsid w:val="6DDD5A51"/>
    <w:rsid w:val="6DE51FC5"/>
    <w:rsid w:val="6E3C32A1"/>
    <w:rsid w:val="6EA15698"/>
    <w:rsid w:val="6EA231BA"/>
    <w:rsid w:val="6EFF4D4C"/>
    <w:rsid w:val="6F0A08FB"/>
    <w:rsid w:val="6F5568C5"/>
    <w:rsid w:val="6F7E0AE1"/>
    <w:rsid w:val="6F917034"/>
    <w:rsid w:val="6FA523D2"/>
    <w:rsid w:val="6FB1521A"/>
    <w:rsid w:val="6FCF7E4E"/>
    <w:rsid w:val="701045B5"/>
    <w:rsid w:val="703D37EB"/>
    <w:rsid w:val="706F478E"/>
    <w:rsid w:val="70874686"/>
    <w:rsid w:val="70D13AF1"/>
    <w:rsid w:val="712D6B22"/>
    <w:rsid w:val="715B4B81"/>
    <w:rsid w:val="727C765B"/>
    <w:rsid w:val="727E31D8"/>
    <w:rsid w:val="72851CAC"/>
    <w:rsid w:val="72A41B58"/>
    <w:rsid w:val="7301390F"/>
    <w:rsid w:val="73335AB7"/>
    <w:rsid w:val="739F35DC"/>
    <w:rsid w:val="73B07EB2"/>
    <w:rsid w:val="73CF1BB8"/>
    <w:rsid w:val="73ED585D"/>
    <w:rsid w:val="73F21E51"/>
    <w:rsid w:val="741E6BF6"/>
    <w:rsid w:val="742C2613"/>
    <w:rsid w:val="747405C4"/>
    <w:rsid w:val="74885165"/>
    <w:rsid w:val="74A715D2"/>
    <w:rsid w:val="75084176"/>
    <w:rsid w:val="757A7E5C"/>
    <w:rsid w:val="761E0576"/>
    <w:rsid w:val="768C7E47"/>
    <w:rsid w:val="76D56593"/>
    <w:rsid w:val="775540C7"/>
    <w:rsid w:val="77630FAB"/>
    <w:rsid w:val="776A2771"/>
    <w:rsid w:val="77B41C25"/>
    <w:rsid w:val="78463DBE"/>
    <w:rsid w:val="792F71B0"/>
    <w:rsid w:val="79475EB1"/>
    <w:rsid w:val="798756C5"/>
    <w:rsid w:val="7B294B89"/>
    <w:rsid w:val="7B4B6523"/>
    <w:rsid w:val="7B7922A0"/>
    <w:rsid w:val="7BD07335"/>
    <w:rsid w:val="7BD227A0"/>
    <w:rsid w:val="7C2D5E41"/>
    <w:rsid w:val="7CA010C3"/>
    <w:rsid w:val="7CAD6847"/>
    <w:rsid w:val="7CCE6A29"/>
    <w:rsid w:val="7CF33270"/>
    <w:rsid w:val="7D02603F"/>
    <w:rsid w:val="7D2C2B03"/>
    <w:rsid w:val="7D4A280A"/>
    <w:rsid w:val="7DB0228A"/>
    <w:rsid w:val="7DBB54B6"/>
    <w:rsid w:val="7DFC0E94"/>
    <w:rsid w:val="7E146C66"/>
    <w:rsid w:val="7E9C0E44"/>
    <w:rsid w:val="7F051133"/>
    <w:rsid w:val="7F150C8C"/>
    <w:rsid w:val="7F5A7CF2"/>
    <w:rsid w:val="7F61079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qFormat="1"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1"/>
    <w:basedOn w:val="1"/>
    <w:next w:val="1"/>
    <w:qFormat/>
    <w:uiPriority w:val="0"/>
    <w:pPr>
      <w:keepNext/>
      <w:keepLines/>
      <w:widowControl w:val="0"/>
      <w:spacing w:before="340" w:after="330" w:line="578" w:lineRule="auto"/>
      <w:ind w:left="0" w:right="0"/>
      <w:jc w:val="both"/>
      <w:outlineLvl w:val="0"/>
    </w:pPr>
    <w:rPr>
      <w:rFonts w:ascii="Times New Roman" w:hAnsi="Times New Roman" w:eastAsia="宋体" w:cs="Times New Roman"/>
      <w:b/>
      <w:bCs/>
      <w:kern w:val="44"/>
      <w:sz w:val="44"/>
      <w:szCs w:val="24"/>
      <w:lang w:bidi="ar-SA"/>
    </w:rPr>
  </w:style>
  <w:style w:type="paragraph" w:styleId="3">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paragraph" w:styleId="4">
    <w:name w:val="heading 4"/>
    <w:basedOn w:val="1"/>
    <w:next w:val="1"/>
    <w:link w:val="28"/>
    <w:semiHidden/>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17">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5">
    <w:name w:val="annotation text"/>
    <w:basedOn w:val="1"/>
    <w:qFormat/>
    <w:uiPriority w:val="0"/>
    <w:pPr>
      <w:jc w:val="left"/>
    </w:pPr>
  </w:style>
  <w:style w:type="paragraph" w:styleId="6">
    <w:name w:val="Body Text"/>
    <w:basedOn w:val="1"/>
    <w:semiHidden/>
    <w:qFormat/>
    <w:uiPriority w:val="0"/>
    <w:rPr>
      <w:rFonts w:ascii="仿宋" w:hAnsi="仿宋" w:eastAsia="仿宋" w:cs="仿宋"/>
      <w:sz w:val="30"/>
      <w:szCs w:val="30"/>
    </w:rPr>
  </w:style>
  <w:style w:type="paragraph" w:styleId="7">
    <w:name w:val="Body Text Indent"/>
    <w:basedOn w:val="1"/>
    <w:unhideWhenUsed/>
    <w:qFormat/>
    <w:uiPriority w:val="99"/>
    <w:pPr>
      <w:spacing w:after="120"/>
      <w:ind w:left="420" w:leftChars="200"/>
    </w:pPr>
    <w:rPr>
      <w:rFonts w:eastAsia="微软雅黑"/>
      <w:kern w:val="0"/>
      <w:sz w:val="24"/>
      <w:szCs w:val="20"/>
    </w:rPr>
  </w:style>
  <w:style w:type="paragraph" w:styleId="8">
    <w:name w:val="Plain Text"/>
    <w:basedOn w:val="1"/>
    <w:qFormat/>
    <w:uiPriority w:val="0"/>
    <w:rPr>
      <w:rFonts w:ascii="宋体" w:hAnsi="Courier New"/>
      <w:kern w:val="0"/>
      <w:sz w:val="20"/>
      <w:szCs w:val="21"/>
    </w:rPr>
  </w:style>
  <w:style w:type="paragraph" w:styleId="9">
    <w:name w:val="footer"/>
    <w:basedOn w:val="1"/>
    <w:qFormat/>
    <w:uiPriority w:val="0"/>
    <w:pPr>
      <w:tabs>
        <w:tab w:val="center" w:pos="4153"/>
        <w:tab w:val="right" w:pos="8306"/>
      </w:tabs>
    </w:pPr>
    <w:rPr>
      <w:sz w:val="18"/>
    </w:rPr>
  </w:style>
  <w:style w:type="paragraph" w:styleId="10">
    <w:name w:val="envelope return"/>
    <w:basedOn w:val="1"/>
    <w:qFormat/>
    <w:uiPriority w:val="0"/>
    <w:pPr>
      <w:snapToGrid w:val="0"/>
    </w:pPr>
    <w:rPr>
      <w:rFonts w:ascii="Arial" w:hAnsi="Arial"/>
    </w:rPr>
  </w:style>
  <w:style w:type="paragraph" w:styleId="11">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styleId="12">
    <w:name w:val="Subtitle"/>
    <w:basedOn w:val="1"/>
    <w:next w:val="1"/>
    <w:qFormat/>
    <w:uiPriority w:val="0"/>
    <w:pPr>
      <w:spacing w:before="240" w:after="60" w:line="312" w:lineRule="auto"/>
      <w:jc w:val="center"/>
      <w:outlineLvl w:val="1"/>
    </w:pPr>
    <w:rPr>
      <w:rFonts w:ascii="Cambria" w:hAnsi="Cambria"/>
      <w:b/>
      <w:bCs/>
      <w:kern w:val="28"/>
      <w:sz w:val="32"/>
      <w:szCs w:val="32"/>
    </w:rPr>
  </w:style>
  <w:style w:type="paragraph" w:styleId="13">
    <w:name w:val="Normal (Web)"/>
    <w:basedOn w:val="1"/>
    <w:qFormat/>
    <w:uiPriority w:val="0"/>
    <w:pPr>
      <w:widowControl/>
      <w:spacing w:before="100" w:beforeAutospacing="1" w:after="100" w:afterAutospacing="1"/>
      <w:jc w:val="left"/>
    </w:pPr>
    <w:rPr>
      <w:rFonts w:ascii="宋体" w:hAnsi="宋体" w:eastAsia="宋体" w:cs="宋体"/>
      <w:kern w:val="0"/>
      <w:sz w:val="24"/>
    </w:rPr>
  </w:style>
  <w:style w:type="paragraph" w:styleId="14">
    <w:name w:val="Body Text First Indent"/>
    <w:basedOn w:val="6"/>
    <w:qFormat/>
    <w:uiPriority w:val="0"/>
    <w:pPr>
      <w:ind w:firstLine="420" w:firstLineChars="100"/>
    </w:pPr>
  </w:style>
  <w:style w:type="table" w:styleId="16">
    <w:name w:val="Table Grid"/>
    <w:basedOn w:val="1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8">
    <w:name w:val="Strong"/>
    <w:basedOn w:val="17"/>
    <w:qFormat/>
    <w:uiPriority w:val="0"/>
    <w:rPr>
      <w:b/>
    </w:rPr>
  </w:style>
  <w:style w:type="character" w:styleId="19">
    <w:name w:val="Emphasis"/>
    <w:qFormat/>
    <w:uiPriority w:val="0"/>
  </w:style>
  <w:style w:type="character" w:styleId="20">
    <w:name w:val="Hyperlink"/>
    <w:basedOn w:val="17"/>
    <w:qFormat/>
    <w:uiPriority w:val="0"/>
    <w:rPr>
      <w:color w:val="0000FF"/>
      <w:u w:val="single"/>
    </w:rPr>
  </w:style>
  <w:style w:type="character" w:styleId="21">
    <w:name w:val="annotation reference"/>
    <w:unhideWhenUsed/>
    <w:qFormat/>
    <w:uiPriority w:val="0"/>
    <w:rPr>
      <w:sz w:val="21"/>
      <w:szCs w:val="21"/>
    </w:rPr>
  </w:style>
  <w:style w:type="paragraph" w:customStyle="1" w:styleId="22">
    <w:name w:val="Normal Indent"/>
    <w:basedOn w:val="1"/>
    <w:qFormat/>
    <w:uiPriority w:val="0"/>
    <w:pPr>
      <w:widowControl/>
      <w:ind w:firstLine="420" w:firstLineChars="200"/>
    </w:pPr>
  </w:style>
  <w:style w:type="table" w:customStyle="1" w:styleId="23">
    <w:name w:val="Table Normal"/>
    <w:semiHidden/>
    <w:unhideWhenUsed/>
    <w:qFormat/>
    <w:uiPriority w:val="0"/>
    <w:tblPr>
      <w:tblCellMar>
        <w:top w:w="0" w:type="dxa"/>
        <w:left w:w="0" w:type="dxa"/>
        <w:bottom w:w="0" w:type="dxa"/>
        <w:right w:w="0" w:type="dxa"/>
      </w:tblCellMar>
    </w:tblPr>
  </w:style>
  <w:style w:type="paragraph" w:customStyle="1" w:styleId="24">
    <w:name w:val="Table Text"/>
    <w:basedOn w:val="1"/>
    <w:semiHidden/>
    <w:qFormat/>
    <w:uiPriority w:val="0"/>
  </w:style>
  <w:style w:type="paragraph" w:customStyle="1" w:styleId="25">
    <w:name w:val="Heading #2|1"/>
    <w:basedOn w:val="1"/>
    <w:qFormat/>
    <w:uiPriority w:val="0"/>
    <w:pPr>
      <w:widowControl w:val="0"/>
      <w:shd w:val="clear" w:color="auto" w:fill="auto"/>
      <w:spacing w:after="580" w:line="634" w:lineRule="exact"/>
      <w:jc w:val="center"/>
      <w:outlineLvl w:val="1"/>
    </w:pPr>
    <w:rPr>
      <w:rFonts w:ascii="宋体" w:hAnsi="宋体" w:eastAsia="宋体" w:cs="宋体"/>
      <w:sz w:val="44"/>
      <w:szCs w:val="44"/>
      <w:u w:val="none"/>
      <w:shd w:val="clear" w:color="auto" w:fill="auto"/>
      <w:lang w:val="zh-TW" w:eastAsia="zh-TW" w:bidi="zh-TW"/>
    </w:rPr>
  </w:style>
  <w:style w:type="paragraph" w:customStyle="1" w:styleId="26">
    <w:name w:val="Body text|1"/>
    <w:basedOn w:val="1"/>
    <w:qFormat/>
    <w:uiPriority w:val="0"/>
    <w:pPr>
      <w:widowControl w:val="0"/>
      <w:shd w:val="clear" w:color="auto" w:fill="auto"/>
      <w:spacing w:line="432" w:lineRule="auto"/>
      <w:ind w:firstLine="400"/>
    </w:pPr>
    <w:rPr>
      <w:rFonts w:ascii="宋体" w:hAnsi="宋体" w:eastAsia="宋体" w:cs="宋体"/>
      <w:sz w:val="30"/>
      <w:szCs w:val="30"/>
      <w:u w:val="none"/>
      <w:shd w:val="clear" w:color="auto" w:fill="auto"/>
      <w:lang w:val="zh-TW" w:eastAsia="zh-TW" w:bidi="zh-TW"/>
    </w:rPr>
  </w:style>
  <w:style w:type="paragraph" w:customStyle="1" w:styleId="27">
    <w:name w:val="Body text|2"/>
    <w:basedOn w:val="1"/>
    <w:qFormat/>
    <w:uiPriority w:val="0"/>
    <w:pPr>
      <w:widowControl w:val="0"/>
      <w:shd w:val="clear" w:color="auto" w:fill="auto"/>
    </w:pPr>
    <w:rPr>
      <w:rFonts w:ascii="宋体" w:hAnsi="宋体" w:eastAsia="宋体" w:cs="宋体"/>
      <w:sz w:val="26"/>
      <w:szCs w:val="26"/>
      <w:u w:val="none"/>
      <w:shd w:val="clear" w:color="auto" w:fill="auto"/>
      <w:lang w:val="zh-TW" w:eastAsia="zh-TW" w:bidi="zh-TW"/>
    </w:rPr>
  </w:style>
  <w:style w:type="character" w:customStyle="1" w:styleId="28">
    <w:name w:val="标题 4 Char"/>
    <w:link w:val="4"/>
    <w:qFormat/>
    <w:uiPriority w:val="0"/>
    <w:rPr>
      <w:rFonts w:ascii="Arial" w:hAnsi="Arial" w:eastAsia="黑体"/>
      <w:b/>
      <w:sz w:val="28"/>
    </w:rPr>
  </w:style>
  <w:style w:type="paragraph" w:customStyle="1" w:styleId="29">
    <w:name w:val="正文_0_1"/>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30">
    <w:name w:val="样式1"/>
    <w:basedOn w:val="2"/>
    <w:qFormat/>
    <w:uiPriority w:val="0"/>
    <w:pPr>
      <w:spacing w:before="240" w:after="240" w:line="440" w:lineRule="exact"/>
      <w:ind w:firstLine="0" w:firstLineChars="0"/>
      <w:jc w:val="center"/>
    </w:pPr>
    <w:rPr>
      <w:rFonts w:eastAsia="楷体"/>
      <w:sz w:val="36"/>
      <w:szCs w:val="28"/>
    </w:rPr>
  </w:style>
  <w:style w:type="character" w:customStyle="1" w:styleId="31">
    <w:name w:val="font31"/>
    <w:qFormat/>
    <w:uiPriority w:val="0"/>
    <w:rPr>
      <w:rFonts w:hint="eastAsia" w:ascii="宋体" w:hAnsi="宋体" w:eastAsia="宋体" w:cs="宋体"/>
      <w:color w:val="000000"/>
      <w:sz w:val="21"/>
      <w:szCs w:val="21"/>
      <w:u w:val="none"/>
    </w:rPr>
  </w:style>
  <w:style w:type="paragraph" w:customStyle="1" w:styleId="32">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paragraph" w:customStyle="1" w:styleId="33">
    <w:name w:val="表格文字"/>
    <w:basedOn w:val="7"/>
    <w:qFormat/>
    <w:uiPriority w:val="0"/>
    <w:pPr>
      <w:spacing w:before="25" w:after="25"/>
      <w:jc w:val="left"/>
    </w:pPr>
    <w:rPr>
      <w:bCs/>
      <w:spacing w:val="10"/>
      <w:kern w:val="0"/>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24</Pages>
  <Words>5899</Words>
  <Characters>6566</Characters>
  <Lines>230</Lines>
  <Paragraphs>64</Paragraphs>
  <TotalTime>6</TotalTime>
  <ScaleCrop>false</ScaleCrop>
  <LinksUpToDate>false</LinksUpToDate>
  <CharactersWithSpaces>7322</CharactersWithSpaces>
  <Application>WPS Office_12.1.0.26895_F1E327BC-269C-435d-A152-05C5408002CA</Application>
  <DocSecurity>4</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2023-09-05T04:49:00Z</dcterms:created>
  <dc:creator>hxw</dc:creator>
  <cp:lastModifiedBy>Administrator</cp:lastModifiedBy>
  <cp:lastPrinted>2026-06-05T09:29:00Z</cp:lastPrinted>
  <dcterms:modified xsi:type="dcterms:W3CDTF">2026-06-12T08:43:40Z</dcterms:modified>
  <dc:title>政府采购招标文件</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2023-09-01T08:44:53Z</vt:filetime>
  </property>
  <property fmtid="{D5CDD505-2E9C-101B-9397-08002B2CF9AE}" pid="4" name="KSOProductBuildVer">
    <vt:lpwstr>2052-12.1.0.26895</vt:lpwstr>
  </property>
  <property fmtid="{D5CDD505-2E9C-101B-9397-08002B2CF9AE}" pid="5" name="ICV">
    <vt:lpwstr>DFA6A6C2C7A340E993A45094E70BA881_13</vt:lpwstr>
  </property>
  <property fmtid="{D5CDD505-2E9C-101B-9397-08002B2CF9AE}" pid="6" name="KSOTemplateDocerSaveRecord">
    <vt:lpwstr>eyJoZGlkIjoiZmZlMDMyYjAyMDgwYjM1N2ZkOGJmNDcyZTUyMDgwZmIiLCJ1c2VySWQiOiI4MTMyODYwNTUifQ==</vt:lpwstr>
  </property>
</Properties>
</file>