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2F4921">
      <w:pPr>
        <w:pStyle w:val="2"/>
        <w:spacing w:before="0" w:after="0" w:line="360" w:lineRule="auto"/>
        <w:jc w:val="center"/>
        <w:rPr>
          <w:color w:val="auto"/>
          <w:highlight w:val="none"/>
        </w:rPr>
      </w:pPr>
      <w:r>
        <w:rPr>
          <w:rFonts w:hint="eastAsia" w:ascii="宋体" w:hAnsi="宋体" w:cs="宋体"/>
          <w:color w:val="auto"/>
          <w:sz w:val="28"/>
          <w:szCs w:val="28"/>
          <w:highlight w:val="none"/>
        </w:rPr>
        <w:t>采购要求</w:t>
      </w:r>
    </w:p>
    <w:p w14:paraId="47153BD9">
      <w:pPr>
        <w:numPr>
          <w:ilvl w:val="0"/>
          <w:numId w:val="1"/>
        </w:num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技术规格</w:t>
      </w:r>
    </w:p>
    <w:tbl>
      <w:tblPr>
        <w:tblStyle w:val="3"/>
        <w:tblW w:w="906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407"/>
        <w:gridCol w:w="5925"/>
        <w:gridCol w:w="890"/>
      </w:tblGrid>
      <w:tr w14:paraId="4EB02967">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double" w:color="auto" w:sz="4" w:space="0"/>
              <w:left w:val="double" w:color="auto" w:sz="4" w:space="0"/>
              <w:bottom w:val="single" w:color="auto" w:sz="4" w:space="0"/>
              <w:right w:val="single" w:color="auto" w:sz="4" w:space="0"/>
            </w:tcBorders>
            <w:vAlign w:val="center"/>
          </w:tcPr>
          <w:p w14:paraId="1664995B">
            <w:pPr>
              <w:spacing w:line="360" w:lineRule="auto"/>
              <w:jc w:val="center"/>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序号</w:t>
            </w:r>
          </w:p>
        </w:tc>
        <w:tc>
          <w:tcPr>
            <w:tcW w:w="1407" w:type="dxa"/>
            <w:tcBorders>
              <w:top w:val="double" w:color="auto" w:sz="4" w:space="0"/>
              <w:left w:val="single" w:color="auto" w:sz="4" w:space="0"/>
              <w:bottom w:val="single" w:color="auto" w:sz="4" w:space="0"/>
              <w:right w:val="single" w:color="auto" w:sz="4" w:space="0"/>
            </w:tcBorders>
            <w:vAlign w:val="center"/>
          </w:tcPr>
          <w:p w14:paraId="2C5BE431">
            <w:pPr>
              <w:spacing w:line="360" w:lineRule="auto"/>
              <w:jc w:val="center"/>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项目明细</w:t>
            </w:r>
          </w:p>
        </w:tc>
        <w:tc>
          <w:tcPr>
            <w:tcW w:w="5925" w:type="dxa"/>
            <w:tcBorders>
              <w:top w:val="double" w:color="auto" w:sz="4" w:space="0"/>
              <w:left w:val="single" w:color="auto" w:sz="4" w:space="0"/>
              <w:bottom w:val="single" w:color="auto" w:sz="4" w:space="0"/>
              <w:right w:val="single" w:color="auto" w:sz="4" w:space="0"/>
            </w:tcBorders>
            <w:vAlign w:val="center"/>
          </w:tcPr>
          <w:p w14:paraId="5C4E051D">
            <w:pPr>
              <w:spacing w:line="360" w:lineRule="auto"/>
              <w:jc w:val="center"/>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主要技术参数</w:t>
            </w:r>
          </w:p>
        </w:tc>
        <w:tc>
          <w:tcPr>
            <w:tcW w:w="890" w:type="dxa"/>
            <w:tcBorders>
              <w:top w:val="double" w:color="auto" w:sz="4" w:space="0"/>
              <w:left w:val="single" w:color="auto" w:sz="4" w:space="0"/>
              <w:bottom w:val="single" w:color="auto" w:sz="4" w:space="0"/>
              <w:right w:val="double" w:color="auto" w:sz="4" w:space="0"/>
            </w:tcBorders>
            <w:vAlign w:val="center"/>
          </w:tcPr>
          <w:p w14:paraId="38271728">
            <w:pPr>
              <w:spacing w:line="360" w:lineRule="auto"/>
              <w:jc w:val="center"/>
              <w:rPr>
                <w:rFonts w:hint="eastAsia" w:asciiTheme="minorEastAsia" w:hAnsiTheme="minorEastAsia" w:eastAsiaTheme="minorEastAsia" w:cstheme="minorEastAsia"/>
                <w:b/>
                <w:color w:val="auto"/>
                <w:sz w:val="24"/>
                <w:highlight w:val="none"/>
              </w:rPr>
            </w:pPr>
            <w:r>
              <w:rPr>
                <w:rFonts w:hint="eastAsia" w:asciiTheme="minorEastAsia" w:hAnsiTheme="minorEastAsia" w:eastAsiaTheme="minorEastAsia" w:cstheme="minorEastAsia"/>
                <w:b/>
                <w:color w:val="auto"/>
                <w:sz w:val="24"/>
                <w:highlight w:val="none"/>
              </w:rPr>
              <w:t>数量</w:t>
            </w:r>
          </w:p>
        </w:tc>
      </w:tr>
      <w:tr w14:paraId="6C472B3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57314662">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w:t>
            </w:r>
          </w:p>
        </w:tc>
        <w:tc>
          <w:tcPr>
            <w:tcW w:w="1407" w:type="dxa"/>
            <w:tcBorders>
              <w:top w:val="single" w:color="auto" w:sz="4" w:space="0"/>
              <w:left w:val="single" w:color="auto" w:sz="4" w:space="0"/>
              <w:bottom w:val="single" w:color="auto" w:sz="4" w:space="0"/>
              <w:right w:val="single" w:color="auto" w:sz="4" w:space="0"/>
            </w:tcBorders>
            <w:vAlign w:val="center"/>
          </w:tcPr>
          <w:p w14:paraId="18660202">
            <w:pPr>
              <w:autoSpaceDE w:val="0"/>
              <w:autoSpaceDN w:val="0"/>
              <w:adjustRightInd w:val="0"/>
              <w:spacing w:line="360" w:lineRule="auto"/>
              <w:jc w:val="left"/>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研讨室</w:t>
            </w:r>
          </w:p>
          <w:p w14:paraId="1C67C97D">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预约系统</w:t>
            </w:r>
          </w:p>
        </w:tc>
        <w:tc>
          <w:tcPr>
            <w:tcW w:w="5925" w:type="dxa"/>
            <w:tcBorders>
              <w:top w:val="single" w:color="auto" w:sz="4" w:space="0"/>
              <w:left w:val="single" w:color="auto" w:sz="4" w:space="0"/>
              <w:bottom w:val="single" w:color="auto" w:sz="4" w:space="0"/>
              <w:right w:val="single" w:color="auto" w:sz="4" w:space="0"/>
            </w:tcBorders>
          </w:tcPr>
          <w:p w14:paraId="54A9942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1.提供空间预约应用引擎，具备根据采购人实际情况定制、管理空间预约类应用。通过引擎生成的应用不限个数，具备根据需要创建多个如会议室预约、研讨室预约、报告厅预约等预约应用功能。</w:t>
            </w:r>
          </w:p>
          <w:p w14:paraId="08A6856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2.具备自定义每个应用的名称，图标和预约对象属性字段功能。</w:t>
            </w:r>
          </w:p>
          <w:p w14:paraId="775867F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3.具备手动添加或批量导入预约对象功能，具备设置每个预约对象的属性、标签、和封面轮播图功能。预约对象的标签可参与筛选，方便用户快速选择需要预约的对象。</w:t>
            </w:r>
          </w:p>
          <w:p w14:paraId="1599DE6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可根据实际情况自行设置预约时是否填写表单或是否需要审批。可以设置无条件预约、预约需先填写预约表单、预约需经过审批三种方式。填写表单具备自定义表单字段，并具备单行输入、多行输入、数字输入、单选、多选、日期、联系人、部门、说明文字、下拉框、下拉复选、多级下拉、矩阵单选、矩阵多选、子表单、图片、附件、定位、手写签名等多种属性字段，以便灵活设置预约时需填写的内容。审批具备自定义表单字段（同上），并可自定义审批流程和审批人。审批流程具备多级审批、并可设置条件分支，根据发起人的角色、部门主管等不同条件确定不同审批人。具备设置不同字段在审批不同流程的显示及编辑状态，具备对审批按钮自定义。</w:t>
            </w:r>
          </w:p>
          <w:p w14:paraId="4AF6D82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具备根据采购人实际情况自定义配置各项预约相关的规则功能。主要包括：预约开放/截止时间，具备选择按照固定时间点开放/截止还是按照动态时间开放/截止；具备设置同时进行的预约数量限制、单次预约最大时长限制、是否允许预约当前时间段、取消预约限制功能；可设置是否允许周期预约，设置后用户可按照每日、每周、每月等规则一次性预约多天；并可设置弹性签到签退时间，是否仅允许管理员创建预约对象，是否允许单位外用户使用等。</w:t>
            </w:r>
          </w:p>
          <w:p w14:paraId="7ACE76B3">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6.具备为个别区域设置独立的使用规则功能，可实现每个区域的预约规则彼此不相同，包括预约开放/截止时间、单次预约最大时长、是否允许预约当前时间段、取消预约限制、签到签退规则设置等。</w:t>
            </w:r>
          </w:p>
          <w:p w14:paraId="5DACB5E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7.具备为指定角色设置特殊预约规则功能，可实现指定角色的预约规则和普通用户不相同，包括预约开放/截止时间、单次预约最大时长、是否允许预约当前时间段、取消预约限制、签到签退规则设置等。</w:t>
            </w:r>
          </w:p>
          <w:p w14:paraId="45CA2E2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8.具备多种签到方式。包括无需签到、二维码+蓝牙签到、二维码＋位置签到、统一二维码签到、动态二维码签到等。</w:t>
            </w:r>
          </w:p>
          <w:p w14:paraId="7859C849">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9.具备手动签退和到预约结束时间自动签退两种签退方式。</w:t>
            </w:r>
          </w:p>
          <w:p w14:paraId="2765A03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10.具备设置开启或关闭签到/签退提示音。</w:t>
            </w:r>
          </w:p>
          <w:p w14:paraId="00C0360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11.具备设置每周违约次数上限功能。用户违约达到次数限制后，系统会自动限制该用户本周不可使用预约，到期后自动解除限制。管理员也可提前将用户手动移出限制使用名单</w:t>
            </w:r>
          </w:p>
          <w:p w14:paraId="68E5481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12.具备将用户添加进黑名单，限制用户使用本预约应用功能。</w:t>
            </w:r>
          </w:p>
          <w:p w14:paraId="3F0A7D6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13.具备设置对象标签功能，可自定义三种及以上类别的标签，便于用户筛选所需预约对象。</w:t>
            </w:r>
          </w:p>
          <w:p w14:paraId="1078E94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14.具备数据推送功能，在后台填写第三方服务器地址并触发条件后，可将预约数据自由推往第三方，实现数据互通。同时具备将预约数据通过设置对应字段将预约信息推送至指定表单。</w:t>
            </w:r>
          </w:p>
          <w:p w14:paraId="099AFA81">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15.具备灵活的自定义预约开放时间功能。每天的预约开始结束时间、时间段的数量均可独立设置，具备单独设置一周中任何一天的特殊开放时间；具备单独设置某个预约对象的特殊开放时间；具备设置某个对象的暂停开放日期，具备设置节假日开放时间规则，提前对节假日开放时间配置，节假日开放时间优先特殊区域开放时间和通用开放时间</w:t>
            </w:r>
          </w:p>
          <w:p w14:paraId="1988DDF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16.具备自定义设置每个时间段可预约的名额限制功能，每个时间段的名额可以彼此不相同。</w:t>
            </w:r>
          </w:p>
          <w:p w14:paraId="32B7071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17.具备多人预约模式，同一时间段可同时被多人进行预约，达到名额限制后将不可进行预约。</w:t>
            </w:r>
          </w:p>
          <w:p w14:paraId="329710E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18.具备设置每人单次可预约的名额数量限制功能，设置后一人可一次性预约多个名额。</w:t>
            </w:r>
          </w:p>
          <w:p w14:paraId="6871810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19.具有完善的预约数据管理功能，用户产生的每一条预约或违约数据均在后台可查可导出。管理员可在后台看到每一条预约的预约人信息、开始结束时间、预约时长、签到状态、审批状态、签到时间、签退时间、实际使用时长；可根据时间、预约对象筛选预约记录，并且可以在后台进行批量取消、批量签退、批量恢复使用等操作。</w:t>
            </w:r>
          </w:p>
          <w:p w14:paraId="656FF26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20.具备自定义设置预约通知公告栏目。可随时上架下架或替换内容，并可设置每次进入应用后的强制弹窗内容。</w:t>
            </w:r>
          </w:p>
          <w:p w14:paraId="12B4870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21.具有完善的预约使用情况展示功能，管理员在后台首页可以查看预约应用总预约人次、总预约时长、总使用时长、总预约对象个数、预约使用趋势、预约对象使用排行，以及当日的预约人次、预约时长、签到人次、签退人次、使用时长、当前使用人数等数据统计</w:t>
            </w:r>
          </w:p>
          <w:p w14:paraId="32AE122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22.具备用户在PC端、微信端多终端进行可视化的预约功能。预约对象以时间格的形式展示出可预约时间段及每个时间段可预约的人数，用户可直接在界面上看到每天开放的时间段，点击时间进行预约，同时已约满或不可预约的时间段禁止选择。</w:t>
            </w:r>
          </w:p>
          <w:p w14:paraId="5AFB5BD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23.系统具备自动将用户自建的预约对象和最近使用的预约对象置于列表前排。</w:t>
            </w:r>
          </w:p>
          <w:p w14:paraId="77FF936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24.用户预约时，可根据需要预约时间、对象标签筛选出需要预约的对象。</w:t>
            </w:r>
          </w:p>
          <w:p w14:paraId="22C7EFF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25.预约对象卡片页会根据后台配置以及当前用户实际预约状态显示：需审批、待审批、已预约的标签。</w:t>
            </w:r>
          </w:p>
          <w:p w14:paraId="6B4E1DF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26.用户预约时可填写备注，方便标注用途及其他说明。</w:t>
            </w:r>
          </w:p>
          <w:p w14:paraId="2EE065E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27.具备用户查看自己的全部预约记录功能。</w:t>
            </w:r>
          </w:p>
          <w:p w14:paraId="71B1E20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28.具备到签到、签退时间，系统会自动发通知提醒功能。</w:t>
            </w:r>
          </w:p>
          <w:p w14:paraId="5038E63B">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29.具备用户在预约开始前取消已预约的记录功能。</w:t>
            </w:r>
          </w:p>
          <w:p w14:paraId="31E54E8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30.具备管理员在移动端对预约应用进行管理功能。包括查看预约使用大数据统计，包括查看今日预约人数、今日预约时长、今日签到人次、今日签退人次、当前使用人数、今日使用时长等，并可筛选查看具体某个对象的预约数据。</w:t>
            </w:r>
          </w:p>
          <w:p w14:paraId="450397B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31.具备管理员在移动端查看当前预约情况功能，详细预约记录、查看违约记录、查看预约记录的表单/审批信息、以及在手机端进行代签到、签退、取消、解除限制使用操作。</w:t>
            </w:r>
          </w:p>
          <w:p w14:paraId="35E04A8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32.部分字段具有公式编辑功能，可在填写时根据填写的数据进行计算。</w:t>
            </w:r>
          </w:p>
          <w:p w14:paraId="78981154">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33.部分字段具备从微服务用户系统中获取当前用户信息及当前用户部门信息。</w:t>
            </w:r>
          </w:p>
          <w:p w14:paraId="7CDDC01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34.具备设置业务规则功能，设置某些字段满足一定条件后才能显示/允许编辑/必须填写。</w:t>
            </w:r>
          </w:p>
          <w:p w14:paraId="622041C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35.具备设置PC端流程表单填写时为多列的样式，并且可以自定义每个字段在表单内的显示宽度。</w:t>
            </w:r>
          </w:p>
          <w:p w14:paraId="0A89158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36.具备设置PC端填写页的页面样式功能，提供多套样式模板供选择。具有卡片＋连线式的流程编辑页面，操作简单，流程直观。具备拖拽移动画布，移动卡片节点快速调增位置。</w:t>
            </w:r>
          </w:p>
          <w:p w14:paraId="480C0E39">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37.具备添加/编辑多种节点类型功能：发起人节点、审批人节点、抄送人节点、发通知节点、条件分支节点、并行分支节点。</w:t>
            </w:r>
          </w:p>
          <w:p w14:paraId="118A784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38.具备部署到指定服务器上运行的能力。</w:t>
            </w:r>
          </w:p>
          <w:p w14:paraId="0835E26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39.对接学校统一身份认证系统实现系统登录功能。</w:t>
            </w:r>
          </w:p>
          <w:p w14:paraId="163BB814">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40.对接学校身份码，实现扫身份码签到功能。</w:t>
            </w:r>
          </w:p>
          <w:p w14:paraId="0C119A41">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41.本项目验收前完成</w:t>
            </w:r>
            <w:r>
              <w:rPr>
                <w:rFonts w:asciiTheme="minorEastAsia" w:hAnsiTheme="minorEastAsia" w:eastAsiaTheme="minorEastAsia" w:cstheme="minorEastAsia"/>
                <w:color w:val="auto"/>
                <w:sz w:val="24"/>
                <w:highlight w:val="none"/>
              </w:rPr>
              <w:t>江西省公安厅计算机系统二级等保</w:t>
            </w:r>
            <w:r>
              <w:rPr>
                <w:rFonts w:hint="eastAsia" w:asciiTheme="minorEastAsia" w:hAnsiTheme="minorEastAsia" w:eastAsiaTheme="minorEastAsia" w:cstheme="minorEastAsia"/>
                <w:color w:val="auto"/>
                <w:sz w:val="24"/>
                <w:highlight w:val="none"/>
              </w:rPr>
              <w:t>测评，供应商报价须包含上述费用并取得上述证书。</w:t>
            </w:r>
          </w:p>
          <w:p w14:paraId="1A5771E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42.对其他系统对接不收取费用，免费开放所有接口。</w:t>
            </w:r>
          </w:p>
          <w:p w14:paraId="27BA616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43.提供五年质保，质保期内提供功能更新和安全维护。</w:t>
            </w:r>
          </w:p>
        </w:tc>
        <w:tc>
          <w:tcPr>
            <w:tcW w:w="890" w:type="dxa"/>
            <w:tcBorders>
              <w:top w:val="single" w:color="auto" w:sz="4" w:space="0"/>
              <w:left w:val="single" w:color="auto" w:sz="4" w:space="0"/>
              <w:bottom w:val="single" w:color="auto" w:sz="4" w:space="0"/>
              <w:right w:val="double" w:color="auto" w:sz="4" w:space="0"/>
            </w:tcBorders>
            <w:vAlign w:val="center"/>
          </w:tcPr>
          <w:p w14:paraId="34383B49">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1套</w:t>
            </w:r>
          </w:p>
        </w:tc>
      </w:tr>
      <w:tr w14:paraId="10B2DC0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0151088A">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w:t>
            </w:r>
          </w:p>
        </w:tc>
        <w:tc>
          <w:tcPr>
            <w:tcW w:w="1407" w:type="dxa"/>
            <w:tcBorders>
              <w:top w:val="single" w:color="auto" w:sz="4" w:space="0"/>
              <w:left w:val="single" w:color="auto" w:sz="4" w:space="0"/>
              <w:bottom w:val="single" w:color="auto" w:sz="4" w:space="0"/>
              <w:right w:val="single" w:color="auto" w:sz="4" w:space="0"/>
            </w:tcBorders>
            <w:vAlign w:val="center"/>
          </w:tcPr>
          <w:p w14:paraId="1CC154DA">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研讨室</w:t>
            </w:r>
          </w:p>
          <w:p w14:paraId="3FE0E3F2">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智慧门禁</w:t>
            </w:r>
          </w:p>
          <w:p w14:paraId="31959B7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套件</w:t>
            </w:r>
          </w:p>
        </w:tc>
        <w:tc>
          <w:tcPr>
            <w:tcW w:w="5925" w:type="dxa"/>
            <w:tcBorders>
              <w:top w:val="single" w:color="auto" w:sz="4" w:space="0"/>
              <w:left w:val="single" w:color="auto" w:sz="4" w:space="0"/>
              <w:bottom w:val="single" w:color="auto" w:sz="4" w:space="0"/>
              <w:right w:val="single" w:color="auto" w:sz="4" w:space="0"/>
            </w:tcBorders>
            <w:vAlign w:val="center"/>
          </w:tcPr>
          <w:p w14:paraId="5379C63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1.处理器：主频≥2.0Ghz。</w:t>
            </w:r>
          </w:p>
          <w:p w14:paraId="01B74A9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2.内存：≥2G内存。</w:t>
            </w:r>
          </w:p>
          <w:p w14:paraId="6FB42A7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3.存储空间：≥8G闪存。</w:t>
            </w:r>
          </w:p>
          <w:p w14:paraId="6DCDDAE4">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4.屏幕：≥8寸，分辨率≥800*1280，屏幕具备触摸功能，全视角IPS液晶屏。</w:t>
            </w:r>
          </w:p>
          <w:p w14:paraId="0D534E7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5.摄像头：具备通用一维码及二维码识别，识别高度≥1.2米，角度可调摄像头识别距离：≥0.5，识别速度≤1s；双目摄像头，可见光和近红外，具备活体检测功能；具备人脸识别功能，人脸库≥40000。</w:t>
            </w:r>
          </w:p>
          <w:p w14:paraId="4FF726B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6.具备通过物联网智能门禁控制器的信号线(PUSH)或其他开关信号输出直接控制物联网智能门锁核心组件。</w:t>
            </w:r>
          </w:p>
          <w:p w14:paraId="5796213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7.物联网智能门锁开锁时间≤10ms，采用高强度铝合金制磁力装置，锁力重量≥280KG。</w:t>
            </w:r>
          </w:p>
          <w:p w14:paraId="3585EF5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8.具备物联网智能门锁专用电源、电路内部设置自动保护电路，当电源短路或者故障时，电源将会暂停输出，当故障排除后，输出自动恢复。</w:t>
            </w:r>
          </w:p>
          <w:p w14:paraId="6E3A94D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9.实现物联网智能门锁与预约系统及预约屏的系统接口对接开发，实现对接学校身份码系统，实现与预约系统对接的身份认证及安全响应，实现预约信号输出，物联网门锁系统的整体联调。</w:t>
            </w:r>
          </w:p>
          <w:p w14:paraId="586D18E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10.对其他系统对接不收取费用，免费开放所有接口。</w:t>
            </w:r>
          </w:p>
        </w:tc>
        <w:tc>
          <w:tcPr>
            <w:tcW w:w="890" w:type="dxa"/>
            <w:tcBorders>
              <w:top w:val="single" w:color="auto" w:sz="4" w:space="0"/>
              <w:left w:val="single" w:color="auto" w:sz="4" w:space="0"/>
              <w:bottom w:val="single" w:color="auto" w:sz="4" w:space="0"/>
              <w:right w:val="double" w:color="auto" w:sz="4" w:space="0"/>
            </w:tcBorders>
            <w:vAlign w:val="center"/>
          </w:tcPr>
          <w:p w14:paraId="6C62430B">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16套</w:t>
            </w:r>
          </w:p>
        </w:tc>
      </w:tr>
      <w:tr w14:paraId="0017F1E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8AEF87E">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w:t>
            </w:r>
          </w:p>
        </w:tc>
        <w:tc>
          <w:tcPr>
            <w:tcW w:w="1407" w:type="dxa"/>
            <w:tcBorders>
              <w:top w:val="single" w:color="auto" w:sz="4" w:space="0"/>
              <w:left w:val="single" w:color="auto" w:sz="4" w:space="0"/>
              <w:bottom w:val="single" w:color="auto" w:sz="4" w:space="0"/>
              <w:right w:val="single" w:color="auto" w:sz="4" w:space="0"/>
            </w:tcBorders>
            <w:vAlign w:val="center"/>
          </w:tcPr>
          <w:p w14:paraId="2B7FC35B">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玻璃门</w:t>
            </w:r>
          </w:p>
        </w:tc>
        <w:tc>
          <w:tcPr>
            <w:tcW w:w="5925" w:type="dxa"/>
            <w:tcBorders>
              <w:top w:val="single" w:color="auto" w:sz="4" w:space="0"/>
              <w:left w:val="single" w:color="auto" w:sz="4" w:space="0"/>
              <w:bottom w:val="single" w:color="auto" w:sz="4" w:space="0"/>
              <w:right w:val="single" w:color="auto" w:sz="4" w:space="0"/>
            </w:tcBorders>
            <w:vAlign w:val="center"/>
          </w:tcPr>
          <w:p w14:paraId="5F763BC5">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1.无框地弹簧透明玻璃门，钢化玻璃厚度：≥12mm。</w:t>
            </w:r>
          </w:p>
          <w:p w14:paraId="55DFD9DE">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 xml:space="preserve">2.门尺寸：高2250±50mm，宽1200±50mm。 </w:t>
            </w:r>
          </w:p>
          <w:p w14:paraId="07B609AC">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3.把手：不锈钢门把手。</w:t>
            </w:r>
          </w:p>
          <w:p w14:paraId="6D9DADCD">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4.门锁：物理门锁，专用钥匙。</w:t>
            </w:r>
          </w:p>
          <w:p w14:paraId="552172A7">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5.对于门与墙面之间空隙采用生态板材或石膏板封堵，内部填充隔音棉，刮瓷刷白色乳胶漆。</w:t>
            </w:r>
          </w:p>
          <w:p w14:paraId="7F38612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rPr>
              <w:t>6.门根据用户所需定制图案（馆徽）、标语。</w:t>
            </w:r>
          </w:p>
        </w:tc>
        <w:tc>
          <w:tcPr>
            <w:tcW w:w="890" w:type="dxa"/>
            <w:tcBorders>
              <w:top w:val="single" w:color="auto" w:sz="4" w:space="0"/>
              <w:left w:val="single" w:color="auto" w:sz="4" w:space="0"/>
              <w:bottom w:val="single" w:color="auto" w:sz="4" w:space="0"/>
              <w:right w:val="double" w:color="auto" w:sz="4" w:space="0"/>
            </w:tcBorders>
            <w:vAlign w:val="center"/>
          </w:tcPr>
          <w:p w14:paraId="30F347D8">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23套</w:t>
            </w:r>
          </w:p>
        </w:tc>
      </w:tr>
      <w:tr w14:paraId="7821384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31A8DD60">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w:t>
            </w:r>
          </w:p>
        </w:tc>
        <w:tc>
          <w:tcPr>
            <w:tcW w:w="1407" w:type="dxa"/>
            <w:tcBorders>
              <w:top w:val="single" w:color="auto" w:sz="4" w:space="0"/>
              <w:left w:val="single" w:color="auto" w:sz="4" w:space="0"/>
              <w:bottom w:val="single" w:color="auto" w:sz="4" w:space="0"/>
              <w:right w:val="single" w:color="auto" w:sz="4" w:space="0"/>
            </w:tcBorders>
            <w:vAlign w:val="center"/>
          </w:tcPr>
          <w:p w14:paraId="36418245">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监控</w:t>
            </w:r>
          </w:p>
          <w:p w14:paraId="0A2F62B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摄像头</w:t>
            </w:r>
          </w:p>
        </w:tc>
        <w:tc>
          <w:tcPr>
            <w:tcW w:w="5925" w:type="dxa"/>
            <w:tcBorders>
              <w:top w:val="single" w:color="auto" w:sz="4" w:space="0"/>
              <w:left w:val="single" w:color="auto" w:sz="4" w:space="0"/>
              <w:bottom w:val="single" w:color="auto" w:sz="4" w:space="0"/>
              <w:right w:val="single" w:color="auto" w:sz="4" w:space="0"/>
            </w:tcBorders>
            <w:vAlign w:val="center"/>
          </w:tcPr>
          <w:p w14:paraId="56EBC60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1.全彩高清PoE半球摄像机，像素≥400万；具备智能补光，具备白光/红外双补光，红外≥30m，白光≥20m。</w:t>
            </w:r>
          </w:p>
          <w:p w14:paraId="2E19AEF3">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2.最高分辨率≥2560×1440@25fps，可输出实时图像。</w:t>
            </w:r>
          </w:p>
          <w:p w14:paraId="2A596C0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3.具备背光补偿，强光抑制，3D数字降噪，数字宽动态。</w:t>
            </w:r>
          </w:p>
          <w:p w14:paraId="43923AE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4.具备人形检测功能。</w:t>
            </w:r>
          </w:p>
          <w:p w14:paraId="5BE9D0F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5.具备开放型网络视频接口，ISAPI，SDK，GB28181协议。</w:t>
            </w:r>
          </w:p>
          <w:p w14:paraId="34032811">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6.≥1个内置麦克风。</w:t>
            </w:r>
          </w:p>
          <w:p w14:paraId="7824E9D1">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7.≥IP67。</w:t>
            </w:r>
          </w:p>
        </w:tc>
        <w:tc>
          <w:tcPr>
            <w:tcW w:w="890" w:type="dxa"/>
            <w:tcBorders>
              <w:top w:val="single" w:color="auto" w:sz="4" w:space="0"/>
              <w:left w:val="single" w:color="auto" w:sz="4" w:space="0"/>
              <w:bottom w:val="single" w:color="auto" w:sz="4" w:space="0"/>
              <w:right w:val="double" w:color="auto" w:sz="4" w:space="0"/>
            </w:tcBorders>
            <w:vAlign w:val="center"/>
          </w:tcPr>
          <w:p w14:paraId="3B2AE85E">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16台</w:t>
            </w:r>
          </w:p>
        </w:tc>
      </w:tr>
      <w:tr w14:paraId="760F87E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2D793611">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w:t>
            </w:r>
          </w:p>
        </w:tc>
        <w:tc>
          <w:tcPr>
            <w:tcW w:w="1407" w:type="dxa"/>
            <w:tcBorders>
              <w:top w:val="single" w:color="auto" w:sz="4" w:space="0"/>
              <w:left w:val="single" w:color="auto" w:sz="4" w:space="0"/>
              <w:bottom w:val="single" w:color="auto" w:sz="4" w:space="0"/>
              <w:right w:val="single" w:color="auto" w:sz="4" w:space="0"/>
            </w:tcBorders>
            <w:vAlign w:val="center"/>
          </w:tcPr>
          <w:p w14:paraId="1E1BF33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交换机</w:t>
            </w:r>
          </w:p>
        </w:tc>
        <w:tc>
          <w:tcPr>
            <w:tcW w:w="5925" w:type="dxa"/>
            <w:tcBorders>
              <w:top w:val="single" w:color="auto" w:sz="4" w:space="0"/>
              <w:left w:val="single" w:color="auto" w:sz="4" w:space="0"/>
              <w:bottom w:val="single" w:color="auto" w:sz="4" w:space="0"/>
              <w:right w:val="single" w:color="auto" w:sz="4" w:space="0"/>
            </w:tcBorders>
            <w:vAlign w:val="center"/>
          </w:tcPr>
          <w:p w14:paraId="314EFC1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1.具备≥16个百兆PoE电口，≥1个千兆电口，≥1个千兆光电复用口。</w:t>
            </w:r>
          </w:p>
          <w:p w14:paraId="3E2A008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2.具备IEEE802.3at/af；具备IEEE802.3、IEEE802.3u、IEEE802.3x。</w:t>
            </w:r>
          </w:p>
          <w:p w14:paraId="6C62424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3.具备红口保障；具备上行口链路聚合；具备下行口端口隔离。</w:t>
            </w:r>
          </w:p>
          <w:p w14:paraId="1094BF5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4.最远传输距离≥200米。</w:t>
            </w:r>
          </w:p>
          <w:p w14:paraId="357C11B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5.具备≥6KV防浪涌（PoE口）。</w:t>
            </w:r>
          </w:p>
          <w:p w14:paraId="73C169E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6.具备PoE输出功率管理。</w:t>
            </w:r>
          </w:p>
          <w:p w14:paraId="5E08D8D9">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7.具备百兆网络接入功能、线速转发、无阻塞功能。</w:t>
            </w:r>
          </w:p>
          <w:p w14:paraId="1473E88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8.金属外壳。</w:t>
            </w:r>
          </w:p>
        </w:tc>
        <w:tc>
          <w:tcPr>
            <w:tcW w:w="890" w:type="dxa"/>
            <w:tcBorders>
              <w:top w:val="single" w:color="auto" w:sz="4" w:space="0"/>
              <w:left w:val="single" w:color="auto" w:sz="4" w:space="0"/>
              <w:bottom w:val="single" w:color="auto" w:sz="4" w:space="0"/>
              <w:right w:val="double" w:color="auto" w:sz="4" w:space="0"/>
            </w:tcBorders>
            <w:vAlign w:val="center"/>
          </w:tcPr>
          <w:p w14:paraId="3DAB7761">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4台</w:t>
            </w:r>
          </w:p>
        </w:tc>
      </w:tr>
      <w:tr w14:paraId="3171393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CDD5D38">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w:t>
            </w:r>
          </w:p>
        </w:tc>
        <w:tc>
          <w:tcPr>
            <w:tcW w:w="1407" w:type="dxa"/>
            <w:tcBorders>
              <w:top w:val="single" w:color="auto" w:sz="4" w:space="0"/>
              <w:left w:val="single" w:color="auto" w:sz="4" w:space="0"/>
              <w:bottom w:val="single" w:color="auto" w:sz="4" w:space="0"/>
              <w:right w:val="single" w:color="auto" w:sz="4" w:space="0"/>
            </w:tcBorders>
            <w:vAlign w:val="center"/>
          </w:tcPr>
          <w:p w14:paraId="634DFF1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网络柜</w:t>
            </w:r>
          </w:p>
        </w:tc>
        <w:tc>
          <w:tcPr>
            <w:tcW w:w="5925" w:type="dxa"/>
            <w:tcBorders>
              <w:top w:val="single" w:color="auto" w:sz="4" w:space="0"/>
              <w:left w:val="single" w:color="auto" w:sz="4" w:space="0"/>
              <w:bottom w:val="single" w:color="auto" w:sz="4" w:space="0"/>
              <w:right w:val="single" w:color="auto" w:sz="4" w:space="0"/>
            </w:tcBorders>
            <w:vAlign w:val="center"/>
          </w:tcPr>
          <w:p w14:paraId="423FF5B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1.规格：宽*深*高：600mm*450mm*500mm±5mm。</w:t>
            </w:r>
          </w:p>
          <w:p w14:paraId="2AC2379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2.配置：网孔门式铁皮门，钣金后门；侧门：快开式，每边配2个快开拉手；后门用螺母与上下框连接；防雷插排、C32漏保4个、一块层板。</w:t>
            </w:r>
          </w:p>
        </w:tc>
        <w:tc>
          <w:tcPr>
            <w:tcW w:w="890" w:type="dxa"/>
            <w:tcBorders>
              <w:top w:val="single" w:color="auto" w:sz="4" w:space="0"/>
              <w:left w:val="single" w:color="auto" w:sz="4" w:space="0"/>
              <w:bottom w:val="single" w:color="auto" w:sz="4" w:space="0"/>
              <w:right w:val="double" w:color="auto" w:sz="4" w:space="0"/>
            </w:tcBorders>
            <w:vAlign w:val="center"/>
          </w:tcPr>
          <w:p w14:paraId="77DB419E">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2台</w:t>
            </w:r>
          </w:p>
        </w:tc>
      </w:tr>
      <w:tr w14:paraId="62619EA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5FACE5B2">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w:t>
            </w:r>
          </w:p>
        </w:tc>
        <w:tc>
          <w:tcPr>
            <w:tcW w:w="1407" w:type="dxa"/>
            <w:tcBorders>
              <w:top w:val="single" w:color="auto" w:sz="4" w:space="0"/>
              <w:left w:val="single" w:color="auto" w:sz="4" w:space="0"/>
              <w:bottom w:val="single" w:color="auto" w:sz="4" w:space="0"/>
              <w:right w:val="single" w:color="auto" w:sz="4" w:space="0"/>
            </w:tcBorders>
            <w:vAlign w:val="center"/>
          </w:tcPr>
          <w:p w14:paraId="06F4BB07">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智慧教学</w:t>
            </w:r>
          </w:p>
          <w:p w14:paraId="75B7BB74">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一体机</w:t>
            </w:r>
          </w:p>
          <w:p w14:paraId="249F4F0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75寸</w:t>
            </w:r>
          </w:p>
        </w:tc>
        <w:tc>
          <w:tcPr>
            <w:tcW w:w="5925" w:type="dxa"/>
            <w:tcBorders>
              <w:top w:val="single" w:color="auto" w:sz="4" w:space="0"/>
              <w:left w:val="single" w:color="auto" w:sz="4" w:space="0"/>
              <w:bottom w:val="single" w:color="auto" w:sz="4" w:space="0"/>
              <w:right w:val="single" w:color="auto" w:sz="4" w:space="0"/>
            </w:tcBorders>
          </w:tcPr>
          <w:p w14:paraId="0EA752A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1.整机采用一体设计，外部无任何可见内部功能模块连接线。边角采用弧形设计，表面无尖锐边缘或凸起。</w:t>
            </w:r>
          </w:p>
          <w:p w14:paraId="441A905B">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2.整机屏幕采用≥75英寸液晶显示器。整机采用UHD超高清LED液晶屏，显示比例≥16:9，分辨率≥3840×2160。</w:t>
            </w:r>
          </w:p>
          <w:p w14:paraId="4A20DC0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 xml:space="preserve">3.同一电源物理按键完成Android系统和Windows系统的开机、关机操作； </w:t>
            </w:r>
          </w:p>
          <w:p w14:paraId="69A60B1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4.整机前置输入接口具备≥3路USB接口。</w:t>
            </w:r>
          </w:p>
          <w:p w14:paraId="2204C96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5.整机具备≥4个前置按键，可实现开关机、调出中控菜单、音量+/-。</w:t>
            </w:r>
          </w:p>
          <w:p w14:paraId="2CAE350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6.具备经典护眼模式。</w:t>
            </w:r>
          </w:p>
          <w:p w14:paraId="32361102">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7.设备具备通过前置面板物理按键一键启动录屏功能，可将屏幕中显示的课件、音频内容与人声同时录制。</w:t>
            </w:r>
          </w:p>
          <w:p w14:paraId="5F375909">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8.配备可移动推车。</w:t>
            </w:r>
          </w:p>
          <w:p w14:paraId="695F89E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9.配备无线键盘鼠标。</w:t>
            </w:r>
          </w:p>
          <w:p w14:paraId="113A68B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10.采用红外触控技术，具备进行≥40点触控。</w:t>
            </w:r>
          </w:p>
          <w:p w14:paraId="08D1043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11.扬声器≥6个，额定总功率≥60W。</w:t>
            </w:r>
          </w:p>
          <w:p w14:paraId="559C4903">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12.整机关机状态下，通过长按电源键进入设置界面后，可点击屏幕选择故障检测、系统还原功能，系统还原可单独还原PC系统，单独还原整机系统。</w:t>
            </w:r>
          </w:p>
          <w:p w14:paraId="67A9E269">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13.整机内置专业硬件自检维护工具（非第三方工具），具备对整机内部的板卡及部件模块进行故障检测、系统还原功能。</w:t>
            </w:r>
          </w:p>
          <w:p w14:paraId="7B5FCCA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14.具备外接信号输入时自动唤醒功能，整机处于关机通电状态，外接电脑显示信号通过HDMI传输线连接至整机时，整机可智能识别外接电脑设备信号输入并自动开机。</w:t>
            </w:r>
          </w:p>
          <w:p w14:paraId="253C16B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15.整机全通道侧边栏快捷菜单中可实时查看物联设备的连接情况，点击设备图标即可调出中控菜单进行管控。</w:t>
            </w:r>
          </w:p>
          <w:p w14:paraId="0D3F31E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16.整机Windows通道具备文件传输应用，具备通过扫码、wifi直联方式与手机进行握手连接，实现文件传输功能。</w:t>
            </w:r>
          </w:p>
          <w:p w14:paraId="4C6B690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17.整机具备蓝牙Bluetooth5.0及以上，整机内置双WiFi6无线网卡；</w:t>
            </w:r>
          </w:p>
          <w:p w14:paraId="4FA9FFA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18.嵌入式系统版本不低于Android13，主频≥1.8GHZ。</w:t>
            </w:r>
          </w:p>
          <w:p w14:paraId="47C15AA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19.CPU：核心数量≥8；线程数量≥12；核心频率≥1.5 GHz；缓存≥12 MB；内存采用≥8GBDDR4内存；硬盘采用≥256GBSSD固态硬盘。</w:t>
            </w:r>
          </w:p>
          <w:p w14:paraId="5FC04A61">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20.无需工具即可快速拆卸电脑模块。</w:t>
            </w:r>
          </w:p>
        </w:tc>
        <w:tc>
          <w:tcPr>
            <w:tcW w:w="890" w:type="dxa"/>
            <w:tcBorders>
              <w:top w:val="single" w:color="auto" w:sz="4" w:space="0"/>
              <w:left w:val="single" w:color="auto" w:sz="4" w:space="0"/>
              <w:bottom w:val="single" w:color="auto" w:sz="4" w:space="0"/>
              <w:right w:val="double" w:color="auto" w:sz="4" w:space="0"/>
            </w:tcBorders>
            <w:vAlign w:val="center"/>
          </w:tcPr>
          <w:p w14:paraId="6EF25988">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6台</w:t>
            </w:r>
          </w:p>
        </w:tc>
      </w:tr>
      <w:tr w14:paraId="7D4FCD43">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49F04931">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8</w:t>
            </w:r>
          </w:p>
        </w:tc>
        <w:tc>
          <w:tcPr>
            <w:tcW w:w="1407" w:type="dxa"/>
            <w:tcBorders>
              <w:top w:val="single" w:color="auto" w:sz="4" w:space="0"/>
              <w:left w:val="single" w:color="auto" w:sz="4" w:space="0"/>
              <w:bottom w:val="single" w:color="auto" w:sz="4" w:space="0"/>
              <w:right w:val="single" w:color="auto" w:sz="4" w:space="0"/>
            </w:tcBorders>
            <w:vAlign w:val="center"/>
          </w:tcPr>
          <w:p w14:paraId="096A8880">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智慧教学</w:t>
            </w:r>
          </w:p>
          <w:p w14:paraId="57034A59">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一体机</w:t>
            </w:r>
          </w:p>
          <w:p w14:paraId="2234C88D">
            <w:pPr>
              <w:spacing w:line="360" w:lineRule="auto"/>
              <w:rPr>
                <w:rFonts w:hint="eastAsia" w:asciiTheme="minorEastAsia" w:hAnsiTheme="minorEastAsia" w:eastAsiaTheme="minorEastAsia" w:cstheme="minorEastAsia"/>
                <w:color w:val="auto"/>
                <w:kern w:val="0"/>
                <w:sz w:val="24"/>
                <w:highlight w:val="none"/>
                <w:lang w:bidi="ar"/>
              </w:rPr>
            </w:pPr>
            <w:r>
              <w:rPr>
                <w:rFonts w:hint="eastAsia" w:asciiTheme="minorEastAsia" w:hAnsiTheme="minorEastAsia" w:eastAsiaTheme="minorEastAsia" w:cstheme="minorEastAsia"/>
                <w:color w:val="auto"/>
                <w:kern w:val="0"/>
                <w:sz w:val="24"/>
                <w:highlight w:val="none"/>
                <w:lang w:bidi="ar"/>
              </w:rPr>
              <w:t>65寸</w:t>
            </w:r>
          </w:p>
        </w:tc>
        <w:tc>
          <w:tcPr>
            <w:tcW w:w="5925" w:type="dxa"/>
            <w:tcBorders>
              <w:top w:val="single" w:color="auto" w:sz="4" w:space="0"/>
              <w:left w:val="single" w:color="auto" w:sz="4" w:space="0"/>
              <w:bottom w:val="single" w:color="auto" w:sz="4" w:space="0"/>
              <w:right w:val="single" w:color="auto" w:sz="4" w:space="0"/>
            </w:tcBorders>
          </w:tcPr>
          <w:p w14:paraId="4FED459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1.整机采用一体设计，外部无任何可见内部功能模块连接线。边角采用弧形设计，表面无尖锐边缘或凸起。</w:t>
            </w:r>
          </w:p>
          <w:p w14:paraId="5C948E7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2.整机屏幕采用≥65英寸液晶显示器。整机采用UHD超高清LED液晶屏，显示比例≥16:9，分辨率≥3840×2160。</w:t>
            </w:r>
          </w:p>
          <w:p w14:paraId="4A2B7EA5">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 xml:space="preserve">3.同一电源物理按键完成Android系统和Windows系统的开机、关机操作； </w:t>
            </w:r>
          </w:p>
          <w:p w14:paraId="01A657F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4.整机前置输入接口具备≥3路USB接口。</w:t>
            </w:r>
          </w:p>
          <w:p w14:paraId="658A226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5.整机具备≥4个前置按键，可实现开关机、调出中控菜单、音量+/-。</w:t>
            </w:r>
          </w:p>
          <w:p w14:paraId="7F57C58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6.具备经典护眼模式。</w:t>
            </w:r>
          </w:p>
          <w:p w14:paraId="6541C31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7.设备具备通过前置面板物理按键一键启动录屏功能，可将屏幕中显示的课件、音频内容与人声同时录制。</w:t>
            </w:r>
          </w:p>
          <w:p w14:paraId="26E6AE6A">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8.配备可移动推车。</w:t>
            </w:r>
          </w:p>
          <w:p w14:paraId="7ABDD68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9.配备无线键盘鼠标。</w:t>
            </w:r>
          </w:p>
          <w:p w14:paraId="5FDCA1FB">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10.采用红外触控技术，具备进行≥40点触控。</w:t>
            </w:r>
          </w:p>
          <w:p w14:paraId="2E3F1465">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11.扬声器≥6个，额定总功率≥60W。</w:t>
            </w:r>
          </w:p>
          <w:p w14:paraId="44FE23FC">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12.整机关机状态下，通过长按电源键进入设置界面后，可点击屏幕选择故障检测、系统还原功能，系统还原可单独还原PC系统，单独还原整机系统。</w:t>
            </w:r>
          </w:p>
          <w:p w14:paraId="64B74459">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13.整机内置专业硬件自检维护工具（非第三方工具），具备对整机内部的板卡及部件模块进行故障检测、系统还原功能。</w:t>
            </w:r>
          </w:p>
          <w:p w14:paraId="65C6074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14.具备外接信号输入时自动唤醒功能，整机处于关机通电状态，外接电脑显示信号通过HDMI传输线连接至整机时，整机可智能识别外接电脑设备信号输入并自动开机。</w:t>
            </w:r>
          </w:p>
          <w:p w14:paraId="7913610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15.整机全通道侧边栏快捷菜单中可实时查看物联设备的连接情况，点击设备图标即可调出中控菜单进行管控。</w:t>
            </w:r>
          </w:p>
          <w:p w14:paraId="777D2E24">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16.整机Windows通道具备文件传输应用，具备通过扫码、wifi直联方式与手机进行握手连接，实现文件传输功能。</w:t>
            </w:r>
          </w:p>
          <w:p w14:paraId="185FFFB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17.整机具备蓝牙Bluetooth5.0及以上，整机内置双WiFi6无线网卡；</w:t>
            </w:r>
          </w:p>
          <w:p w14:paraId="35E19A7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18.嵌入式系统版本不低于Android13，主频≥1.8GHZ。</w:t>
            </w:r>
          </w:p>
          <w:p w14:paraId="2AF0C883">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19.CPU：核心数量≥8；线程数量≥12；核心频率≥1.5 GHz；缓存≥12 MB；内存采用≥8GBDDR4内存；硬盘采用≥256GBSSD固态硬盘。</w:t>
            </w:r>
          </w:p>
          <w:p w14:paraId="5DFE845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20.无需工具即可快速拆卸电脑模块。</w:t>
            </w:r>
          </w:p>
        </w:tc>
        <w:tc>
          <w:tcPr>
            <w:tcW w:w="890" w:type="dxa"/>
            <w:tcBorders>
              <w:top w:val="single" w:color="auto" w:sz="4" w:space="0"/>
              <w:left w:val="single" w:color="auto" w:sz="4" w:space="0"/>
              <w:bottom w:val="single" w:color="auto" w:sz="4" w:space="0"/>
              <w:right w:val="double" w:color="auto" w:sz="4" w:space="0"/>
            </w:tcBorders>
            <w:vAlign w:val="center"/>
          </w:tcPr>
          <w:p w14:paraId="0827E383">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2台</w:t>
            </w:r>
          </w:p>
        </w:tc>
      </w:tr>
      <w:tr w14:paraId="11F26FD1">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560F79CD">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9</w:t>
            </w:r>
          </w:p>
        </w:tc>
        <w:tc>
          <w:tcPr>
            <w:tcW w:w="1407" w:type="dxa"/>
            <w:tcBorders>
              <w:top w:val="single" w:color="auto" w:sz="4" w:space="0"/>
              <w:left w:val="single" w:color="auto" w:sz="4" w:space="0"/>
              <w:bottom w:val="single" w:color="auto" w:sz="4" w:space="0"/>
              <w:right w:val="single" w:color="auto" w:sz="4" w:space="0"/>
            </w:tcBorders>
            <w:vAlign w:val="center"/>
          </w:tcPr>
          <w:p w14:paraId="2AC09C38">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电脑</w:t>
            </w:r>
          </w:p>
        </w:tc>
        <w:tc>
          <w:tcPr>
            <w:tcW w:w="5925" w:type="dxa"/>
            <w:tcBorders>
              <w:top w:val="single" w:color="auto" w:sz="4" w:space="0"/>
              <w:left w:val="single" w:color="auto" w:sz="4" w:space="0"/>
              <w:bottom w:val="single" w:color="auto" w:sz="4" w:space="0"/>
              <w:right w:val="single" w:color="auto" w:sz="4" w:space="0"/>
            </w:tcBorders>
            <w:vAlign w:val="center"/>
          </w:tcPr>
          <w:p w14:paraId="3A35D5A7">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1.CPU:核心数量≥8；线程数量≥12；核心频率≥2.0 GHz；缓存≥12 MB。</w:t>
            </w:r>
          </w:p>
          <w:p w14:paraId="3E52422F">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2.内存：≥16GDDR4</w:t>
            </w:r>
          </w:p>
          <w:p w14:paraId="74C1C8BB">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3.硬盘：≥512G固态硬盘；</w:t>
            </w:r>
          </w:p>
          <w:p w14:paraId="493EAEF6">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4.集成显卡，提供不少于DP+HDMI双接口；集成千兆网卡</w:t>
            </w:r>
          </w:p>
          <w:p w14:paraId="04CAE51E">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5.显示器：≥21.5英寸显示器；分辨率≥1980*1080</w:t>
            </w:r>
          </w:p>
          <w:p w14:paraId="76C469E4">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6.预装WIN11、64位操作系统</w:t>
            </w:r>
          </w:p>
        </w:tc>
        <w:tc>
          <w:tcPr>
            <w:tcW w:w="890" w:type="dxa"/>
            <w:tcBorders>
              <w:top w:val="single" w:color="auto" w:sz="4" w:space="0"/>
              <w:left w:val="single" w:color="auto" w:sz="4" w:space="0"/>
              <w:bottom w:val="single" w:color="auto" w:sz="4" w:space="0"/>
              <w:right w:val="double" w:color="auto" w:sz="4" w:space="0"/>
            </w:tcBorders>
            <w:vAlign w:val="center"/>
          </w:tcPr>
          <w:p w14:paraId="681F404B">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3台</w:t>
            </w:r>
          </w:p>
        </w:tc>
      </w:tr>
      <w:tr w14:paraId="0954528C">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tcBorders>
              <w:top w:val="single" w:color="auto" w:sz="4" w:space="0"/>
              <w:left w:val="double" w:color="auto" w:sz="4" w:space="0"/>
              <w:bottom w:val="single" w:color="auto" w:sz="4" w:space="0"/>
              <w:right w:val="single" w:color="auto" w:sz="4" w:space="0"/>
            </w:tcBorders>
            <w:vAlign w:val="center"/>
          </w:tcPr>
          <w:p w14:paraId="1CB84DFD">
            <w:pPr>
              <w:spacing w:line="360" w:lineRule="auto"/>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10</w:t>
            </w:r>
          </w:p>
        </w:tc>
        <w:tc>
          <w:tcPr>
            <w:tcW w:w="1407" w:type="dxa"/>
            <w:tcBorders>
              <w:top w:val="single" w:color="auto" w:sz="4" w:space="0"/>
              <w:left w:val="single" w:color="auto" w:sz="4" w:space="0"/>
              <w:bottom w:val="single" w:color="auto" w:sz="4" w:space="0"/>
              <w:right w:val="single" w:color="auto" w:sz="4" w:space="0"/>
            </w:tcBorders>
            <w:vAlign w:val="center"/>
          </w:tcPr>
          <w:p w14:paraId="6594AB10">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lang w:bidi="ar"/>
              </w:rPr>
              <w:t>打印机</w:t>
            </w:r>
          </w:p>
        </w:tc>
        <w:tc>
          <w:tcPr>
            <w:tcW w:w="5925" w:type="dxa"/>
            <w:tcBorders>
              <w:top w:val="single" w:color="auto" w:sz="4" w:space="0"/>
              <w:left w:val="single" w:color="auto" w:sz="4" w:space="0"/>
              <w:bottom w:val="single" w:color="auto" w:sz="4" w:space="0"/>
              <w:right w:val="single" w:color="auto" w:sz="4" w:space="0"/>
            </w:tcBorders>
            <w:vAlign w:val="center"/>
          </w:tcPr>
          <w:p w14:paraId="137381F2">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1.黑白激光一体机（打印/自动双面）</w:t>
            </w:r>
          </w:p>
          <w:p w14:paraId="514CE16D">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2.打印速度：≥38页/分钟</w:t>
            </w:r>
          </w:p>
          <w:p w14:paraId="0D70FB80">
            <w:pPr>
              <w:spacing w:line="360" w:lineRule="auto"/>
              <w:rPr>
                <w:rFonts w:hint="eastAsia" w:asciiTheme="minorEastAsia" w:hAnsiTheme="minorEastAsia" w:eastAsiaTheme="minorEastAsia" w:cstheme="minorEastAsia"/>
                <w:color w:val="auto"/>
                <w:kern w:val="0"/>
                <w:sz w:val="24"/>
                <w:highlight w:val="none"/>
              </w:rPr>
            </w:pPr>
            <w:r>
              <w:rPr>
                <w:rFonts w:hint="eastAsia" w:asciiTheme="minorEastAsia" w:hAnsiTheme="minorEastAsia" w:eastAsiaTheme="minorEastAsia" w:cstheme="minorEastAsia"/>
                <w:color w:val="auto"/>
                <w:kern w:val="0"/>
                <w:sz w:val="24"/>
                <w:highlight w:val="none"/>
              </w:rPr>
              <w:t>3.接口：</w:t>
            </w:r>
            <w:r>
              <w:rPr>
                <w:rFonts w:hint="eastAsia" w:asciiTheme="minorEastAsia" w:hAnsiTheme="minorEastAsia" w:eastAsiaTheme="minorEastAsia" w:cstheme="minorEastAsia"/>
                <w:color w:val="auto"/>
                <w:sz w:val="24"/>
                <w:highlight w:val="none"/>
              </w:rPr>
              <w:t>≥</w:t>
            </w:r>
            <w:r>
              <w:rPr>
                <w:rFonts w:hint="eastAsia" w:asciiTheme="minorEastAsia" w:hAnsiTheme="minorEastAsia" w:eastAsiaTheme="minorEastAsia" w:cstheme="minorEastAsia"/>
                <w:color w:val="auto"/>
                <w:kern w:val="0"/>
                <w:sz w:val="24"/>
                <w:highlight w:val="none"/>
              </w:rPr>
              <w:t>USB3.0、千兆网口、Wi-Fi、蓝牙</w:t>
            </w:r>
          </w:p>
          <w:p w14:paraId="426D1C5D">
            <w:pPr>
              <w:spacing w:line="360" w:lineRule="auto"/>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kern w:val="0"/>
                <w:sz w:val="24"/>
                <w:highlight w:val="none"/>
              </w:rPr>
              <w:t>4.进纸盒：》500页纸盒</w:t>
            </w:r>
          </w:p>
        </w:tc>
        <w:tc>
          <w:tcPr>
            <w:tcW w:w="890" w:type="dxa"/>
            <w:tcBorders>
              <w:top w:val="single" w:color="auto" w:sz="4" w:space="0"/>
              <w:left w:val="single" w:color="auto" w:sz="4" w:space="0"/>
              <w:bottom w:val="single" w:color="auto" w:sz="4" w:space="0"/>
              <w:right w:val="double" w:color="auto" w:sz="4" w:space="0"/>
            </w:tcBorders>
            <w:vAlign w:val="center"/>
          </w:tcPr>
          <w:p w14:paraId="6EE604D5">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3台</w:t>
            </w:r>
          </w:p>
        </w:tc>
      </w:tr>
      <w:tr w14:paraId="38F680C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9068" w:type="dxa"/>
            <w:gridSpan w:val="4"/>
            <w:tcBorders>
              <w:top w:val="single" w:color="auto" w:sz="4" w:space="0"/>
              <w:left w:val="double" w:color="auto" w:sz="4" w:space="0"/>
              <w:bottom w:val="single" w:color="auto" w:sz="4" w:space="0"/>
              <w:right w:val="double" w:color="auto" w:sz="4" w:space="0"/>
            </w:tcBorders>
            <w:vAlign w:val="center"/>
          </w:tcPr>
          <w:p w14:paraId="02EF7F62">
            <w:pPr>
              <w:autoSpaceDE w:val="0"/>
              <w:autoSpaceDN w:val="0"/>
              <w:adjustRightInd w:val="0"/>
              <w:spacing w:line="360" w:lineRule="auto"/>
              <w:jc w:val="left"/>
              <w:rPr>
                <w:rFonts w:hint="eastAsia" w:asciiTheme="minorEastAsia" w:hAnsiTheme="minorEastAsia" w:eastAsiaTheme="minorEastAsia" w:cstheme="minorEastAsia"/>
                <w:color w:val="auto"/>
                <w:sz w:val="24"/>
                <w:highlight w:val="none"/>
              </w:rPr>
            </w:pPr>
            <w:r>
              <w:rPr>
                <w:rFonts w:hint="eastAsia" w:ascii="宋体" w:hAnsi="宋体" w:cs="宋体"/>
                <w:b/>
                <w:color w:val="auto"/>
                <w:sz w:val="24"/>
                <w:highlight w:val="none"/>
              </w:rPr>
              <w:t>注：供应商所投产品属于《政府采购需求标准2023版》目录内的，须完全满足《政府采购需求标准2023版》各目录中标※号的要求，若上述参数标准低于需求标准中的要求，按需求标准文件中的标准执行。若因供应商原因导致所投产品不符合标准要求的，一切不利后果由供应商自行承担。</w:t>
            </w:r>
          </w:p>
        </w:tc>
      </w:tr>
    </w:tbl>
    <w:p w14:paraId="55403EC3">
      <w:pPr>
        <w:pStyle w:val="5"/>
        <w:rPr>
          <w:color w:val="auto"/>
          <w:highlight w:val="none"/>
        </w:rPr>
      </w:pPr>
    </w:p>
    <w:p w14:paraId="0237FB9A">
      <w:pPr>
        <w:spacing w:line="360" w:lineRule="auto"/>
        <w:rPr>
          <w:rFonts w:hint="eastAsia" w:ascii="宋体" w:hAnsi="宋体"/>
          <w:b/>
          <w:color w:val="auto"/>
          <w:sz w:val="24"/>
          <w:highlight w:val="none"/>
        </w:rPr>
      </w:pPr>
      <w:r>
        <w:rPr>
          <w:rFonts w:hint="eastAsia" w:ascii="宋体" w:hAnsi="宋体"/>
          <w:b/>
          <w:color w:val="auto"/>
          <w:sz w:val="24"/>
          <w:highlight w:val="none"/>
        </w:rPr>
        <w:t>以上“参数规格”为实质性要求，必须完全满足或优于，否则响应无效。</w:t>
      </w:r>
    </w:p>
    <w:p w14:paraId="38BBF200">
      <w:pPr>
        <w:spacing w:line="360" w:lineRule="auto"/>
        <w:rPr>
          <w:rFonts w:hint="eastAsia" w:ascii="宋体" w:hAnsi="宋体"/>
          <w:b/>
          <w:color w:val="auto"/>
          <w:sz w:val="24"/>
          <w:highlight w:val="none"/>
        </w:rPr>
      </w:pPr>
    </w:p>
    <w:p w14:paraId="1D3FC68B">
      <w:pPr>
        <w:numPr>
          <w:ilvl w:val="0"/>
          <w:numId w:val="1"/>
        </w:num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商务条款</w:t>
      </w:r>
    </w:p>
    <w:p w14:paraId="32B07320">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1、交货期：合同签订后10个日历日内供货并完成开箱验收，开箱验收合格后45个日历日内完成安装、调试、培训工作。供应商应保证在要求时间内完成全部货物的供货、安装、调试和培训工作,符合国家标准、行业规范和合同等相关文件的要求。</w:t>
      </w:r>
    </w:p>
    <w:p w14:paraId="363D680B">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2、交货地点：南昌航空大学（江西省南昌市丰和南大道 696号）。</w:t>
      </w:r>
    </w:p>
    <w:p w14:paraId="6CCD4A88">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3、履约保证金：（1）履约保证金为合同总金额的5%计，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1AB129C3">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（2）</w:t>
      </w:r>
      <w:r>
        <w:rPr>
          <w:rFonts w:hint="eastAsia" w:ascii="宋体" w:hAnsi="宋体" w:cs="宋体"/>
          <w:color w:val="auto"/>
          <w:kern w:val="0"/>
          <w:sz w:val="24"/>
          <w:highlight w:val="none"/>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highlight w:val="none"/>
        </w:rPr>
        <w:t>。</w:t>
      </w:r>
    </w:p>
    <w:p w14:paraId="199BD61D">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（3）</w:t>
      </w:r>
      <w:r>
        <w:rPr>
          <w:rFonts w:hint="eastAsia" w:ascii="宋体" w:hAnsi="宋体" w:cs="宋体"/>
          <w:color w:val="auto"/>
          <w:kern w:val="0"/>
          <w:sz w:val="24"/>
          <w:highlight w:val="none"/>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highlight w:val="none"/>
        </w:rPr>
        <w:t>。</w:t>
      </w:r>
    </w:p>
    <w:p w14:paraId="0A71D9D3">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4、付款方式：成交供应商将所有货物按时交货安装调试并初次验收合格后，成交供应商提供合法的增值税专用发票及发票抵扣联原件、本合同原件和本项目政府采购验收单，采购人一次性向成交供应商付清合同款项的100%。（自收到成交供应商提供完整的付款材料之日起，采购人在10个工作日之内完成项目的付款）。</w:t>
      </w:r>
    </w:p>
    <w:p w14:paraId="4CBE2B79">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5、质量保证和售后服务要求。</w:t>
      </w:r>
    </w:p>
    <w:p w14:paraId="3696A729">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（1）质量保证期：自本项目最终验收合格之日起不少于5年的免费质量保证期（费用包含在本项目响应报价中）。</w:t>
      </w:r>
    </w:p>
    <w:p w14:paraId="4C97A071">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2）约定服务期自本项目所有产品安装调试并初次验收合格之日起算，在约定服务期内，如果设备发生故障，成交供应商要调查故障原因并免费修复直至满足设备性能的要求，或者更换整机或部分有缺陷的组件和材料；约定服务期内成交供应商应对由于设计、工艺或材料的缺陷而发生的任何不足和故障负责任。约定服务期内提供及时的升级服务。</w:t>
      </w:r>
    </w:p>
    <w:p w14:paraId="6FF2F301">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（3）约定服务期期满后，成交供应商继续为采购人提供专业维修及软件升级服务，由此发生的相关服务和备品备件费用由采购人承担。</w:t>
      </w:r>
    </w:p>
    <w:p w14:paraId="5661530A">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（4）提供7×24小时售后服务热线；在接到采购人通知维修后服务随时响应。若运用通讯工具不能解决问题，必须在48小时之内到达现场予以解决。</w:t>
      </w:r>
    </w:p>
    <w:p w14:paraId="6EBB9334">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（5）成交供应商的其它售后服务承诺属于本合同的一部分，如果有不同约定的，以服务水平和层级更高的为准。</w:t>
      </w:r>
    </w:p>
    <w:p w14:paraId="2D0B134D">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6、安装调试及货物验收</w:t>
      </w:r>
    </w:p>
    <w:p w14:paraId="1CF0298C">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（1）</w:t>
      </w:r>
      <w:r>
        <w:rPr>
          <w:rFonts w:hint="eastAsia" w:ascii="宋体" w:hAnsi="宋体" w:cs="宋体"/>
          <w:color w:val="auto"/>
          <w:kern w:val="0"/>
          <w:sz w:val="24"/>
          <w:highlight w:val="none"/>
        </w:rPr>
        <w:t>成交供应商应按合同约定按时交货并通知采购人对货物开箱时进行开箱验收</w:t>
      </w:r>
      <w:r>
        <w:rPr>
          <w:rFonts w:hint="eastAsia" w:ascii="宋体" w:hAnsi="宋体" w:cs="宋体"/>
          <w:color w:val="auto"/>
          <w:sz w:val="24"/>
          <w:highlight w:val="none"/>
        </w:rPr>
        <w:t>。</w:t>
      </w:r>
    </w:p>
    <w:p w14:paraId="447698A8">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（2）</w:t>
      </w:r>
      <w:r>
        <w:rPr>
          <w:rFonts w:hint="eastAsia" w:ascii="宋体" w:hAnsi="宋体" w:cs="宋体"/>
          <w:color w:val="auto"/>
          <w:kern w:val="0"/>
          <w:sz w:val="24"/>
          <w:highlight w:val="none"/>
        </w:rPr>
        <w:t>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14CB32BC">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（3）</w:t>
      </w:r>
      <w:r>
        <w:rPr>
          <w:rFonts w:hint="eastAsia" w:ascii="宋体" w:hAnsi="宋体" w:cs="宋体"/>
          <w:color w:val="auto"/>
          <w:kern w:val="0"/>
          <w:sz w:val="24"/>
          <w:highlight w:val="none"/>
        </w:rPr>
        <w:t>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r>
        <w:rPr>
          <w:rFonts w:hint="eastAsia" w:ascii="宋体" w:hAnsi="宋体" w:cs="宋体"/>
          <w:color w:val="auto"/>
          <w:sz w:val="24"/>
          <w:highlight w:val="none"/>
        </w:rPr>
        <w:t>。</w:t>
      </w:r>
    </w:p>
    <w:p w14:paraId="526617A2">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7、验收依据：《产品检验通用技术要求》和相关的中国国家标准；</w:t>
      </w:r>
    </w:p>
    <w:p w14:paraId="31A58AAD">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36C5ED1C">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9、知识产权</w:t>
      </w:r>
    </w:p>
    <w:p w14:paraId="622611FA">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成交供应商须保障采购人在使用该产品及所属服务或其任何一部分时不受到第三方关于侵犯专利权、商标权或工业设计权等知识产权的指控。如果任何第三方提出侵权指控与采购人无关，供应商须与第三方交涉并承担可能发生的责任与一切费用。如采购人因此而遭致损失的，成交供应商应赔偿该损失。</w:t>
      </w:r>
    </w:p>
    <w:p w14:paraId="698C969C">
      <w:pPr>
        <w:pStyle w:val="5"/>
        <w:rPr>
          <w:rFonts w:hint="eastAsia" w:ascii="宋体" w:hAnsi="宋体" w:cs="宋体"/>
          <w:color w:val="auto"/>
          <w:sz w:val="24"/>
          <w:szCs w:val="24"/>
          <w:highlight w:val="none"/>
        </w:rPr>
      </w:pPr>
      <w:r>
        <w:rPr>
          <w:rFonts w:hint="eastAsia" w:ascii="宋体" w:hAnsi="宋体" w:cs="宋体"/>
          <w:color w:val="auto"/>
          <w:sz w:val="24"/>
          <w:szCs w:val="24"/>
          <w:highlight w:val="none"/>
        </w:rPr>
        <w:t>10、履约风险及措施</w:t>
      </w:r>
    </w:p>
    <w:p w14:paraId="517AC300">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（1）供应商</w:t>
      </w:r>
      <w:r>
        <w:rPr>
          <w:rFonts w:ascii="宋体" w:hAnsi="宋体" w:cs="宋体"/>
          <w:color w:val="auto"/>
          <w:sz w:val="24"/>
          <w:highlight w:val="none"/>
        </w:rPr>
        <w:t>未能按照本合同约定交货的，则每逾期一天，按照合同总价的</w:t>
      </w:r>
      <w:r>
        <w:rPr>
          <w:rFonts w:hint="eastAsia" w:ascii="宋体" w:hAnsi="宋体" w:cs="宋体"/>
          <w:color w:val="auto"/>
          <w:sz w:val="24"/>
          <w:highlight w:val="none"/>
        </w:rPr>
        <w:t>5</w:t>
      </w:r>
      <w:r>
        <w:rPr>
          <w:rFonts w:ascii="宋体" w:hAnsi="宋体" w:cs="宋体"/>
          <w:color w:val="auto"/>
          <w:sz w:val="24"/>
          <w:highlight w:val="none"/>
        </w:rPr>
        <w:t>‰向</w:t>
      </w:r>
      <w:r>
        <w:rPr>
          <w:rFonts w:hint="eastAsia" w:ascii="宋体" w:hAnsi="宋体" w:cs="宋体"/>
          <w:color w:val="auto"/>
          <w:sz w:val="24"/>
          <w:highlight w:val="none"/>
        </w:rPr>
        <w:t>采购人</w:t>
      </w:r>
      <w:r>
        <w:rPr>
          <w:rFonts w:ascii="宋体" w:hAnsi="宋体" w:cs="宋体"/>
          <w:color w:val="auto"/>
          <w:sz w:val="24"/>
          <w:highlight w:val="none"/>
        </w:rPr>
        <w:t>支付违约金，最高延期赔偿金不超过本合同总价款的20%。</w:t>
      </w:r>
    </w:p>
    <w:p w14:paraId="6D97B927">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（2）供应商</w:t>
      </w:r>
      <w:r>
        <w:rPr>
          <w:rFonts w:ascii="宋体" w:hAnsi="宋体" w:cs="宋体"/>
          <w:color w:val="auto"/>
          <w:sz w:val="24"/>
          <w:highlight w:val="none"/>
        </w:rPr>
        <w:t>提供的服务或产品未达到本合同约定的技术、质量及其他任何要求，且经验收不合格的或</w:t>
      </w:r>
      <w:r>
        <w:rPr>
          <w:rFonts w:hint="eastAsia" w:ascii="宋体" w:hAnsi="宋体" w:cs="宋体"/>
          <w:color w:val="auto"/>
          <w:sz w:val="24"/>
          <w:highlight w:val="none"/>
        </w:rPr>
        <w:t>供应商</w:t>
      </w:r>
      <w:r>
        <w:rPr>
          <w:rFonts w:ascii="宋体" w:hAnsi="宋体" w:cs="宋体"/>
          <w:color w:val="auto"/>
          <w:sz w:val="24"/>
          <w:highlight w:val="none"/>
        </w:rPr>
        <w:t>明确告知</w:t>
      </w:r>
      <w:r>
        <w:rPr>
          <w:rFonts w:hint="eastAsia" w:ascii="宋体" w:hAnsi="宋体" w:cs="宋体"/>
          <w:color w:val="auto"/>
          <w:sz w:val="24"/>
          <w:highlight w:val="none"/>
        </w:rPr>
        <w:t>采购人</w:t>
      </w:r>
      <w:r>
        <w:rPr>
          <w:rFonts w:ascii="宋体" w:hAnsi="宋体" w:cs="宋体"/>
          <w:color w:val="auto"/>
          <w:sz w:val="24"/>
          <w:highlight w:val="none"/>
        </w:rPr>
        <w:t>无法交付合同约定产品或提供合同约定的服务的，</w:t>
      </w:r>
      <w:r>
        <w:rPr>
          <w:rFonts w:hint="eastAsia" w:ascii="宋体" w:hAnsi="宋体" w:cs="宋体"/>
          <w:color w:val="auto"/>
          <w:sz w:val="24"/>
          <w:highlight w:val="none"/>
        </w:rPr>
        <w:t>供应商</w:t>
      </w:r>
      <w:r>
        <w:rPr>
          <w:rFonts w:ascii="宋体" w:hAnsi="宋体" w:cs="宋体"/>
          <w:color w:val="auto"/>
          <w:sz w:val="24"/>
          <w:highlight w:val="none"/>
        </w:rPr>
        <w:t>应当承担违约责任，并应按本合同总金额的30%向</w:t>
      </w:r>
      <w:r>
        <w:rPr>
          <w:rFonts w:hint="eastAsia" w:ascii="宋体" w:hAnsi="宋体" w:cs="宋体"/>
          <w:color w:val="auto"/>
          <w:sz w:val="24"/>
          <w:highlight w:val="none"/>
        </w:rPr>
        <w:t>采购人</w:t>
      </w:r>
      <w:r>
        <w:rPr>
          <w:rFonts w:ascii="宋体" w:hAnsi="宋体" w:cs="宋体"/>
          <w:color w:val="auto"/>
          <w:sz w:val="24"/>
          <w:highlight w:val="none"/>
        </w:rPr>
        <w:t>支付违约金。</w:t>
      </w:r>
    </w:p>
    <w:p w14:paraId="70A70B6B">
      <w:pPr>
        <w:adjustRightInd w:val="0"/>
        <w:spacing w:line="360" w:lineRule="auto"/>
        <w:rPr>
          <w:rFonts w:hint="eastAsia" w:ascii="宋体" w:hAnsi="宋体" w:cs="宋体"/>
          <w:color w:val="auto"/>
          <w:sz w:val="24"/>
          <w:highlight w:val="none"/>
        </w:rPr>
      </w:pPr>
      <w:r>
        <w:rPr>
          <w:rFonts w:hint="eastAsia" w:ascii="宋体" w:hAnsi="宋体" w:cs="宋体"/>
          <w:color w:val="auto"/>
          <w:sz w:val="24"/>
          <w:highlight w:val="none"/>
        </w:rPr>
        <w:t>（3）供应商</w:t>
      </w:r>
      <w:r>
        <w:rPr>
          <w:rFonts w:ascii="宋体" w:hAnsi="宋体" w:cs="宋体"/>
          <w:color w:val="auto"/>
          <w:sz w:val="24"/>
          <w:highlight w:val="none"/>
        </w:rPr>
        <w:t>未能按照本合同约定按期交货的，则逾期超过 1 个月，或虽未逾期但经两次申请仍然未能通过验收合格的，</w:t>
      </w:r>
      <w:r>
        <w:rPr>
          <w:rFonts w:hint="eastAsia" w:ascii="宋体" w:hAnsi="宋体" w:cs="宋体"/>
          <w:color w:val="auto"/>
          <w:sz w:val="24"/>
          <w:highlight w:val="none"/>
        </w:rPr>
        <w:t>采购人</w:t>
      </w:r>
      <w:r>
        <w:rPr>
          <w:rFonts w:ascii="宋体" w:hAnsi="宋体" w:cs="宋体"/>
          <w:color w:val="auto"/>
          <w:sz w:val="24"/>
          <w:highlight w:val="none"/>
        </w:rPr>
        <w:t>可单方通知</w:t>
      </w:r>
      <w:r>
        <w:rPr>
          <w:rFonts w:hint="eastAsia" w:ascii="宋体" w:hAnsi="宋体" w:cs="宋体"/>
          <w:color w:val="auto"/>
          <w:sz w:val="24"/>
          <w:highlight w:val="none"/>
        </w:rPr>
        <w:t>供应商</w:t>
      </w:r>
      <w:r>
        <w:rPr>
          <w:rFonts w:ascii="宋体" w:hAnsi="宋体" w:cs="宋体"/>
          <w:color w:val="auto"/>
          <w:sz w:val="24"/>
          <w:highlight w:val="none"/>
        </w:rPr>
        <w:t>解除合同，解除合同通知送达</w:t>
      </w:r>
      <w:r>
        <w:rPr>
          <w:rFonts w:hint="eastAsia" w:ascii="宋体" w:hAnsi="宋体" w:cs="宋体"/>
          <w:color w:val="auto"/>
          <w:sz w:val="24"/>
          <w:highlight w:val="none"/>
        </w:rPr>
        <w:t>供应商</w:t>
      </w:r>
      <w:r>
        <w:rPr>
          <w:rFonts w:ascii="宋体" w:hAnsi="宋体" w:cs="宋体"/>
          <w:color w:val="auto"/>
          <w:sz w:val="24"/>
          <w:highlight w:val="none"/>
        </w:rPr>
        <w:t>当日合同立即终止。</w:t>
      </w:r>
      <w:r>
        <w:rPr>
          <w:rFonts w:hint="eastAsia" w:ascii="宋体" w:hAnsi="宋体" w:cs="宋体"/>
          <w:color w:val="auto"/>
          <w:sz w:val="24"/>
          <w:highlight w:val="none"/>
        </w:rPr>
        <w:t>采购人</w:t>
      </w:r>
      <w:r>
        <w:rPr>
          <w:rFonts w:ascii="宋体" w:hAnsi="宋体" w:cs="宋体"/>
          <w:color w:val="auto"/>
          <w:sz w:val="24"/>
          <w:highlight w:val="none"/>
        </w:rPr>
        <w:t>解除合同通知发送至</w:t>
      </w:r>
      <w:r>
        <w:rPr>
          <w:rFonts w:hint="eastAsia" w:ascii="宋体" w:hAnsi="宋体" w:cs="宋体"/>
          <w:color w:val="auto"/>
          <w:sz w:val="24"/>
          <w:highlight w:val="none"/>
        </w:rPr>
        <w:t>供应商</w:t>
      </w:r>
      <w:r>
        <w:rPr>
          <w:rFonts w:ascii="宋体" w:hAnsi="宋体" w:cs="宋体"/>
          <w:color w:val="auto"/>
          <w:sz w:val="24"/>
          <w:highlight w:val="none"/>
        </w:rPr>
        <w:t>指定电子邮箱系统即视为已送达。</w:t>
      </w:r>
    </w:p>
    <w:p w14:paraId="536E0A9F">
      <w:pPr>
        <w:pStyle w:val="5"/>
        <w:spacing w:line="360" w:lineRule="auto"/>
        <w:rPr>
          <w:color w:val="auto"/>
          <w:highlight w:val="none"/>
        </w:rPr>
      </w:pPr>
      <w:r>
        <w:rPr>
          <w:rFonts w:hint="eastAsia" w:ascii="宋体" w:hAnsi="宋体" w:cs="宋体"/>
          <w:b/>
          <w:bCs/>
          <w:color w:val="auto"/>
          <w:sz w:val="24"/>
          <w:szCs w:val="24"/>
          <w:highlight w:val="none"/>
        </w:rPr>
        <w:t>注：以上商务要求均须完全满足，否则视为无效响应。</w:t>
      </w:r>
    </w:p>
    <w:p w14:paraId="4A9D222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C7BF8E"/>
    <w:multiLevelType w:val="singleLevel"/>
    <w:tmpl w:val="E0C7BF8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7B3941"/>
    <w:rsid w:val="275C5DD5"/>
    <w:rsid w:val="318930A6"/>
    <w:rsid w:val="3C1F03B8"/>
    <w:rsid w:val="597B3941"/>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9"/>
    <w:pPr>
      <w:keepNext/>
      <w:keepLines/>
      <w:spacing w:before="260" w:after="260" w:line="416" w:lineRule="auto"/>
      <w:outlineLvl w:val="1"/>
    </w:pPr>
    <w:rPr>
      <w:rFonts w:ascii="Calibri Light" w:hAnsi="Calibri Light"/>
      <w:b/>
      <w:bCs/>
      <w:sz w:val="32"/>
      <w:szCs w:val="32"/>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2026-06-12T07:25:00Z</dcterms:created>
  <dc:creator>LENOVO</dc:creator>
  <cp:lastModifiedBy>LENOVO</cp:lastModifiedBy>
  <dcterms:modified xsi:type="dcterms:W3CDTF">2026-06-12T07:25:28Z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7F418427AF434A3F801C3D4BF741FDF7_11</vt:lpwstr>
  </property>
</Properties>
</file>