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/>
        <w:kinsoku w:val="0"/>
        <w:autoSpaceDE w:val="0"/>
        <w:autoSpaceDN w:val="0"/>
        <w:adjustRightInd w:val="0"/>
        <w:snapToGrid w:val="0"/>
        <w:spacing w:line="360" w:lineRule="auto"/>
        <w:textAlignment w:val="baseline"/>
        <w:outlineLvl w:val="2"/>
        <w:rPr>
          <w:rFonts w:hint="eastAsia" w:ascii="宋体" w:hAnsi="宋体" w:eastAsia="宋体" w:cs="宋体"/>
          <w:b/>
          <w:bCs/>
          <w:snapToGrid w:val="0"/>
          <w:color w:val="000000"/>
          <w:sz w:val="24"/>
          <w:szCs w:val="24"/>
          <w:lang w:val="en-US" w:eastAsia="en-US" w:bidi="ar-SA"/>
        </w:rPr>
      </w:pPr>
      <w:bookmarkStart w:id="0" w:name="_Toc10260"/>
      <w:r>
        <w:rPr>
          <w:rFonts w:hint="eastAsia" w:ascii="宋体" w:hAnsi="宋体" w:eastAsia="宋体" w:cs="宋体"/>
          <w:b/>
          <w:bCs/>
          <w:snapToGrid w:val="0"/>
          <w:color w:val="000000"/>
          <w:sz w:val="24"/>
          <w:szCs w:val="24"/>
          <w:lang w:val="en-US" w:eastAsia="en-US" w:bidi="ar-SA"/>
        </w:rPr>
        <w:t>（一）服务需求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b/>
          <w:bCs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/>
          <w:kern w:val="2"/>
          <w:sz w:val="24"/>
          <w:szCs w:val="24"/>
          <w:lang w:val="en-US" w:eastAsia="zh-CN"/>
        </w:rPr>
        <w:t>1、01包 家具化肥电子水泥建材等产品合格率统计调查样本</w:t>
      </w:r>
    </w:p>
    <w:tbl>
      <w:tblPr>
        <w:tblStyle w:val="6"/>
        <w:tblW w:w="14197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3"/>
        <w:gridCol w:w="1817"/>
        <w:gridCol w:w="1730"/>
        <w:gridCol w:w="8736"/>
        <w:gridCol w:w="84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/>
              </w:rPr>
              <w:t>行业小类代码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/>
              </w:rPr>
              <w:t>行业名称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/>
              </w:rPr>
              <w:t>检测项目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napToGrid/>
                <w:kern w:val="2"/>
                <w:sz w:val="24"/>
                <w:szCs w:val="24"/>
                <w:lang w:val="en-US" w:eastAsia="zh-CN"/>
              </w:rPr>
              <w:t>批次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1922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皮箱、包(袋)制造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拉杆耐疲劳性能、振荡冲击性能、跌落性能、硬箱箱体耐静压性能、塑料硬箱箱面耐落球冲击性能、滚筒冲击性能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2032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木门窗制造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含水率、表面理化性能（表面胶合强度、表面抗冲击性能、表面耐划痕性能、表面耐污染性能、浸渍剥离性能、漆膜附着力、漆膜硬度）、甲醛释放量、可溶性重金属含量（铅、镉、铬、汞）、苯系物（苯、甲苯、二甲苯）、总挥发性有机物（TVOC）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2033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木楼梯制造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含水率、耐磨性能、漆膜附着力、浸渍剥离、甲醛释放量、大小立柱水平静载荷、护栏水平载荷、整体承载要求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2034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木地板制造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含水率；密度；吸水厚度膨胀率；内结合强度；表面胶合强度；表面耐污染；甲醛释放量；表面耐磨；漆膜附着力；漆膜硬度；静曲强度；表面抗冲击性能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2039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软木制品及其他木制品制造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感官要求；总迁移量；甲醛；二氧化硫；五氯苯酚及其盐类(以五氯苯酚计)；噻菌灵；邻苯基苯酚；抑霉唑；联苯；大肠菌群；沙门氏菌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2041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竹制品制造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感官要求；总迁移量；甲醛；二氧化硫；噻菌灵；邻苯基苯酚；抑霉唑；联苯；大肠菌群；沙门氏菌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2110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木质家具制造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木工要求；木制件表面理化性能-漆膜（耐液性、附着力、耐磨性、抗冲击）；木制件表面理化性能-软、硬质覆面（耐冷热循环、耐磨性、抗冲击）；力学性能-桌类强度（水平静载荷试验、垂直静载荷试验）；力学性能-桌类稳定性；力学性能-椅凳类强度（座面和椅背静载荷试验、座面冲击试验、跌落试验）；力学性能-椅凳类稳定性；力学性能-柜架类强度（结构、底架和/或腿强度试验）；力学性能-柜架类稳定性；力学性能-单层床强度（床铺面垂直静载荷；床侧边垂直静载荷）；通用结构安全（基本结构安全、剪切和挤压点、孔及间隙）；有害物质限量[甲醛、苯、甲苯、二甲苯（邻、间、对二甲苯之和）、总挥发性有机化合物（TVOC）、可迁移有害元素]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2120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竹、藤家具制造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加工工艺；表面理化性能-漆膜（耐液性、附着力、耐磨性、抗冲击）；表面理化性能-软、硬质覆面（耐冷热循环、耐磨性、抗冲击）；力学性能-桌类强度（水平静载荷试验、垂直静载荷试验、）；力学性能-桌类稳定性；力学性能-椅凳类强度（座面和椅背静载荷试验、座面冲击试验、跌落试验）；力学性能-椅凳类稳定性；力学性能-柜架类强度（结构、底架和/或腿强度试验）；力学性能-柜架类稳定性；力学性能-单层床强度（床铺面垂直静载荷；床侧边垂直静载荷）；通用结构安全（基本结构安全、剪切和挤压点、孔及间隙）；有害物质限量[甲醛、苯、甲苯、二甲苯（邻、间、对二甲苯之和）、总挥发性有机化合物（TVOC）、可迁移有害元素]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6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2130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金属家具制造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结构安全；表面理化性能-金属喷漆（塑）涂层（硬度、冲击强度、耐盐浴、附着力）；表面理化性能-金属电镀层抗盐雾；力学性能-桌几类强度（水平静载荷试验、垂直静载荷试验、）；力学性能-桌几类稳定性；力学性能-椅凳类强度（座面和椅背静载荷试验、座面冲击试验、跌落试验）；力学性能-椅凳类稳定性；力学性能-柜架类强度（结构、底架和/或腿强度试验、）；力学性能-柜架类稳定性；力学性能-单层床强度（床铺面垂直静载荷试验、床侧边垂直静载荷试验、垂直冲击测试）；力学性能-单层床稳定性；力学性能-双层床强度（安全栏板的静载荷试验、床铺面冲击试验）；力学性能-双层床稳定性；有害物质限量[甲醛、苯、甲苯、二甲苯（邻、间、对二甲苯之和）、总挥发性有机化合物（TVOC）、可迁移有害元素]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2140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塑料家具制造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外观-其他外观；理化性能-塑料件（耐冷热循环、硬度）；理化性能-其他件（涂层硬度、涂层冲击强度、涂层附着力）；力学性能-柜、架类强度（结构和底架强度试验或结构、底架和/或腿强度试验、跌落试验）；力学性能-柜、架类稳定性；力学性能-桌、几类强度（水平静载荷试验、垂直静载荷试验、垂直冲击试验、跌落试验）；力学性能-桌、几类稳定性；力学性能-椅、凳类强度（座面和椅背静载荷试验、座面冲击试验、跌落试验）；力学性能-椅、凳类稳定性；力学性能-单层床强度（床铺面集中静载荷试验、床铺面冲击载荷试验）；有害物质限量[甲醛、苯、甲苯、二甲苯（邻、间、对二甲苯之和）、总挥发性有机化合物（TVOC）、可迁移元素、邻苯二甲酸酯、多环芳烃（苯并[a]芘）、多环芳烃（18种多环芳烃(PAH)总量]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2190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其他家具制造（床、柜、箱、架、沙发、桌、椅、凳、茶几、屏风以及成套或组合家具，办公桌椅、文件柜、书柜等）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弹簧软床垫：外观性能（复合面料、缝边、拉链）；安全性能[霉变、害虫及其污染物、废旧制品、纤维性工业下脚料或用其加工的再生纤维状物质、杂物、异味、甲醛释放量、苯释放量、甲苯释放量、二甲苯（邻、间、对二 甲苯之和）释放量、总挥发性有机化合物 (TVOC)释放量、阻燃性、弹簧]；理化性能-复合面料（面料）；理化性能-铺垫料[毡垫、软质泡沫塑料垫、乳胶（乳胶棉) 垫]；理化性能-弹簧芯；耐久性[垫面（睡眠区域中心）、边部]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软体床：标志一致性；木材含水率；外观要求-木工；木制件表面理化性能-漆膜（耐液性、耐湿热、耐干热、附着力、耐磨性、抗冲击）；木制件表面理化性能-软、硬质覆面（耐冷热循环、耐干热、耐湿热、表面耐磨性、抗冲击）；金属理化性能-金属喷漆（塑）涂层（硬度、冲击强度、耐腐蚀、附着力）；金属理化性能-金属电镀层抗盐雾；其他理化性能-皮革（摩擦色牢度、涂层粘着牢度、耐磨性、pH）；其他理化性能-纺织面料染色牢度；其他理化性能-软质泡沫聚合材料（回弹性能、压缩永久变形）；力学性能（床长边静载荷、床铺面集中静载荷、床铺面冲击载荷）；有害物质限量[甲醛释放量、总挥发性有机化合物（TVOC）]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2312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本册印制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内芯纸张D65亮度、内芯纸张定量、内芯纸张平滑度、内芯纸张D65荧光亮度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2412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笔的制造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中性笔、彩色笔类：笔套安全、边缘、尖端；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毛笔：外观、笔头外露长度、笔杆圆度允差、笔杆直线度允差、笔头性能、牢固性；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铅笔：芯尖受力、笔杆长度、笔杆涂层、笔杆结合牢度、杆内断芯、皮头拉力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2452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塑胶玩具制造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正常使用机械和物理性能：材料、小零件、小球、功能性锐利边缘、模塑玩具边缘、可触及的锐利尖端、功能性锐利尖端、突出物、用于包装或玩具中的塑料袋或塑料薄膜、刚性材料上的圆孔、活动部件间的间隙；可预见的合理滥用机械和物理性能：小零件、小球、功能性锐利边缘、模塑玩具边缘、可触及的锐利尖端、功能性锐利尖端、突出物、刚性材料上的圆孔、活动部件间的间隙；易燃性能：一般要求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2641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涂料制造（涂料、乳胶漆）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合成树脂乳液墙面涂料：在容器中状态、施工性、低温稳定性（3次循环）、低温成膜性、涂膜外观、干燥时间（表干）、对比率、耐碱性、耐水性、耐洗刷性；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合成树脂乳液砂壁状建筑涂料：容器中状态、施工性、干燥时间（表干）、初期干燥抗裂性、低温稳定性、吸水量、耐水性、耐碱性；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建筑外墙用腻子：容器中状态、施工性、干燥时间（表干）、初期干燥抗裂性、打磨性、吸水量、耐碱性、耐水性；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建筑室内用腻子：容器中状态、施工性、干燥时间（表干）、初期干燥抗裂性、打磨性、耐水性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2663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林产化学产品制造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全水分；灰分；挥发分；固定碳；发热量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2681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肥皂及洗涤剂制造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重金属(以Pb计)、总砷(以As计)、总活性物含量/总有效物含量、甲醇、甲醛、1,4-二噁烷、大肠菌群、菌落总数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2921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塑料薄膜制造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感官要求、总迁移量、高锰酸钾消耗量、重金属(以Pb计)、溶剂残留量总量、苯类溶剂残留量、芳香族伯胺迁移总量、水蒸气透过量、氧气透过量、拉断力/拉伸强度、断裂标称应变等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2922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塑料板、管、型材制造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建筑排水用硬聚氯乙烯(PVC-U)管材：密度、断裂伸长率、拉伸屈服应力、落锤冲击试验TIR；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给水用聚乙烯（PE）管材：平均外径、壁厚、静液压强度（20℃，100h）、氧化诱导时间、灰分；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冷热水用聚丙烯管材：氧化诱导时间、静液压强度（20℃，1h）、熔融温度、灰分；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聚乙烯双壁波纹管材：环刚度、环柔性、冲击性能（TIR）、氧化诱导时间（200℃）、最小内层壁厚；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聚乙烯缠绕结构壁管材：环刚度、环柔性、氧化诱导时间、灰分、最小插口壁厚、最小承口壁厚、密封件部位最小壁厚；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实壁类塑料电缆导管：环刚度（80℃）、密度、维卡软化温度、尺寸（壁厚允许偏差）；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非开挖用塑料电缆导管：尺寸（壁厚允许偏差）、环刚度、密度、维卡软化温度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2924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泡沫塑料制造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65%/25%压陷比、75%压缩永久变形、回弹率、拉伸强度、断裂伸长率、撕裂强度、灰分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2926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塑料包装箱及容器制造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感官要求、总迁移量、高锰酸钾消耗量、重金属(以Pb计)、脱色试验、芳香族伯胺迁移总量、瓶口密封性能、垂直载压、跌落性能、乙醛含量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3011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水泥制造（水泥）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通用硅酸盐水泥：不溶物、烧失量、三氧化硫、氧化镁、氯离子、水泥中水溶性铬(Ⅵ)、凝结时间、安定性、强度、细度、放射性核素限量；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砌筑水泥：三氧化硫、氯离子、水泥中水溶性铬（Ⅵ）、细度、凝结时间、沸煮法安定性、保水率、强度、放射性；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白色硅酸盐水泥：三氧化硫、氯离子、水泥中水溶性六价铬（Ⅵ）、凝结时间、沸煮法安定性、强度、放射性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3012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石灰和石膏制造（石膏）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抹灰石膏：细度、保水率、抗折强度、抗压强度、体积密度；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建筑石膏：细度、2h抗折强度、2h抗压强度放射性核素限量；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粘结石膏：外观、细度、绝干抗折强度、绝干抗压强度；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嵌缝石膏：细度、施工性、保水率、抗裂性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3021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水泥制品制造（商品混凝土）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坍落度、抗压强度、放射性核素限量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3024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轻质建筑材料制造（纸面石膏板、轻质建筑材料等）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纸面石膏板：断裂荷载（纵向）、断裂荷载（横向）、抗冲击性、放射性核素限量；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轻质建筑材料：外观质量、基板厚度、尺寸允许偏差、剥离性能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3031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粘土砖瓦及建筑砌块制造（砖、建筑砌砖）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蒸压加气混凝土砌块：抗压强度、干密度、抗冻性、放射性核素限量；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烧结多孔砖和多孔砌块：密度等级、强度等级、孔型孔结构及孔洞率、泛霜、石灰爆裂、抗风化性能、放射性核素限量；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烧结空心砖和空心砌块：强度等级、密度等级、孔洞排列及其结构、泛霜、石灰爆裂、抗风化性能、放射性核素限量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7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3032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建筑用石加工（建筑用石材加工品等）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天然花岗石建筑板材：体积密度、吸水率、压缩强度、弯曲强度、放射性；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天然大理石建筑板材：体积密度、吸水率、压缩强度、弯曲强度、放射性核素限量；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天然石灰石建筑板材：体积密度、吸水率、压缩强度、弯曲强度、放射性核素限量；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天然板石：吸水率、弯曲强度、破坏强度、放射性核素限量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3033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防水建筑材料制造（建筑防水材料）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预铺防水卷材：厚度、拉伸性能-拉力、拉伸性能-拉伸强度、拉伸性能-膜断裂伸长率、拉伸性能-最大拉力时伸长率、拉伸性能-拉伸时现象、抗冲击性能、抗静态荷载、耐热性、低温弯折性、低温柔性、渗油性、不透水性、热老化-拉力保持率、热老化-伸长率保持率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湿铺防水卷材：厚度、拉伸性能-拉力、拉伸性能-最大拉力时伸长率、拉伸性能-拉伸时现象、耐热性、低温柔性、不透水性、渗油性、尺寸变化率、热稳定性、热老化-拉力保持率、热老化-伸长率保持率；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弹性体改性沥青防水卷材：厚度、耐热性、低温柔性、不透水性、拉力、延伸率、浸水后质量增加、热老化-拉力保持率、热老化-延伸率保持率；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自粘聚合物改性沥青防水卷材：厚度、拉伸性能-拉力、拉伸性能-最大拉力时延伸率、拉伸性能-沥青断裂延伸率、拉伸性能-拉伸时现象、耐热性、不透水性、渗油性、热老化-拉力保持率、热老化-最大拉力时延伸率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聚氯乙烯(PVC)防水卷材：尺寸偏差-厚度、拉伸性能-最大拉力、拉伸性能-拉伸强度、拉伸性能-最大拉力时伸长率、拉伸性能-断裂伸长率、低温弯折性、不透水性、抗冲击性能、抗静态荷载、热老化-最大拉力保持率、热老化-拉伸强度保持率、热老化-最大拉力时伸长率保持率、热老化-断裂伸长率保持率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高分子防水卷材-片材：拉伸强度（常温）、拉断伸长率（常温）、不透水性、低温弯折、热空气老化-拉伸强度保持率、热空气老化-拉断伸长率保持率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1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3034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隔热和隔音材料制造（建筑保温材料）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建筑保温砂浆：外观质量、堆积密度、放射性、干密度、抗压强度；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无机轻集料保温砂浆：干密度、抗压强度、放射性；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建筑用岩棉绝热制品：外观、尺寸允许偏差、导热系数、质量吸湿率、压缩强度、放射性核素；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组合冷库用隔热夹芯板：密度、尺寸稳定性、抗压强度；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绝热用挤塑聚苯乙烯泡沫塑料(XPS)：厚度偏差、压缩强度、尺寸稳定性、导热系数；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绝热用模塑聚苯乙烯泡沫塑料(EPS)：厚度偏差、压缩强度、尺寸稳定性、导热系数；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复合保温砖和复合保温砌块：外观质量、尺寸允许偏差、表观密度、抗压强度；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水泥基泡沫保温板：外观质量、表观密度、抗压强度、体积吸水率、放射性；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热固复合聚苯乙烯泡沫保温板：厚度偏差、密度、压缩强度、尺寸稳定性、抗压强度、抗折强度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3042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特种玻璃制造（中空玻璃、钢化玻璃）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钢化玻璃和均质钢化玻璃：抗冲击性、碎片状态、耐热冲击性能；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中空玻璃：厚度偏差、露点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31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3055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玻璃包装容器制造（玻璃啤酒瓶、玻璃白酒容器）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啤酒瓶：耐内压力、抗冲击、抗热震性、内应力、外观；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白酒瓶：耐内压力、抗热震性、内应力、抗冲击性、容量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32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3071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建筑陶瓷制品制造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吸水率、破坏强度、断裂模数、耐磨性、有釉砖抗釉裂性、耐污染性、抗化学腐蚀性、放射性核素限量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33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3072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卫生陶瓷制品制造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厚度、吸水率、抗裂性、耐荷重性、放射性核素限量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34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3074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日用陶瓷制品制造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吸水率、抗热震性/热稳定性、微波炉适应性、铅溶出量/铅迁移量/铅（Pb）、镉溶出量/镉迁移量/镉（Cd）等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35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3099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其他非金属矿物制品制造(固结磨具、机制砂)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固结磨具：孔径、硬度、回转强度、标志；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机制砂：颗粒级配、含泥量、泥块含量、云母含量、表观密度、松散堆积密度、放射性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36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3472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幻灯及投影设备制造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电气间隙、爬电距离、抗电强度试验、光输出、照度均匀性或光输出均匀性、对比度、被动待机功率、能源效率或投影光效、交流电源端口的传导发射、不对称模式传导发射、1GHz以下辐射发射、1GHz以上辐射发射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37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3587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眼镜制造（成品眼镜）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配装眼镜：球镜顶焦度偏差（主子午面一）、球镜顶焦度偏差（主子午面二）、柱镜顶焦度偏差、镜片材料和表面质量、可见光透射比τV(380nm～780nm)、 紫外平均透射比τSUVB(280nm～315nm)、镜架外观质量、中心点水平距离偏差、中心点单侧水平距离偏差、中心点垂直互差、装配质量、标志；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老视成镜：球镜顶焦度偏差（主子午面一）、球镜顶焦度偏差（主子午面二）、镜片材料和表面质量、可见光透射比τV(380nm～780nm)、 紫外平均透射比τSUVB(280nm～315nm)、镜架外观质量、光学中心水平偏差、光学中心单侧水平偏差、光学中心垂直互差、两镜片顶焦度互差、装配质量、标志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38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3823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配电开关控制设备制造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GB/T 7251.1-2023、GB/T 7251.2-2023：电气间隙和爬电距离、介电性能、布线、操作性能和功能、内部电路和连接、内装元件的组合、外接导线端子、电击防护和保护电路完整性、机械操作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39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3843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铅蓄电池制造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GB/T 22199.1-2017：2hr容量、大电流放电特性、快速充电能力、耐振动能力、恒功率放电能力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T/ZJXDC 001-2021：2hr容量、3hr容量、大电流放电特性、快速充电能力、耐振动能力</w:t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GB/T 5008.1-2023、GB/T 5008.2-2023：端子尺寸和极性、容量(储备容量)、低温起动能力（-18℃）、充电接受能力、电解液保持能力、耐振动性能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40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3852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家用空气调节器制造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GB 4706.1-2005、GB 4706.32-2012、GB/T 4706.1-2024、GB 4706.32-2024：标志和说明、对触及带电部件的防护、输入功率和电流、工作温度下的泄漏电流和电气强度、稳定性和机械危险、机械强度、结构（不包括第22.46条试验）、电源连接和外部软线、接地措施、螺钉和连接、电气间隙、爬电距离和固体绝缘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41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3853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家用通风电器具制造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GB 4706.1-2005、GB 4706.27-2008、GB/T 4706.1-2024、GB/T 4706.27-2024：对触及带电部件的防护、输入功率和电流、发热、工作温度下的泄漏电流和、电气强度、稳定性和机械危险、耐潮湿、机械强度、内部布线、电源连接和外部软线、接地措施、电气间隙、爬电距离和固体绝缘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42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3854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家用厨房电器具制造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GB 4706.1-2005、GB 4706.19-2008、GB/T 4706.1-2024、GB/T 4706.19-2024：对触及带电部件的防护、输入功率和电流、发热、工作温度下的泄漏电流和、电气强度、稳定性和机械危险、耐潮湿、机械强度、内部布线、电源连接和外部软线、接地措施、电气间隙、爬电距离和固体绝缘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43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3859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其他家用电力器具制造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GB 4706.1-2005、GB 4706.23-2007、GB/T 4706.1-2024、GB/T 4706.23-2024：对触及带电部件的防护、输入功率和电流、发热、工作温度下的泄漏电流和、电气强度、稳定性和机械危险、耐潮湿、机械强度、内部布线、电源连接和外部软线、接地措施、电气间隙、爬电距离和固体绝缘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44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3871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电光源制造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骚扰电压(电源接口)、谐波电流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45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3872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照明灯具制造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视网膜蓝光危害、骚扰电压(电源接口)辐射骚扰（30MHz～1GHz）、谐波电流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46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3874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智能照明器具制造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视网膜蓝光危害、骚扰电压(电源接口)辐射骚扰（30MHz～1GHz）、谐波电流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47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3911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计算机整机制造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电气间隙、爬电距离、抗电强度试验、保护连接系统的电阻、预期的接触电压、接触电流和保护导体电流、交流电源端口的传导发射、不对称模式传导发射、1GHz以下辐射发射、1GHz以上辐射发射、谐波电流、噪声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48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3961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可穿戴智能设备制造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VR眼镜：电气间隙、爬电距离、交流电源端口的传导发射、1GHz以下辐射发射、外观和结构、电源适应能力、视场角、瞳距范围、出瞳距离和出瞳直径、畸变、亮度对比度、虚像距离。智能手环：电气间隙、爬电距离、抗电强度试验、辐射连续骚扰(30MMHz~1GHz)、静电放电抗扰度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49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3974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显示器件制造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亮度、能源效率、睡眠状态功率、关闭状态功率、交流电源端口的传导发射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3979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其他电子器件制造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电气间隙、爬电距离、抗电强度试验、交流电源端口的传导发射 、1GHz以下辐射发射、平均效率能效限定值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51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2239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其他纸制品制造（复印纸）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厚度、挺度、平滑度、不透明度、D65亮度、尘埃度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52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2622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磷肥制造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总养分（N+P2O5）、总氮、有效磷、水溶性磷占有效磷百分率、水分、总镉、总汞、总砷、总铅、总铬、总铊（GB/T 10205-2009）；有效磷、水溶性磷、总镉、总汞、总砷、总铅、总铬、总铊（GB/T 20413-2017）;有效五氧化二磷、有效钙、有效镁、可溶性硅、总镉、总汞、总砷、总铅、总铬、总铊（GB/T 20412-2021）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53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2624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复混肥料制造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总养分（N+P2O5+K2O）、总氮、有效五氧化二磷、氧化钾、总镉、总汞、总砷、总铅、总铬、总铊、氯离子（GB/T 15063-2020、GB/T 21633-2020、GB/T 18877-2020）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54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2625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有机肥料及微生物肥料制造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总养分(N+P2O5+K2O)、有机质、总砷、总汞、总铅、总铬、总镉、有效活菌数（适用时）（NY/T 525-2021、NY/T 798-2015、NY 884-2012）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55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2682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化妆品制造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菌落总数、霉菌和酵母菌总数、耐热大肠菌群、金黄色葡萄球菌、铜绿假单胞菌、铅、砷、镉、汞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56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2683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口腔清洁用品制造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菌落总数、霉菌和酵母菌总数、耐热大肠菌群、金黄色葡萄球菌、铜绿假单胞菌、pH、铅、砷（GB/T 8372-2017、QB/T 2945-2012）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57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2511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原油加工及石油制品制造（润滑油）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运动黏度、倾点、水分、机械杂质、闪点（开口）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58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2661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化学试剂和助剂制造（车用尿素水溶液）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尿素含量、密度、折光率、杂质含量（碱度、缩二脲、醛类、不溶物、磷酸盐、钙、铁、铜、锌、铬、镍、铝、铁、钠、钾）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59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2221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机制纸及纸板制造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白卡纸：亮度（白度）、平滑度、吸水性、耐破指数、交货水分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瓦楞纸板：边压强度、耐破强度、粘合强度、交货水分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60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3829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其他输配电及控制设备制造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（充电桩）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GB/T 18487.1—2015：接触电流、绝缘电阻、介电强度、冲击耐压、非正常条件下充电结束或停止、电动汽车供电设备供电电压消失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GB/T 18487.1—2023：接触电流、绝缘电阻、介电强度、冲击耐压、非正常条件下充电结束停机、供电网断电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GB 39752—2024/GB 44263-2024：接触电流试验、绝缘电阻试验、工频耐压试验、冲击电压试验、设备侧CP回路异常保护、供电网断电保护、输出过流保护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61</w:t>
            </w:r>
          </w:p>
        </w:tc>
        <w:tc>
          <w:tcPr>
            <w:tcW w:w="181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3054</w:t>
            </w:r>
          </w:p>
        </w:tc>
        <w:tc>
          <w:tcPr>
            <w:tcW w:w="17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日用玻璃制品制造</w:t>
            </w:r>
          </w:p>
        </w:tc>
        <w:tc>
          <w:tcPr>
            <w:tcW w:w="8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both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铅（Pb）、镉（Cd）、感官要求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9" w:hRule="atLeast"/>
        </w:trPr>
        <w:tc>
          <w:tcPr>
            <w:tcW w:w="1335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合计</w:t>
            </w:r>
          </w:p>
        </w:tc>
        <w:tc>
          <w:tcPr>
            <w:tcW w:w="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50" w:lineRule="exact"/>
              <w:jc w:val="center"/>
              <w:textAlignment w:val="auto"/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/>
                <w:kern w:val="2"/>
                <w:sz w:val="24"/>
                <w:szCs w:val="24"/>
                <w:lang w:val="en-US" w:eastAsia="zh-CN"/>
              </w:rPr>
              <w:t>408</w:t>
            </w:r>
          </w:p>
        </w:tc>
      </w:tr>
    </w:tbl>
    <w:p>
      <w:pPr>
        <w:keepNext w:val="0"/>
        <w:keepLines w:val="0"/>
        <w:pageBreakBefore w:val="0"/>
        <w:widowControl w:val="0"/>
        <w:tabs>
          <w:tab w:val="left" w:pos="121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snapToGrid/>
          <w:kern w:val="2"/>
          <w:sz w:val="24"/>
          <w:szCs w:val="24"/>
          <w:highlight w:val="none"/>
          <w:lang w:val="en-US" w:eastAsia="zh-CN"/>
        </w:rPr>
        <w:sectPr>
          <w:pgSz w:w="16839" w:h="11906" w:orient="landscape"/>
          <w:pgMar w:top="1786" w:right="1429" w:bottom="1786" w:left="1429" w:header="850" w:footer="850" w:gutter="0"/>
          <w:cols w:space="720" w:num="1"/>
          <w:docGrid w:linePitch="286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2" w:firstLineChars="200"/>
        <w:jc w:val="left"/>
        <w:textAlignment w:val="auto"/>
        <w:rPr>
          <w:rFonts w:hint="eastAsia" w:ascii="宋体" w:hAnsi="宋体" w:eastAsia="宋体" w:cs="宋体"/>
          <w:b/>
          <w:bCs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/>
          <w:kern w:val="2"/>
          <w:sz w:val="24"/>
          <w:szCs w:val="24"/>
          <w:lang w:val="en-US" w:eastAsia="zh-CN"/>
        </w:rPr>
        <w:t>2、服务要求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(1)投标人及其人员应当遵守国家相关法律法规的规定，遵循客观独立、公平公正、诚实信用原则，恪守职业道德，承担社会责任。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(2)投标人及其人员应当独立于其出具的检验检测数据、结果所涉及的利益相关各方，不受任何可能干扰其技术判断因素的影响，确保检验检测数据、结果的真实、客观、准确。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(3)投标人应当定期审查和完善管理体系，保证其基本条件和技术能力能够持续符合资质认定条件和要求，并确保管理体系有效运行。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(4)投标人应当在资质认定证书规定的检验检测能力范围内，依据相关标准或者技术规范规定的程序和要求，出具检验检测数据、结果。检验检测机构出具检验检测数据、结果时，应当注明检验检测依据，并使用符合资质认定基本规范、评审准则规定的用语进行表述。检验检测机构对其出具的检验检测数据、结果负责，并承担相应法律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(5)投标人拟派从事检验检测活动的人员，不得同时在两个以上检验检测机构从业。投标人授权签字人应当符合资质认定评审准则规定的能力要求。非授权签字人不得签发检验检测报告。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(6)投标人不得转让、出租、出借资质认定证书和标志；不得伪造、变造、冒用、租借资质认定证书和标志；不得使用已失效、撤销、注销的资质认定证书和标志。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(7)投标人应当在其检验检测报告上加盖检验检测专用章，并标注资质认定标志。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(8)投标人应当按照相关标准、技术规范以及资质认定评审准则规定的要求，对其检验检测的样品进行管理。投标人接受委托送检的，其检验检测数据、结果仅证明样品所检验检测项目的符合性情况。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exact"/>
        <w:ind w:firstLine="480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(9)投标人应当对检验检测原始记录和报告归档留存，保证其具有可追溯性。原始记录和报告的保存期限不少于6年。</w:t>
      </w:r>
    </w:p>
    <w:p>
      <w:r>
        <w:rPr>
          <w:rFonts w:hint="eastAsia" w:ascii="宋体" w:hAnsi="宋体" w:eastAsia="宋体" w:cs="宋体"/>
          <w:b w:val="0"/>
          <w:bCs w:val="0"/>
          <w:snapToGrid/>
          <w:kern w:val="2"/>
          <w:sz w:val="24"/>
          <w:szCs w:val="24"/>
          <w:lang w:val="en-US" w:eastAsia="zh-CN"/>
        </w:rPr>
        <w:t>(10)投标人及其人员应当对其在检验检测活动中所知悉的国家秘密、商业秘密和技术秘密负有保密义务，并制定实施相应的保密措施。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31C2504"/>
    <w:rsid w:val="03D40FF1"/>
    <w:rsid w:val="07387635"/>
    <w:rsid w:val="0EBE0350"/>
    <w:rsid w:val="0FA92CB1"/>
    <w:rsid w:val="106D388A"/>
    <w:rsid w:val="166B06EE"/>
    <w:rsid w:val="19274F8F"/>
    <w:rsid w:val="1CB15CFE"/>
    <w:rsid w:val="1E8D1A66"/>
    <w:rsid w:val="20292558"/>
    <w:rsid w:val="216B1E09"/>
    <w:rsid w:val="2A6B57D8"/>
    <w:rsid w:val="3013643D"/>
    <w:rsid w:val="40EF74B1"/>
    <w:rsid w:val="53801F5A"/>
    <w:rsid w:val="55D21E2F"/>
    <w:rsid w:val="6484349E"/>
    <w:rsid w:val="6AD80ED4"/>
    <w:rsid w:val="7939430F"/>
    <w:rsid w:val="7D0B0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3">
    <w:name w:val="heading 1"/>
    <w:basedOn w:val="1"/>
    <w:next w:val="1"/>
    <w:link w:val="7"/>
    <w:qFormat/>
    <w:uiPriority w:val="0"/>
    <w:pPr>
      <w:keepNext/>
      <w:spacing w:before="50" w:beforeLines="50" w:after="50" w:afterLines="50" w:line="360" w:lineRule="auto"/>
      <w:jc w:val="center"/>
      <w:outlineLvl w:val="0"/>
    </w:pPr>
    <w:rPr>
      <w:rFonts w:ascii="宋体" w:hAnsi="宋体" w:eastAsia="宋体" w:cs="Times New Roman"/>
      <w:b/>
      <w:bCs/>
      <w:sz w:val="32"/>
    </w:rPr>
  </w:style>
  <w:style w:type="paragraph" w:styleId="2">
    <w:name w:val="heading 2"/>
    <w:basedOn w:val="1"/>
    <w:next w:val="1"/>
    <w:link w:val="9"/>
    <w:semiHidden/>
    <w:unhideWhenUsed/>
    <w:qFormat/>
    <w:uiPriority w:val="0"/>
    <w:pPr>
      <w:keepNext/>
      <w:keepLines/>
      <w:spacing w:after="120" w:line="460" w:lineRule="exact"/>
      <w:jc w:val="center"/>
      <w:outlineLvl w:val="1"/>
    </w:pPr>
    <w:rPr>
      <w:rFonts w:ascii="宋体" w:hAnsi="宋体" w:eastAsia="宋体" w:cs="Times New Roman"/>
      <w:b/>
      <w:bCs/>
      <w:color w:val="0D0D0D"/>
      <w:sz w:val="30"/>
      <w:szCs w:val="24"/>
    </w:rPr>
  </w:style>
  <w:style w:type="paragraph" w:styleId="4">
    <w:name w:val="heading 3"/>
    <w:basedOn w:val="1"/>
    <w:next w:val="1"/>
    <w:link w:val="10"/>
    <w:semiHidden/>
    <w:unhideWhenUsed/>
    <w:qFormat/>
    <w:uiPriority w:val="0"/>
    <w:pPr>
      <w:keepNext/>
      <w:keepLines/>
      <w:spacing w:before="50" w:beforeLines="50" w:after="50" w:afterLines="50" w:line="500" w:lineRule="exact"/>
      <w:outlineLvl w:val="2"/>
    </w:pPr>
    <w:rPr>
      <w:rFonts w:ascii="宋体" w:hAnsi="宋体" w:eastAsia="宋体" w:cs="Times New Roman"/>
      <w:b/>
      <w:bCs/>
      <w:kern w:val="2"/>
      <w:sz w:val="28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标题 1 字符"/>
    <w:link w:val="3"/>
    <w:qFormat/>
    <w:uiPriority w:val="0"/>
    <w:rPr>
      <w:rFonts w:ascii="宋体" w:hAnsi="宋体" w:eastAsia="宋体" w:cs="Times New Roman"/>
      <w:b/>
      <w:bCs/>
      <w:kern w:val="2"/>
      <w:sz w:val="32"/>
      <w:lang w:val="en-US" w:eastAsia="zh-CN" w:bidi="ar-SA"/>
    </w:rPr>
  </w:style>
  <w:style w:type="character" w:customStyle="1" w:styleId="8">
    <w:name w:val="标题 2 Char Char Char"/>
    <w:qFormat/>
    <w:uiPriority w:val="0"/>
    <w:rPr>
      <w:rFonts w:ascii="Arial" w:hAnsi="Arial" w:eastAsia="宋体"/>
      <w:b/>
      <w:bCs/>
      <w:kern w:val="2"/>
      <w:sz w:val="32"/>
      <w:szCs w:val="32"/>
      <w:lang w:val="en-US" w:eastAsia="zh-CN" w:bidi="ar-SA"/>
    </w:rPr>
  </w:style>
  <w:style w:type="character" w:customStyle="1" w:styleId="9">
    <w:name w:val="标题 2 Char"/>
    <w:link w:val="2"/>
    <w:qFormat/>
    <w:uiPriority w:val="0"/>
    <w:rPr>
      <w:rFonts w:ascii="宋体" w:hAnsi="宋体" w:eastAsia="宋体" w:cs="Times New Roman"/>
      <w:b/>
      <w:bCs/>
      <w:sz w:val="32"/>
      <w:szCs w:val="28"/>
      <w:lang w:val="zh-CN" w:bidi="zh-CN"/>
    </w:rPr>
  </w:style>
  <w:style w:type="character" w:customStyle="1" w:styleId="10">
    <w:name w:val="标题 3 字符"/>
    <w:link w:val="4"/>
    <w:qFormat/>
    <w:uiPriority w:val="9"/>
    <w:rPr>
      <w:rFonts w:ascii="宋体" w:hAnsi="宋体" w:eastAsia="宋体"/>
      <w:b/>
      <w:bCs/>
      <w:kern w:val="2"/>
      <w:sz w:val="2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2025-09-17T01:55:00Z</dcterms:created>
  <dc:creator>诚信伟业3015</dc:creator>
  <cp:lastModifiedBy>诚信伟业3015</cp:lastModifiedBy>
  <dcterms:modified xsi:type="dcterms:W3CDTF">2026-06-12T07:00:00Z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