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outlineLvl w:val="2"/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</w:pPr>
      <w:bookmarkStart w:id="0" w:name="_Toc220924448"/>
      <w:r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  <w:t>（一）服务需求</w:t>
      </w:r>
      <w:bookmarkEnd w:id="0"/>
    </w:p>
    <w:p>
      <w:pPr>
        <w:widowControl/>
        <w:kinsoku/>
        <w:autoSpaceDE/>
        <w:autoSpaceDN/>
        <w:adjustRightInd/>
        <w:snapToGrid/>
        <w:spacing w:line="360" w:lineRule="auto"/>
        <w:ind w:firstLine="0"/>
        <w:jc w:val="left"/>
        <w:textAlignment w:val="auto"/>
        <w:rPr>
          <w:rFonts w:hint="eastAsia" w:ascii="仿宋_GB2312" w:hAnsi="仿宋_GB2312" w:eastAsia="仿宋_GB2312" w:cs="仿宋_GB2312"/>
          <w:b/>
          <w:bCs/>
          <w:snapToGrid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napToGrid/>
          <w:kern w:val="2"/>
          <w:sz w:val="24"/>
          <w:szCs w:val="24"/>
          <w:lang w:val="en-US" w:eastAsia="zh-CN" w:bidi="ar-SA"/>
        </w:rPr>
        <w:t>03包 铜产品合格率统计调查样本</w:t>
      </w:r>
    </w:p>
    <w:tbl>
      <w:tblPr>
        <w:tblStyle w:val="6"/>
        <w:tblW w:w="13904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"/>
        <w:gridCol w:w="1369"/>
        <w:gridCol w:w="3019"/>
        <w:gridCol w:w="7631"/>
        <w:gridCol w:w="9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  <w:t>行业小类代码</w:t>
            </w:r>
          </w:p>
        </w:tc>
        <w:tc>
          <w:tcPr>
            <w:tcW w:w="3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  <w:t>行业名称</w:t>
            </w:r>
          </w:p>
        </w:tc>
        <w:tc>
          <w:tcPr>
            <w:tcW w:w="7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  <w:t>检测项目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 w:bidi="ar-SA"/>
              </w:rPr>
              <w:t>批次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3251</w:t>
            </w:r>
          </w:p>
        </w:tc>
        <w:tc>
          <w:tcPr>
            <w:tcW w:w="3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铜产品</w:t>
            </w:r>
          </w:p>
        </w:tc>
        <w:tc>
          <w:tcPr>
            <w:tcW w:w="7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化学成分、力学性能、电学性能、硬度、金相试验、外观尺寸、镀层等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3831</w:t>
            </w:r>
          </w:p>
        </w:tc>
        <w:tc>
          <w:tcPr>
            <w:tcW w:w="3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电线、电缆制造</w:t>
            </w:r>
          </w:p>
        </w:tc>
        <w:tc>
          <w:tcPr>
            <w:tcW w:w="7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绝缘厚度，护套厚度，导体电阻，绝缘老化前拉力试验，绝缘空气烘箱老化后拉力试验，绝缘空气弹老化后拉力试验，绝缘热延伸试验，护套老化前拉力试验，护套空气烘箱老化后拉力试验，护套热延伸试验等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360" w:lineRule="auto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kern w:val="2"/>
                <w:sz w:val="24"/>
                <w:szCs w:val="24"/>
                <w:lang w:val="en-US" w:eastAsia="zh-CN" w:bidi="ar-SA"/>
              </w:rPr>
              <w:t>45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292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 w:bidi="ar-SA"/>
              </w:rPr>
              <w:t>合         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kinsoku/>
              <w:autoSpaceDE/>
              <w:autoSpaceDN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 w:bidi="ar-SA"/>
              </w:rPr>
              <w:t>55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snapToGrid/>
          <w:kern w:val="2"/>
          <w:sz w:val="24"/>
          <w:szCs w:val="24"/>
          <w:highlight w:val="none"/>
          <w:lang w:val="en-US" w:eastAsia="zh-CN"/>
        </w:rPr>
      </w:pPr>
    </w:p>
    <w:p>
      <w:pPr>
        <w:rPr>
          <w:rFonts w:hint="eastAsia"/>
          <w:lang w:val="en-US" w:eastAsia="zh-CN"/>
        </w:rPr>
        <w:sectPr>
          <w:pgSz w:w="16839" w:h="11906" w:orient="landscape"/>
          <w:pgMar w:top="1786" w:right="1429" w:bottom="1786" w:left="1429" w:header="850" w:footer="850" w:gutter="0"/>
          <w:cols w:space="720" w:num="1"/>
          <w:docGrid w:linePitch="286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  <w:t>2、服务要求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(1)投标人及其人员应当遵守国家相关法律法规的规定，遵循客观独立、公平公正、诚实信用原则，恪守职业道德，承担社会责任。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(2)投标人及其人员应当独立于其出具的检验检测数据、结果所涉及的利益相关各方，不受任何可能干扰其技术判断因素的影响，确保检验检测数据、结果的真实、客观、准确。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(3)投标人应当定期审查和完善管理体系，保证其基本条件和技术能力能够持续符合资质认定条件和要求，并确保管理体系有效运行。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(4)投标人应当在资质认定证书规定的检验检测能力范围内，依据相关标准或者技术规范规定的程序和要求，出具检验检测数据、结果。检验检测机构出具检验检测数据、结果时，应当注明检验检测依据，并使用符合资质认定基本规范、评审准则规定的用语进行表述。检验检测机构对其出具的检验检测数据、结果负责，并承担相应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(5)投标人拟派从事检验检测活动的人员，不得同时在两个以上检验检测机构从业。投标人授权签字人应当符合资质认定评审准则规定的能力要求。非授权签字人不得签发检验检测报告。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(6)投标人不得转让、出租、出借资质认定证书和标志；不得伪造、变造、冒用、租借资质认定证书和标志；不得使用已失效、撤销、注销的资质认定证书和标志。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(7)投标人应当在其检验检测报告上加盖检验检测专用章，并标注资质认定标志。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(8)投标人应当按照相关标准、技术规范以及资质认定评审准则规定的要求，对其检验检测的样品进行管理。投标人接受委托送检的，其检验检测数据、结果仅证明样品所检验检测项目的符合性情况。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(9)投标人应当对检验检测原始记录和报告归档留存，保证其具有可追溯性。原始记录和报告的保存期限不少于6年。</w:t>
      </w:r>
    </w:p>
    <w:p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(10)投标人及其人员应当对其在检验检测活动中所知悉的国家秘密、商业秘密和技术秘密负有保密义务，并制定实施相应的保密措施。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31C2504"/>
    <w:rsid w:val="03D40FF1"/>
    <w:rsid w:val="07387635"/>
    <w:rsid w:val="0C9F1CA8"/>
    <w:rsid w:val="0EBE0350"/>
    <w:rsid w:val="0FA92CB1"/>
    <w:rsid w:val="106D388A"/>
    <w:rsid w:val="166B06EE"/>
    <w:rsid w:val="19274F8F"/>
    <w:rsid w:val="1CB15CFE"/>
    <w:rsid w:val="1E8D1A66"/>
    <w:rsid w:val="20292558"/>
    <w:rsid w:val="216B1E09"/>
    <w:rsid w:val="2A6B57D8"/>
    <w:rsid w:val="3013643D"/>
    <w:rsid w:val="53801F5A"/>
    <w:rsid w:val="55D21E2F"/>
    <w:rsid w:val="6484349E"/>
    <w:rsid w:val="6AD80ED4"/>
    <w:rsid w:val="7939430F"/>
    <w:rsid w:val="7D0B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link w:val="7"/>
    <w:qFormat/>
    <w:uiPriority w:val="0"/>
    <w:pPr>
      <w:keepNext/>
      <w:spacing w:before="50" w:beforeLines="50" w:after="50" w:afterLines="50" w:line="360" w:lineRule="auto"/>
      <w:jc w:val="center"/>
      <w:outlineLvl w:val="0"/>
    </w:pPr>
    <w:rPr>
      <w:rFonts w:ascii="宋体" w:hAnsi="宋体" w:eastAsia="宋体" w:cs="Times New Roman"/>
      <w:b/>
      <w:bCs/>
      <w:sz w:val="32"/>
    </w:rPr>
  </w:style>
  <w:style w:type="paragraph" w:styleId="2">
    <w:name w:val="heading 2"/>
    <w:basedOn w:val="1"/>
    <w:next w:val="1"/>
    <w:link w:val="9"/>
    <w:semiHidden/>
    <w:unhideWhenUsed/>
    <w:qFormat/>
    <w:uiPriority w:val="0"/>
    <w:pPr>
      <w:keepNext/>
      <w:keepLines/>
      <w:spacing w:after="120" w:line="460" w:lineRule="exact"/>
      <w:jc w:val="center"/>
      <w:outlineLvl w:val="1"/>
    </w:pPr>
    <w:rPr>
      <w:rFonts w:ascii="宋体" w:hAnsi="宋体" w:eastAsia="宋体" w:cs="Times New Roman"/>
      <w:b/>
      <w:bCs/>
      <w:color w:val="0D0D0D"/>
      <w:sz w:val="30"/>
      <w:szCs w:val="24"/>
    </w:rPr>
  </w:style>
  <w:style w:type="paragraph" w:styleId="4">
    <w:name w:val="heading 3"/>
    <w:basedOn w:val="1"/>
    <w:next w:val="1"/>
    <w:link w:val="10"/>
    <w:semiHidden/>
    <w:unhideWhenUsed/>
    <w:qFormat/>
    <w:uiPriority w:val="0"/>
    <w:pPr>
      <w:keepNext/>
      <w:keepLines/>
      <w:spacing w:before="50" w:beforeLines="50" w:after="50" w:afterLines="50" w:line="500" w:lineRule="exact"/>
      <w:outlineLvl w:val="2"/>
    </w:pPr>
    <w:rPr>
      <w:rFonts w:ascii="宋体" w:hAnsi="宋体" w:eastAsia="宋体" w:cs="Times New Roman"/>
      <w:b/>
      <w:bCs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1 字符"/>
    <w:link w:val="3"/>
    <w:qFormat/>
    <w:uiPriority w:val="0"/>
    <w:rPr>
      <w:rFonts w:ascii="宋体" w:hAnsi="宋体" w:eastAsia="宋体" w:cs="Times New Roman"/>
      <w:b/>
      <w:bCs/>
      <w:kern w:val="2"/>
      <w:sz w:val="32"/>
      <w:lang w:val="en-US" w:eastAsia="zh-CN" w:bidi="ar-SA"/>
    </w:rPr>
  </w:style>
  <w:style w:type="character" w:customStyle="1" w:styleId="8">
    <w:name w:val="标题 2 Char Char Char"/>
    <w:qFormat/>
    <w:uiPriority w:val="0"/>
    <w:rPr>
      <w:rFonts w:ascii="Arial" w:hAnsi="Arial" w:eastAsia="宋体"/>
      <w:b/>
      <w:bCs/>
      <w:kern w:val="2"/>
      <w:sz w:val="32"/>
      <w:szCs w:val="32"/>
      <w:lang w:val="en-US" w:eastAsia="zh-CN" w:bidi="ar-SA"/>
    </w:rPr>
  </w:style>
  <w:style w:type="character" w:customStyle="1" w:styleId="9">
    <w:name w:val="标题 2 Char"/>
    <w:link w:val="2"/>
    <w:uiPriority w:val="0"/>
    <w:rPr>
      <w:rFonts w:ascii="宋体" w:hAnsi="宋体" w:eastAsia="宋体" w:cs="Times New Roman"/>
      <w:b/>
      <w:bCs/>
      <w:sz w:val="32"/>
      <w:szCs w:val="28"/>
      <w:lang w:val="zh-CN" w:bidi="zh-CN"/>
    </w:rPr>
  </w:style>
  <w:style w:type="character" w:customStyle="1" w:styleId="10">
    <w:name w:val="标题 3 字符"/>
    <w:link w:val="4"/>
    <w:qFormat/>
    <w:uiPriority w:val="9"/>
    <w:rPr>
      <w:rFonts w:ascii="宋体" w:hAnsi="宋体" w:eastAsia="宋体"/>
      <w:b/>
      <w:bCs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2025-09-17T01:55:00Z</dcterms:created>
  <dc:creator>诚信伟业3015</dc:creator>
  <cp:lastModifiedBy>诚信伟业3015</cp:lastModifiedBy>
  <dcterms:modified xsi:type="dcterms:W3CDTF">2026-06-12T07:05:32Z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