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360" w:lineRule="auto"/>
        <w:ind w:left="3805"/>
        <w:outlineLvl w:val="1"/>
        <w:rPr>
          <w:rFonts w:hint="eastAsia" w:ascii="黑体" w:hAnsi="黑体" w:eastAsia="黑体" w:cs="黑体"/>
          <w:color w:val="auto"/>
          <w:sz w:val="24"/>
          <w:szCs w:val="24"/>
          <w:highlight w:val="none"/>
        </w:rPr>
      </w:pPr>
      <w:bookmarkStart w:id="3" w:name="_GoBack"/>
      <w:bookmarkStart w:id="0" w:name="_Toc1221"/>
      <w:bookmarkStart w:id="1" w:name="_Toc20808"/>
      <w:bookmarkStart w:id="2" w:name="_Toc2909"/>
      <w:r>
        <w:rPr>
          <w:rFonts w:hint="eastAsia" w:ascii="黑体" w:hAnsi="黑体" w:eastAsia="黑体" w:cs="黑体"/>
          <w:color w:val="auto"/>
          <w:spacing w:val="-2"/>
          <w:sz w:val="24"/>
          <w:szCs w:val="24"/>
          <w:highlight w:val="none"/>
          <w14:textOutline w14:w="4356" w14:cap="sq" w14:cmpd="sng" w14:algn="ctr">
            <w14:solidFill>
              <w14:srgbClr w14:val="000000"/>
            </w14:solidFill>
            <w14:prstDash w14:val="solid"/>
            <w14:bevel/>
          </w14:textOutline>
        </w:rPr>
        <w:t>采购</w:t>
      </w:r>
      <w:r>
        <w:rPr>
          <w:rFonts w:hint="eastAsia" w:ascii="黑体" w:hAnsi="黑体" w:eastAsia="黑体" w:cs="黑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hint="eastAsia" w:ascii="黑体" w:hAnsi="黑体" w:eastAsia="黑体" w:cs="黑体"/>
          <w:color w:val="auto"/>
          <w:spacing w:val="-2"/>
          <w:sz w:val="24"/>
          <w:szCs w:val="24"/>
          <w:highlight w:val="none"/>
          <w14:textOutline w14:w="4356" w14:cap="sq" w14:cmpd="sng" w14:algn="ctr">
            <w14:solidFill>
              <w14:srgbClr w14:val="000000"/>
            </w14:solidFill>
            <w14:prstDash w14:val="solid"/>
            <w14:bevel/>
          </w14:textOutline>
        </w:rPr>
        <w:t>求</w:t>
      </w:r>
      <w:bookmarkEnd w:id="0"/>
      <w:bookmarkEnd w:id="1"/>
      <w:bookmarkEnd w:id="2"/>
    </w:p>
    <w:bookmarkEnd w:id="3"/>
    <w:p w14:paraId="5D258939">
      <w:pPr>
        <w:pageBreakBefore w:val="0"/>
        <w:widowControl w:val="0"/>
        <w:wordWrap/>
        <w:overflowPunct/>
        <w:topLinePunct w:val="0"/>
        <w:bidi w:val="0"/>
        <w:spacing w:line="360" w:lineRule="auto"/>
        <w:rPr>
          <w:rFonts w:hint="eastAsia" w:ascii="黑体" w:hAnsi="黑体" w:eastAsia="黑体" w:cs="黑体"/>
          <w:color w:val="auto"/>
          <w:highlight w:val="none"/>
        </w:rPr>
      </w:pPr>
    </w:p>
    <w:p w14:paraId="6EF4E5D2">
      <w:pPr>
        <w:pageBreakBefore w:val="0"/>
        <w:widowControl w:val="0"/>
        <w:wordWrap/>
        <w:overflowPunct/>
        <w:topLinePunct w:val="0"/>
        <w:bidi w:val="0"/>
        <w:spacing w:line="360" w:lineRule="auto"/>
        <w:rPr>
          <w:rFonts w:hint="eastAsia" w:ascii="黑体" w:hAnsi="黑体" w:eastAsia="黑体" w:cs="黑体"/>
          <w:color w:val="auto"/>
          <w:highlight w:val="none"/>
        </w:rPr>
      </w:pPr>
    </w:p>
    <w:p w14:paraId="213747FE">
      <w:pPr>
        <w:pageBreakBefore w:val="0"/>
        <w:widowControl w:val="0"/>
        <w:wordWrap/>
        <w:overflowPunct/>
        <w:topLinePunct w:val="0"/>
        <w:bidi w:val="0"/>
        <w:spacing w:before="78" w:line="360" w:lineRule="auto"/>
        <w:rPr>
          <w:rFonts w:hint="eastAsia" w:ascii="黑体" w:hAnsi="黑体" w:eastAsia="黑体" w:cs="黑体"/>
          <w:b/>
          <w:bCs/>
          <w:color w:val="auto"/>
          <w:sz w:val="24"/>
          <w:szCs w:val="24"/>
          <w:highlight w:val="none"/>
        </w:rPr>
      </w:pPr>
      <w:r>
        <w:rPr>
          <w:rFonts w:hint="eastAsia" w:ascii="黑体" w:hAnsi="黑体" w:eastAsia="黑体" w:cs="黑体"/>
          <w:b/>
          <w:bCs/>
          <w:color w:val="auto"/>
          <w:spacing w:val="-5"/>
          <w:sz w:val="24"/>
          <w:szCs w:val="24"/>
          <w:highlight w:val="none"/>
        </w:rPr>
        <w:t>（一）</w:t>
      </w:r>
      <w:r>
        <w:rPr>
          <w:rFonts w:hint="eastAsia" w:ascii="黑体" w:hAnsi="黑体" w:eastAsia="黑体" w:cs="黑体"/>
          <w:b/>
          <w:bCs/>
          <w:color w:val="auto"/>
          <w:spacing w:val="25"/>
          <w:sz w:val="24"/>
          <w:szCs w:val="24"/>
          <w:highlight w:val="none"/>
        </w:rPr>
        <w:t xml:space="preserve"> </w:t>
      </w:r>
      <w:r>
        <w:rPr>
          <w:rFonts w:hint="eastAsia" w:ascii="黑体" w:hAnsi="黑体" w:eastAsia="黑体" w:cs="黑体"/>
          <w:b/>
          <w:bCs/>
          <w:color w:val="auto"/>
          <w:spacing w:val="-5"/>
          <w:sz w:val="24"/>
          <w:szCs w:val="24"/>
          <w:highlight w:val="none"/>
          <w:lang w:val="en-US" w:eastAsia="zh-CN"/>
        </w:rPr>
        <w:t>服务</w:t>
      </w:r>
      <w:r>
        <w:rPr>
          <w:rFonts w:hint="eastAsia" w:ascii="黑体" w:hAnsi="黑体" w:eastAsia="黑体" w:cs="黑体"/>
          <w:b/>
          <w:bCs/>
          <w:color w:val="auto"/>
          <w:spacing w:val="-5"/>
          <w:sz w:val="24"/>
          <w:szCs w:val="24"/>
          <w:highlight w:val="none"/>
        </w:rPr>
        <w:t>需求</w:t>
      </w:r>
    </w:p>
    <w:p w14:paraId="4A134F56">
      <w:pPr>
        <w:pageBreakBefore w:val="0"/>
        <w:widowControl w:val="0"/>
        <w:wordWrap/>
        <w:overflowPunct/>
        <w:topLinePunct w:val="0"/>
        <w:bidi w:val="0"/>
        <w:spacing w:line="360" w:lineRule="auto"/>
        <w:rPr>
          <w:rFonts w:hint="eastAsia" w:ascii="黑体" w:hAnsi="黑体" w:eastAsia="黑体" w:cs="黑体"/>
          <w:color w:val="auto"/>
          <w:highlight w:val="none"/>
        </w:rPr>
      </w:pPr>
    </w:p>
    <w:p w14:paraId="47A4C41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1、</w:t>
      </w:r>
      <w:r>
        <w:rPr>
          <w:rFonts w:hint="eastAsia" w:ascii="黑体" w:hAnsi="黑体" w:eastAsia="黑体" w:cs="黑体"/>
          <w:color w:val="auto"/>
          <w:sz w:val="24"/>
          <w:szCs w:val="24"/>
          <w:highlight w:val="none"/>
        </w:rPr>
        <w:t>保险服务总体要求</w:t>
      </w:r>
    </w:p>
    <w:p w14:paraId="6A8ED78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1.1</w:t>
      </w:r>
      <w:r>
        <w:rPr>
          <w:rFonts w:hint="eastAsia" w:ascii="黑体" w:hAnsi="黑体" w:eastAsia="黑体" w:cs="黑体"/>
          <w:color w:val="auto"/>
          <w:sz w:val="24"/>
          <w:szCs w:val="24"/>
          <w:highlight w:val="none"/>
        </w:rPr>
        <w:t>承保对象：防贫保险对象重点为常态化帮扶群体(包括防止返贫致贫对象和原建档立卡脱贫人口中需要接续帮扶对象)。具体参保对象不事先确定，不事先识别。区农业农村粮食局按照本区农村户籍人口约5%的比例框定防贫保险参保人数；</w:t>
      </w:r>
    </w:p>
    <w:p w14:paraId="2917649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在出险和理赔时，严格以是否存在致贫返贫风险为认定原则和标准。</w:t>
      </w:r>
    </w:p>
    <w:p w14:paraId="1F2BB99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1.2</w:t>
      </w:r>
      <w:r>
        <w:rPr>
          <w:rFonts w:hint="eastAsia" w:ascii="黑体" w:hAnsi="黑体" w:eastAsia="黑体" w:cs="黑体"/>
          <w:color w:val="auto"/>
          <w:sz w:val="24"/>
          <w:szCs w:val="24"/>
          <w:highlight w:val="none"/>
        </w:rPr>
        <w:t>保费标准：总保费年度定额75万元</w:t>
      </w: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rPr>
        <w:t>按照每年50元/人的标准，为本区约5%的农村户籍人口购买防贫保险。</w:t>
      </w:r>
    </w:p>
    <w:p w14:paraId="19181D4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1.3</w:t>
      </w:r>
      <w:r>
        <w:rPr>
          <w:rFonts w:hint="eastAsia" w:ascii="黑体" w:hAnsi="黑体" w:eastAsia="黑体" w:cs="黑体"/>
          <w:color w:val="auto"/>
          <w:sz w:val="24"/>
          <w:szCs w:val="24"/>
          <w:highlight w:val="none"/>
        </w:rPr>
        <w:t>保障范围：因病、因学、因灾（含意外事故）导致生活困难、存在致贫返贫风险的常态化帮扶对象。</w:t>
      </w:r>
    </w:p>
    <w:p w14:paraId="2627054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1.4</w:t>
      </w:r>
      <w:r>
        <w:rPr>
          <w:rFonts w:hint="eastAsia" w:ascii="黑体" w:hAnsi="黑体" w:eastAsia="黑体" w:cs="黑体"/>
          <w:color w:val="auto"/>
          <w:sz w:val="24"/>
          <w:szCs w:val="24"/>
          <w:highlight w:val="none"/>
        </w:rPr>
        <w:t>理赔原则：公平公正、应赔尽赔、快速足额、全程公开公示。</w:t>
      </w:r>
    </w:p>
    <w:p w14:paraId="68DA69F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2、</w:t>
      </w:r>
      <w:r>
        <w:rPr>
          <w:rFonts w:hint="eastAsia" w:ascii="黑体" w:hAnsi="黑体" w:eastAsia="黑体" w:cs="黑体"/>
          <w:color w:val="auto"/>
          <w:sz w:val="24"/>
          <w:szCs w:val="24"/>
          <w:highlight w:val="none"/>
        </w:rPr>
        <w:t>具体保险责任与赔付标准</w:t>
      </w:r>
    </w:p>
    <w:p w14:paraId="2A1B530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对因病、因学、因灾(含意外事故)导致生活困难，且经区农业农村粮食局认定存在致贫返贫风险的常态化帮扶对象，按标准进行理赔，具体赔付办法如下：</w:t>
      </w:r>
    </w:p>
    <w:p w14:paraId="63F0E20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2.1</w:t>
      </w:r>
      <w:r>
        <w:rPr>
          <w:rFonts w:hint="eastAsia" w:ascii="黑体" w:hAnsi="黑体" w:eastAsia="黑体" w:cs="黑体"/>
          <w:color w:val="auto"/>
          <w:sz w:val="24"/>
          <w:szCs w:val="24"/>
          <w:highlight w:val="none"/>
        </w:rPr>
        <w:t>因病理赔办法。以自付医疗费用1.6万元设置起付线(自付医疗费用指通过城乡居民基本医疗保险、大病保险、医疗救助等各类保障赔付后，仍需个人支付的医疗费用),起付线按年度保险期内累次住院费用合并计算，实行绝对免赔。若年度内发生两次及以上住院，本年度仅扣除一次起付线金额；若一户家庭多人生病，按户扣除一次起付线金额。自付医疗费用扣除起付线后，剩余费用按以下比例赔付防贫保险金：2万元以下(含)部分按50%赔付，2万一5万元(含)部分按60%赔付，5万元以上部分按70%赔付，年度内每户因病理赔最高限额5万元。</w:t>
      </w:r>
    </w:p>
    <w:p w14:paraId="5917179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2.2</w:t>
      </w:r>
      <w:r>
        <w:rPr>
          <w:rFonts w:hint="eastAsia" w:ascii="黑体" w:hAnsi="黑体" w:eastAsia="黑体" w:cs="黑体"/>
          <w:color w:val="auto"/>
          <w:sz w:val="24"/>
          <w:szCs w:val="24"/>
          <w:highlight w:val="none"/>
        </w:rPr>
        <w:t>因学理赔办法。具有全日制学历教育正式学籍且家庭存在致贫返贫风险的农村户籍人口子女，在校接受高等教育(含顶岗实习)期间，以年支付学费、住宿费、教科书费合计0.5万元为起付线，一户家庭多个子女上学的，按户扣除一次起付线金额；费用超出起付线的部分，按70%赔付防贫保险金，年度内每户因学理赔最高限额2万元。</w:t>
      </w:r>
    </w:p>
    <w:p w14:paraId="36E4476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2.3</w:t>
      </w:r>
      <w:r>
        <w:rPr>
          <w:rFonts w:hint="eastAsia" w:ascii="黑体" w:hAnsi="黑体" w:eastAsia="黑体" w:cs="黑体"/>
          <w:color w:val="auto"/>
          <w:sz w:val="24"/>
          <w:szCs w:val="24"/>
          <w:highlight w:val="none"/>
        </w:rPr>
        <w:t>因灾(含意外事故)理赔办法。</w:t>
      </w: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lang w:val="en-US" w:eastAsia="zh-CN"/>
        </w:rPr>
        <w:t>1</w:t>
      </w: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rPr>
        <w:t>产业类。因自然灾害(含病虫害)、意外事故等发生的损失(包括生产工具、运输设备、原材料和产业产品等),以1万元为预警线。超出预警线且经查勘认定符合条件的，损失超出部分在1万元以下的，按40%的比例发放防贫保险金；在1万元(含)—3万元以下的，按60%的比例发放防贫保险金；在3万元及以上的，按80%的比例发放防贫保险金。产业类因灾理赔最高限额3万元/户。</w:t>
      </w:r>
    </w:p>
    <w:p w14:paraId="041D4F9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lang w:val="en-US" w:eastAsia="zh-CN"/>
        </w:rPr>
        <w:t>2</w:t>
      </w: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rPr>
        <w:t>人身类。因自然灾害、交通等意外事故造成人员死亡或导致丧失(或部分丧失)劳动能力、自付费用或损失较大，家庭收入明显减少或丧失，存在致贫返贫风险的，分以下两种情形发放防贫保险金：(1)因造成伤残等级可能返贫致贫的，以伤残九级为预警线，伤残等级小于预警线且经查勘认定符合条件的，伤残等级为九级至七级的，发放防贫保险金5000元；伤残等级为六级至四级的，发放防贫保险金8000元；伤残等级为三级至一级的，发放防贫保险金10000元。(2)无法找到责任人或即使找到责任人但经司法等程序未得到相应赔偿可能导致致贫返贫风险的家庭因医疗花费过高可能返贫或者致贫的，参照因病防贫保险金标准发放。</w:t>
      </w:r>
    </w:p>
    <w:p w14:paraId="540ED93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lang w:val="en-US" w:eastAsia="zh-CN"/>
        </w:rPr>
        <w:t>3</w:t>
      </w: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rPr>
        <w:t>财产类。因自然灾害、意外事故等发生房屋等财产损失。以5万元为预警线，超出预警线且经查勘认定符合条件的，家庭财产损失在5万元以上的，扣除5万元起付线，超出部分在1万元以下的，按40%比例发放防贫保险金；1万元(含)至3万元的，按60%比例发放防贫保险金；3万元及以上的，按80%比例发放防贫保险金，每户最高不超过3万元。</w:t>
      </w:r>
    </w:p>
    <w:p w14:paraId="32D6E4E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3、</w:t>
      </w:r>
      <w:r>
        <w:rPr>
          <w:rFonts w:hint="eastAsia" w:ascii="黑体" w:hAnsi="黑体" w:eastAsia="黑体" w:cs="黑体"/>
          <w:color w:val="auto"/>
          <w:sz w:val="24"/>
          <w:szCs w:val="24"/>
          <w:highlight w:val="none"/>
        </w:rPr>
        <w:t>服务流程要求</w:t>
      </w:r>
    </w:p>
    <w:p w14:paraId="78E50E7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3.1</w:t>
      </w:r>
      <w:r>
        <w:rPr>
          <w:rFonts w:hint="eastAsia" w:ascii="黑体" w:hAnsi="黑体" w:eastAsia="黑体" w:cs="黑体"/>
          <w:color w:val="auto"/>
          <w:sz w:val="24"/>
          <w:szCs w:val="24"/>
          <w:highlight w:val="none"/>
        </w:rPr>
        <w:t>对象认定：配合乡镇（街道、场）开展动态监测，对认定的防贫保险对象及时承接理赔。</w:t>
      </w:r>
    </w:p>
    <w:p w14:paraId="058F0E7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val="en-US" w:eastAsia="zh-CN"/>
        </w:rPr>
        <w:t>3.2</w:t>
      </w:r>
      <w:r>
        <w:rPr>
          <w:rFonts w:hint="eastAsia" w:ascii="黑体" w:hAnsi="黑体" w:eastAsia="黑体" w:cs="黑体"/>
          <w:color w:val="auto"/>
          <w:sz w:val="24"/>
          <w:szCs w:val="24"/>
          <w:highlight w:val="none"/>
        </w:rPr>
        <w:t>申报受理：接到区农粮局推送名单后，5</w:t>
      </w:r>
      <w:r>
        <w:rPr>
          <w:rFonts w:hint="eastAsia" w:ascii="黑体" w:hAnsi="黑体" w:eastAsia="黑体" w:cs="黑体"/>
          <w:color w:val="auto"/>
          <w:sz w:val="24"/>
          <w:szCs w:val="24"/>
          <w:highlight w:val="none"/>
          <w:lang w:val="en-US" w:eastAsia="zh-CN"/>
        </w:rPr>
        <w:t>天</w:t>
      </w:r>
      <w:r>
        <w:rPr>
          <w:rFonts w:hint="eastAsia" w:ascii="黑体" w:hAnsi="黑体" w:eastAsia="黑体" w:cs="黑体"/>
          <w:color w:val="auto"/>
          <w:sz w:val="24"/>
          <w:szCs w:val="24"/>
          <w:highlight w:val="none"/>
        </w:rPr>
        <w:t>内完成查勘，3个工作日内出具核查报告</w:t>
      </w:r>
      <w:r>
        <w:rPr>
          <w:rFonts w:hint="eastAsia" w:ascii="黑体" w:hAnsi="黑体" w:eastAsia="黑体" w:cs="黑体"/>
          <w:color w:val="auto"/>
          <w:sz w:val="24"/>
          <w:szCs w:val="24"/>
          <w:highlight w:val="none"/>
          <w:lang w:eastAsia="zh-CN"/>
        </w:rPr>
        <w:t>。</w:t>
      </w:r>
    </w:p>
    <w:p w14:paraId="5D7AEB2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val="en-US" w:eastAsia="zh-CN"/>
        </w:rPr>
        <w:t>3.3</w:t>
      </w:r>
      <w:r>
        <w:rPr>
          <w:rFonts w:hint="eastAsia" w:ascii="黑体" w:hAnsi="黑体" w:eastAsia="黑体" w:cs="黑体"/>
          <w:color w:val="auto"/>
          <w:sz w:val="24"/>
          <w:szCs w:val="24"/>
          <w:highlight w:val="none"/>
        </w:rPr>
        <w:t>公示赔付：村级公示3天，公示结束后5个工作日内赔付到账，特殊情况最长不超过10个工作日</w:t>
      </w:r>
      <w:r>
        <w:rPr>
          <w:rFonts w:hint="eastAsia" w:ascii="黑体" w:hAnsi="黑体" w:eastAsia="黑体" w:cs="黑体"/>
          <w:color w:val="auto"/>
          <w:sz w:val="24"/>
          <w:szCs w:val="24"/>
          <w:highlight w:val="none"/>
          <w:lang w:eastAsia="zh-CN"/>
        </w:rPr>
        <w:t>。从农户申请到赔付到账，全程不得超过1个月时间。</w:t>
      </w:r>
    </w:p>
    <w:p w14:paraId="03D735E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3.4</w:t>
      </w:r>
      <w:r>
        <w:rPr>
          <w:rFonts w:hint="eastAsia" w:ascii="黑体" w:hAnsi="黑体" w:eastAsia="黑体" w:cs="黑体"/>
          <w:color w:val="auto"/>
          <w:sz w:val="24"/>
          <w:szCs w:val="24"/>
          <w:highlight w:val="none"/>
        </w:rPr>
        <w:t>档案管理：逐案建档，定期向区农粮局报送档案与理赔数据。</w:t>
      </w:r>
    </w:p>
    <w:p w14:paraId="5AC9E35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val="en-US" w:eastAsia="zh-CN"/>
        </w:rPr>
        <w:t>4、</w:t>
      </w:r>
      <w:r>
        <w:rPr>
          <w:rFonts w:hint="eastAsia" w:ascii="黑体" w:hAnsi="黑体" w:eastAsia="黑体" w:cs="黑体"/>
          <w:color w:val="auto"/>
          <w:sz w:val="24"/>
          <w:szCs w:val="24"/>
          <w:highlight w:val="none"/>
          <w:lang w:eastAsia="zh-CN"/>
        </w:rPr>
        <w:t>保障措施：</w:t>
      </w:r>
    </w:p>
    <w:p w14:paraId="70DCA71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(一)加强组织领导。成立由区委、区政府分管领导为组长， 区农粮局、区财政局、区教体局、区卫健委、区医保局、区住建 局、区民政局、市公安局余江分局、区应急管理局等区直有关单 位和中标保险公司负责人为成员的区防贫保险工作专班。区农粮 局负责牵头协调，区财政局负责落实防贫保险保费和运营费，其 他区直有关部门要主动做好本部门领域致贫返贫风险监测、配合 做好相关数据比对分析，保险公司严格按照规定出险、核险和理 赔。各乡(镇、街道、场)要提高思想认识，要把防贫保险工作 作为常态化帮扶的重要举措，确保防贫保险工作落实到位，让群 众满意 。</w:t>
      </w:r>
    </w:p>
    <w:p w14:paraId="05E31B6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(二)明确工作责任。要强化组织协调和工作推动；农业部 门要做好保险资金的管理和存在返贫致贫风险的出险理赔、核实等工作；财政部门要落实保费资金，做好资金的监管；银监部门  要组织各相关保险公司积极承办防贫保险业务，加强监督检查，  严肃查处开展保险业务中的违法违规、损害群众合法权益等问题； 承办保险公司要积极承担保险服务任务，依托乡(镇、街道、场)  建立完善保险服务网络，进村入户开展工作，及时查勘、合理定  损、快速理赔、足额赔付，对承保理赔的信息，及时、准确、完  整地进行公示。</w:t>
      </w:r>
    </w:p>
    <w:p w14:paraId="28FB005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(三)严格保费管理。 财政局、农粮局要定期与保险公司对 账，做好年度保费结算工作；承保公司对保费要专户存储、单独 核算，确保资金安全，及时支付保险赔偿。理赔费用要清晰可查， 并及时将有关理赔情况报告农粮部门。</w:t>
      </w:r>
    </w:p>
    <w:p w14:paraId="1F9CFDC2">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(四)广泛宣传发动。 各乡(镇、街道、场)和区农粮局要 充分利用各类宣传媒介、现代信息传播手段，以及保险机构网点、 乡村政务公开栏等平台，结合印制发放宣传资料、进村入户讲解 等方式，广泛宣传、精准解读防贫保险政策内容、申报流程和赔 付标准，让群众懂政策、会申请、能受益，充分发挥防贫保险社 会效益，主动接受社会各界监督。</w:t>
      </w:r>
    </w:p>
    <w:p w14:paraId="2E78DA4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5、鹰潭市余江区防贫保险从严审核情形如下，不符合条件不予赔付。</w:t>
      </w:r>
    </w:p>
    <w:p w14:paraId="42C62612">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5.1家庭成员中有在国家机关或企事业单位工作且有稳定收入的，应从严审核。</w:t>
      </w:r>
    </w:p>
    <w:p w14:paraId="434F7BB2">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5.2家庭成员中有任村干部的，应从严审核。</w:t>
      </w:r>
    </w:p>
    <w:p w14:paraId="0126581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5.3家庭有近三年在城镇购买商品房或购买两套商品房以上的或有门市房等的(不含因灾重建和拆迁建房),应从严审核。</w:t>
      </w:r>
    </w:p>
    <w:p w14:paraId="6D76D3F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5.4家庭成员中拥有小轿车(含面包车)、工程机械、大型农机具的，应从严审核。</w:t>
      </w:r>
    </w:p>
    <w:p w14:paraId="67020A9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5.5家庭成员中有作为企业法人或股东在工商部门注册有5万元以上的企业且有年审记录的，或长期雇佣他人从事生产经营活动的，应从严审核。</w:t>
      </w:r>
    </w:p>
    <w:p w14:paraId="1CE946B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5.6共同生活的家庭成员人均金融资产超过我市当年城市月低保标准30倍的原则上不纳入保障范围。</w:t>
      </w:r>
    </w:p>
    <w:p w14:paraId="1219FF4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5.7家庭成员在贵族私立学校和出国留学原则上不纳入保障范围。</w:t>
      </w:r>
    </w:p>
    <w:p w14:paraId="5441938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5.8对于交通意外事故有肇事责任人原则上不纳入保障范围。</w:t>
      </w:r>
    </w:p>
    <w:p w14:paraId="387D61F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5.9有下列原因之一，直接或间接造成的住院医疗费支出，也应从严审核：挑衅或故意行为而导致的打斗、被袭击或被谋杀；违法、犯罪或者抗拒依法采取的刑事强制措施；未遵医嘱私自服用、涂用、注射药物的；醉酒或受毒品、管制药物的影响；矫形、整容、美容、器官移植或修复安装及购买残疾用具的(如轮椅、假肢、助听器、假眼、配镜等);体检、疗养、心理咨询或康复治疗的；交通费、食宿费、生活补助费、误工费等。</w:t>
      </w:r>
    </w:p>
    <w:p w14:paraId="5B501270">
      <w:pPr>
        <w:pStyle w:val="2"/>
        <w:numPr>
          <w:ilvl w:val="0"/>
          <w:numId w:val="1"/>
        </w:numPr>
        <w:spacing w:line="360" w:lineRule="auto"/>
        <w:rPr>
          <w:rFonts w:hint="eastAsia" w:ascii="黑体" w:hAnsi="黑体" w:eastAsia="黑体" w:cs="黑体"/>
          <w:bCs/>
          <w:color w:val="auto"/>
          <w:sz w:val="24"/>
          <w:szCs w:val="24"/>
          <w:highlight w:val="none"/>
          <w:lang w:eastAsia="zh-CN"/>
        </w:rPr>
      </w:pPr>
      <w:r>
        <w:rPr>
          <w:rFonts w:hint="eastAsia" w:ascii="黑体" w:hAnsi="黑体" w:eastAsia="黑体" w:cs="黑体"/>
          <w:bCs/>
          <w:color w:val="auto"/>
          <w:sz w:val="24"/>
          <w:szCs w:val="24"/>
          <w:highlight w:val="none"/>
        </w:rPr>
        <w:t>为保障项目服务覆盖范围广、查勘响应及时高效，供应商须为本项目配备专属查勘用车（不含二轮车、三轮车）</w:t>
      </w:r>
      <w:r>
        <w:rPr>
          <w:rFonts w:hint="eastAsia" w:ascii="黑体" w:hAnsi="黑体" w:eastAsia="黑体" w:cs="黑体"/>
          <w:bCs/>
          <w:color w:val="auto"/>
          <w:sz w:val="24"/>
          <w:szCs w:val="24"/>
          <w:highlight w:val="none"/>
          <w:lang w:eastAsia="zh-CN"/>
        </w:rPr>
        <w:t xml:space="preserve">不少于 </w:t>
      </w:r>
      <w:r>
        <w:rPr>
          <w:rFonts w:hint="eastAsia" w:ascii="黑体" w:hAnsi="黑体" w:eastAsia="黑体" w:cs="黑体"/>
          <w:bCs/>
          <w:color w:val="auto"/>
          <w:sz w:val="24"/>
          <w:szCs w:val="24"/>
          <w:highlight w:val="none"/>
          <w:lang w:val="en-US" w:eastAsia="zh-CN"/>
        </w:rPr>
        <w:t>1</w:t>
      </w:r>
      <w:r>
        <w:rPr>
          <w:rFonts w:hint="eastAsia" w:ascii="黑体" w:hAnsi="黑体" w:eastAsia="黑体" w:cs="黑体"/>
          <w:bCs/>
          <w:color w:val="auto"/>
          <w:sz w:val="24"/>
          <w:szCs w:val="24"/>
          <w:highlight w:val="none"/>
          <w:lang w:eastAsia="zh-CN"/>
        </w:rPr>
        <w:t xml:space="preserve"> 辆。</w:t>
      </w:r>
    </w:p>
    <w:p w14:paraId="3A9F01F6">
      <w:pPr>
        <w:pStyle w:val="2"/>
        <w:numPr>
          <w:ilvl w:val="0"/>
          <w:numId w:val="1"/>
        </w:numPr>
        <w:spacing w:line="360" w:lineRule="auto"/>
        <w:rPr>
          <w:rFonts w:hint="default" w:eastAsia="黑体"/>
          <w:color w:val="auto"/>
          <w:highlight w:val="none"/>
          <w:lang w:val="en-US" w:eastAsia="zh-CN"/>
        </w:rPr>
      </w:pPr>
      <w:r>
        <w:rPr>
          <w:rFonts w:hint="eastAsia" w:ascii="黑体" w:hAnsi="黑体" w:eastAsia="黑体" w:cs="黑体"/>
          <w:snapToGrid w:val="0"/>
          <w:color w:val="auto"/>
          <w:sz w:val="24"/>
          <w:szCs w:val="24"/>
          <w:highlight w:val="none"/>
          <w:lang w:val="en-US" w:eastAsia="zh-CN" w:bidi="ar-SA"/>
        </w:rPr>
        <w:t>供应商须为本项目配备专职服务人员不少于 2 名，人员须长期稳定、专项负责本项目防贫保险承保、理赔、查勘及客户服务等相关工作。</w:t>
      </w:r>
    </w:p>
    <w:p w14:paraId="01CFD47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8、附件</w:t>
      </w:r>
    </w:p>
    <w:p w14:paraId="78BC36B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center"/>
        <w:textAlignment w:val="baseline"/>
        <w:rPr>
          <w:rFonts w:hint="default"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考核办法</w:t>
      </w:r>
    </w:p>
    <w:p w14:paraId="4582D54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一、总则</w:t>
      </w:r>
    </w:p>
    <w:p w14:paraId="3798019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1.</w:t>
      </w:r>
      <w:r>
        <w:rPr>
          <w:rStyle w:val="7"/>
          <w:rFonts w:hint="eastAsia" w:ascii="黑体" w:hAnsi="黑体" w:eastAsia="黑体" w:cs="黑体"/>
          <w:b w:val="0"/>
          <w:bCs w:val="0"/>
          <w:color w:val="000000"/>
          <w:sz w:val="24"/>
          <w:szCs w:val="24"/>
        </w:rPr>
        <w:t>考核目的</w:t>
      </w:r>
      <w:r>
        <w:rPr>
          <w:rFonts w:hint="eastAsia" w:ascii="黑体" w:hAnsi="黑体" w:eastAsia="黑体" w:cs="黑体"/>
          <w:b w:val="0"/>
          <w:bCs w:val="0"/>
          <w:color w:val="000000"/>
          <w:sz w:val="24"/>
          <w:szCs w:val="24"/>
        </w:rPr>
        <w:t>：规范防贫保险承保、查勘、理赔、服务全流程，保障群众利益，确保政策落地，提升服务质效。</w:t>
      </w:r>
    </w:p>
    <w:p w14:paraId="19A63ED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2.</w:t>
      </w:r>
      <w:r>
        <w:rPr>
          <w:rStyle w:val="7"/>
          <w:rFonts w:hint="eastAsia" w:ascii="黑体" w:hAnsi="黑体" w:eastAsia="黑体" w:cs="黑体"/>
          <w:b w:val="0"/>
          <w:bCs w:val="0"/>
          <w:color w:val="000000"/>
          <w:sz w:val="24"/>
          <w:szCs w:val="24"/>
        </w:rPr>
        <w:t>考核依据</w:t>
      </w:r>
      <w:r>
        <w:rPr>
          <w:rFonts w:hint="eastAsia" w:ascii="黑体" w:hAnsi="黑体" w:eastAsia="黑体" w:cs="黑体"/>
          <w:b w:val="0"/>
          <w:bCs w:val="0"/>
          <w:color w:val="000000"/>
          <w:sz w:val="24"/>
          <w:szCs w:val="24"/>
        </w:rPr>
        <w:t>：余府字〔2026〕22号文件、采购合同、采购需求及相关监管要求。</w:t>
      </w:r>
    </w:p>
    <w:p w14:paraId="5B8F830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3.</w:t>
      </w:r>
      <w:r>
        <w:rPr>
          <w:rStyle w:val="7"/>
          <w:rFonts w:hint="eastAsia" w:ascii="黑体" w:hAnsi="黑体" w:eastAsia="黑体" w:cs="黑体"/>
          <w:b w:val="0"/>
          <w:bCs w:val="0"/>
          <w:color w:val="000000"/>
          <w:sz w:val="24"/>
          <w:szCs w:val="24"/>
        </w:rPr>
        <w:t>考核对象</w:t>
      </w:r>
      <w:r>
        <w:rPr>
          <w:rFonts w:hint="eastAsia" w:ascii="黑体" w:hAnsi="黑体" w:eastAsia="黑体" w:cs="黑体"/>
          <w:b w:val="0"/>
          <w:bCs w:val="0"/>
          <w:color w:val="000000"/>
          <w:sz w:val="24"/>
          <w:szCs w:val="24"/>
        </w:rPr>
        <w:t>：中标承保保险公司。</w:t>
      </w:r>
    </w:p>
    <w:p w14:paraId="13DD31F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4.</w:t>
      </w:r>
      <w:r>
        <w:rPr>
          <w:rStyle w:val="7"/>
          <w:rFonts w:hint="eastAsia" w:ascii="黑体" w:hAnsi="黑体" w:eastAsia="黑体" w:cs="黑体"/>
          <w:b w:val="0"/>
          <w:bCs w:val="0"/>
          <w:color w:val="000000"/>
          <w:sz w:val="24"/>
          <w:szCs w:val="24"/>
        </w:rPr>
        <w:t>考核周期</w:t>
      </w:r>
      <w:r>
        <w:rPr>
          <w:rFonts w:hint="eastAsia" w:ascii="黑体" w:hAnsi="黑体" w:eastAsia="黑体" w:cs="黑体"/>
          <w:b w:val="0"/>
          <w:bCs w:val="0"/>
          <w:color w:val="000000"/>
          <w:sz w:val="24"/>
          <w:szCs w:val="24"/>
        </w:rPr>
        <w:t>：</w:t>
      </w:r>
      <w:r>
        <w:rPr>
          <w:rStyle w:val="7"/>
          <w:rFonts w:hint="eastAsia" w:ascii="黑体" w:hAnsi="黑体" w:eastAsia="黑体" w:cs="黑体"/>
          <w:b w:val="0"/>
          <w:bCs w:val="0"/>
          <w:color w:val="000000"/>
          <w:sz w:val="24"/>
          <w:szCs w:val="24"/>
        </w:rPr>
        <w:t>每年1月1日—12月31日</w:t>
      </w:r>
      <w:r>
        <w:rPr>
          <w:rFonts w:hint="eastAsia" w:ascii="黑体" w:hAnsi="黑体" w:eastAsia="黑体" w:cs="黑体"/>
          <w:b w:val="0"/>
          <w:bCs w:val="0"/>
          <w:color w:val="000000"/>
          <w:sz w:val="24"/>
          <w:szCs w:val="24"/>
        </w:rPr>
        <w:t>，年度考核，</w:t>
      </w:r>
      <w:r>
        <w:rPr>
          <w:rFonts w:hint="eastAsia" w:ascii="黑体" w:hAnsi="黑体" w:eastAsia="黑体" w:cs="黑体"/>
          <w:b w:val="0"/>
          <w:bCs w:val="0"/>
          <w:color w:val="000000"/>
          <w:sz w:val="24"/>
          <w:szCs w:val="24"/>
          <w:highlight w:val="none"/>
        </w:rPr>
        <w:t>次年</w:t>
      </w:r>
      <w:r>
        <w:rPr>
          <w:rFonts w:hint="eastAsia" w:ascii="黑体" w:hAnsi="黑体" w:eastAsia="黑体" w:cs="黑体"/>
          <w:b w:val="0"/>
          <w:bCs w:val="0"/>
          <w:color w:val="000000"/>
          <w:sz w:val="24"/>
          <w:szCs w:val="24"/>
          <w:highlight w:val="none"/>
          <w:lang w:val="en-US" w:eastAsia="zh-CN"/>
        </w:rPr>
        <w:t>5</w:t>
      </w:r>
      <w:r>
        <w:rPr>
          <w:rFonts w:hint="eastAsia" w:ascii="黑体" w:hAnsi="黑体" w:eastAsia="黑体" w:cs="黑体"/>
          <w:b w:val="0"/>
          <w:bCs w:val="0"/>
          <w:color w:val="000000"/>
          <w:sz w:val="24"/>
          <w:szCs w:val="24"/>
          <w:highlight w:val="none"/>
        </w:rPr>
        <w:t>月</w:t>
      </w:r>
      <w:r>
        <w:rPr>
          <w:rFonts w:hint="eastAsia" w:ascii="黑体" w:hAnsi="黑体" w:eastAsia="黑体" w:cs="黑体"/>
          <w:b w:val="0"/>
          <w:bCs w:val="0"/>
          <w:color w:val="000000"/>
          <w:sz w:val="24"/>
          <w:szCs w:val="24"/>
          <w:highlight w:val="none"/>
          <w:lang w:val="en-US" w:eastAsia="zh-CN"/>
        </w:rPr>
        <w:t>10日</w:t>
      </w:r>
      <w:r>
        <w:rPr>
          <w:rFonts w:hint="eastAsia" w:ascii="黑体" w:hAnsi="黑体" w:eastAsia="黑体" w:cs="黑体"/>
          <w:b w:val="0"/>
          <w:bCs w:val="0"/>
          <w:color w:val="000000"/>
          <w:sz w:val="24"/>
          <w:szCs w:val="24"/>
          <w:lang w:val="en-US" w:eastAsia="zh-CN"/>
        </w:rPr>
        <w:t>前</w:t>
      </w:r>
      <w:r>
        <w:rPr>
          <w:rFonts w:hint="eastAsia" w:ascii="黑体" w:hAnsi="黑体" w:eastAsia="黑体" w:cs="黑体"/>
          <w:b w:val="0"/>
          <w:bCs w:val="0"/>
          <w:color w:val="000000"/>
          <w:sz w:val="24"/>
          <w:szCs w:val="24"/>
        </w:rPr>
        <w:t>完成。</w:t>
      </w:r>
    </w:p>
    <w:p w14:paraId="7B900E7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5.</w:t>
      </w:r>
      <w:r>
        <w:rPr>
          <w:rStyle w:val="7"/>
          <w:rFonts w:hint="eastAsia" w:ascii="黑体" w:hAnsi="黑体" w:eastAsia="黑体" w:cs="黑体"/>
          <w:b w:val="0"/>
          <w:bCs w:val="0"/>
          <w:color w:val="000000"/>
          <w:sz w:val="24"/>
          <w:szCs w:val="24"/>
        </w:rPr>
        <w:t>考核结果运用</w:t>
      </w:r>
      <w:r>
        <w:rPr>
          <w:rFonts w:hint="eastAsia" w:ascii="黑体" w:hAnsi="黑体" w:eastAsia="黑体" w:cs="黑体"/>
          <w:b w:val="0"/>
          <w:bCs w:val="0"/>
          <w:color w:val="000000"/>
          <w:sz w:val="24"/>
          <w:szCs w:val="24"/>
        </w:rPr>
        <w:t>：作为</w:t>
      </w:r>
      <w:r>
        <w:rPr>
          <w:rStyle w:val="7"/>
          <w:rFonts w:hint="eastAsia" w:ascii="黑体" w:hAnsi="黑体" w:eastAsia="黑体" w:cs="黑体"/>
          <w:b w:val="0"/>
          <w:bCs w:val="0"/>
          <w:color w:val="000000"/>
          <w:sz w:val="24"/>
          <w:szCs w:val="24"/>
        </w:rPr>
        <w:t>1+1+1年度续签</w:t>
      </w:r>
      <w:r>
        <w:rPr>
          <w:rFonts w:hint="eastAsia" w:ascii="黑体" w:hAnsi="黑体" w:eastAsia="黑体" w:cs="黑体"/>
          <w:b w:val="0"/>
          <w:bCs w:val="0"/>
          <w:color w:val="000000"/>
          <w:sz w:val="24"/>
          <w:szCs w:val="24"/>
        </w:rPr>
        <w:t>的唯一依据；考核合格可续签下一年度，不合格不予续签，采购人重新采购。</w:t>
      </w:r>
    </w:p>
    <w:p w14:paraId="25BF29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二、考核内容及评分标准（总分100分）</w:t>
      </w:r>
    </w:p>
    <w:p w14:paraId="0228337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highlight w:val="none"/>
        </w:rPr>
      </w:pPr>
      <w:r>
        <w:rPr>
          <w:rFonts w:hint="eastAsia" w:ascii="黑体" w:hAnsi="黑体" w:eastAsia="黑体" w:cs="黑体"/>
          <w:b w:val="0"/>
          <w:bCs w:val="0"/>
          <w:color w:val="000000"/>
          <w:sz w:val="24"/>
          <w:szCs w:val="24"/>
          <w:highlight w:val="none"/>
        </w:rPr>
        <w:t>（一）理赔服务（4</w:t>
      </w:r>
      <w:r>
        <w:rPr>
          <w:rFonts w:hint="eastAsia" w:ascii="黑体" w:hAnsi="黑体" w:eastAsia="黑体" w:cs="黑体"/>
          <w:b w:val="0"/>
          <w:bCs w:val="0"/>
          <w:color w:val="000000"/>
          <w:sz w:val="24"/>
          <w:szCs w:val="24"/>
          <w:highlight w:val="none"/>
          <w:lang w:val="en-US" w:eastAsia="zh-CN"/>
        </w:rPr>
        <w:t>5</w:t>
      </w:r>
      <w:r>
        <w:rPr>
          <w:rFonts w:hint="eastAsia" w:ascii="黑体" w:hAnsi="黑体" w:eastAsia="黑体" w:cs="黑体"/>
          <w:b w:val="0"/>
          <w:bCs w:val="0"/>
          <w:color w:val="000000"/>
          <w:sz w:val="24"/>
          <w:szCs w:val="24"/>
          <w:highlight w:val="none"/>
        </w:rPr>
        <w:t>分）</w:t>
      </w:r>
    </w:p>
    <w:p w14:paraId="15870B3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auto"/>
          <w:sz w:val="24"/>
          <w:szCs w:val="24"/>
        </w:rPr>
      </w:pPr>
      <w:r>
        <w:rPr>
          <w:rStyle w:val="7"/>
          <w:rFonts w:hint="eastAsia" w:ascii="黑体" w:hAnsi="黑体" w:eastAsia="黑体" w:cs="黑体"/>
          <w:b w:val="0"/>
          <w:bCs w:val="0"/>
          <w:color w:val="000000"/>
          <w:sz w:val="24"/>
          <w:szCs w:val="24"/>
          <w:lang w:val="en-US" w:eastAsia="zh-CN"/>
        </w:rPr>
        <w:t>1.</w:t>
      </w:r>
      <w:r>
        <w:rPr>
          <w:rStyle w:val="7"/>
          <w:rFonts w:hint="eastAsia" w:ascii="黑体" w:hAnsi="黑体" w:eastAsia="黑体" w:cs="黑体"/>
          <w:b w:val="0"/>
          <w:bCs w:val="0"/>
          <w:color w:val="000000"/>
          <w:sz w:val="24"/>
          <w:szCs w:val="24"/>
        </w:rPr>
        <w:t>查勘及时</w:t>
      </w:r>
      <w:r>
        <w:rPr>
          <w:rStyle w:val="7"/>
          <w:rFonts w:hint="eastAsia" w:ascii="黑体" w:hAnsi="黑体" w:eastAsia="黑体" w:cs="黑体"/>
          <w:b w:val="0"/>
          <w:bCs w:val="0"/>
          <w:color w:val="auto"/>
          <w:sz w:val="24"/>
          <w:szCs w:val="24"/>
        </w:rPr>
        <w:t>（10分）</w:t>
      </w:r>
    </w:p>
    <w:p w14:paraId="06B9CEA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auto"/>
          <w:sz w:val="24"/>
          <w:szCs w:val="24"/>
        </w:rPr>
      </w:pPr>
      <w:r>
        <w:rPr>
          <w:rFonts w:hint="eastAsia" w:ascii="黑体" w:hAnsi="黑体" w:eastAsia="黑体" w:cs="黑体"/>
          <w:b w:val="0"/>
          <w:bCs w:val="0"/>
          <w:color w:val="auto"/>
          <w:sz w:val="24"/>
          <w:szCs w:val="24"/>
          <w:lang w:eastAsia="zh-CN"/>
        </w:rPr>
        <w:t>（</w:t>
      </w:r>
      <w:r>
        <w:rPr>
          <w:rFonts w:hint="eastAsia" w:ascii="黑体" w:hAnsi="黑体" w:eastAsia="黑体" w:cs="黑体"/>
          <w:b w:val="0"/>
          <w:bCs w:val="0"/>
          <w:color w:val="auto"/>
          <w:sz w:val="24"/>
          <w:szCs w:val="24"/>
          <w:lang w:val="en-US" w:eastAsia="zh-CN"/>
        </w:rPr>
        <w:t>1</w:t>
      </w:r>
      <w:r>
        <w:rPr>
          <w:rFonts w:hint="eastAsia" w:ascii="黑体" w:hAnsi="黑体" w:eastAsia="黑体" w:cs="黑体"/>
          <w:b w:val="0"/>
          <w:bCs w:val="0"/>
          <w:color w:val="auto"/>
          <w:sz w:val="24"/>
          <w:szCs w:val="24"/>
          <w:lang w:eastAsia="zh-CN"/>
        </w:rPr>
        <w:t>）</w:t>
      </w:r>
      <w:r>
        <w:rPr>
          <w:rFonts w:hint="eastAsia" w:ascii="黑体" w:hAnsi="黑体" w:eastAsia="黑体" w:cs="黑体"/>
          <w:b w:val="0"/>
          <w:bCs w:val="0"/>
          <w:color w:val="auto"/>
          <w:sz w:val="24"/>
          <w:szCs w:val="24"/>
        </w:rPr>
        <w:t>接到推送后</w:t>
      </w:r>
      <w:r>
        <w:rPr>
          <w:rStyle w:val="7"/>
          <w:rFonts w:hint="eastAsia" w:ascii="黑体" w:hAnsi="黑体" w:eastAsia="黑体" w:cs="黑体"/>
          <w:b w:val="0"/>
          <w:bCs w:val="0"/>
          <w:color w:val="auto"/>
          <w:sz w:val="24"/>
          <w:szCs w:val="24"/>
        </w:rPr>
        <w:t>5个工作日内完成查勘</w:t>
      </w:r>
      <w:r>
        <w:rPr>
          <w:rFonts w:hint="eastAsia" w:ascii="黑体" w:hAnsi="黑体" w:eastAsia="黑体" w:cs="黑体"/>
          <w:b w:val="0"/>
          <w:bCs w:val="0"/>
          <w:color w:val="auto"/>
          <w:sz w:val="24"/>
          <w:szCs w:val="24"/>
        </w:rPr>
        <w:t>，每逾期1次扣</w:t>
      </w:r>
      <w:r>
        <w:rPr>
          <w:rFonts w:hint="eastAsia" w:ascii="黑体" w:hAnsi="黑体" w:eastAsia="黑体" w:cs="黑体"/>
          <w:b w:val="0"/>
          <w:bCs w:val="0"/>
          <w:color w:val="auto"/>
          <w:sz w:val="24"/>
          <w:szCs w:val="24"/>
          <w:lang w:val="en-US" w:eastAsia="zh-CN"/>
        </w:rPr>
        <w:t>1</w:t>
      </w:r>
      <w:r>
        <w:rPr>
          <w:rFonts w:hint="eastAsia" w:ascii="黑体" w:hAnsi="黑体" w:eastAsia="黑体" w:cs="黑体"/>
          <w:b w:val="0"/>
          <w:bCs w:val="0"/>
          <w:color w:val="auto"/>
          <w:sz w:val="24"/>
          <w:szCs w:val="24"/>
        </w:rPr>
        <w:t>分，扣完为止。</w:t>
      </w:r>
    </w:p>
    <w:p w14:paraId="2108490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auto"/>
          <w:sz w:val="24"/>
          <w:szCs w:val="24"/>
        </w:rPr>
      </w:pPr>
      <w:r>
        <w:rPr>
          <w:rStyle w:val="7"/>
          <w:rFonts w:hint="eastAsia" w:ascii="黑体" w:hAnsi="黑体" w:eastAsia="黑体" w:cs="黑体"/>
          <w:b w:val="0"/>
          <w:bCs w:val="0"/>
          <w:color w:val="auto"/>
          <w:sz w:val="24"/>
          <w:szCs w:val="24"/>
          <w:lang w:val="en-US" w:eastAsia="zh-CN"/>
        </w:rPr>
        <w:t>2.</w:t>
      </w:r>
      <w:r>
        <w:rPr>
          <w:rStyle w:val="7"/>
          <w:rFonts w:hint="eastAsia" w:ascii="黑体" w:hAnsi="黑体" w:eastAsia="黑体" w:cs="黑体"/>
          <w:b w:val="0"/>
          <w:bCs w:val="0"/>
          <w:color w:val="auto"/>
          <w:sz w:val="24"/>
          <w:szCs w:val="24"/>
        </w:rPr>
        <w:t>核查报告（10分）</w:t>
      </w:r>
    </w:p>
    <w:p w14:paraId="303C905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auto"/>
          <w:sz w:val="24"/>
          <w:szCs w:val="24"/>
        </w:rPr>
      </w:pPr>
      <w:r>
        <w:rPr>
          <w:rFonts w:hint="eastAsia" w:ascii="黑体" w:hAnsi="黑体" w:eastAsia="黑体" w:cs="黑体"/>
          <w:b w:val="0"/>
          <w:bCs w:val="0"/>
          <w:color w:val="auto"/>
          <w:sz w:val="24"/>
          <w:szCs w:val="24"/>
          <w:lang w:eastAsia="zh-CN"/>
        </w:rPr>
        <w:t>（</w:t>
      </w:r>
      <w:r>
        <w:rPr>
          <w:rFonts w:hint="eastAsia" w:ascii="黑体" w:hAnsi="黑体" w:eastAsia="黑体" w:cs="黑体"/>
          <w:b w:val="0"/>
          <w:bCs w:val="0"/>
          <w:color w:val="auto"/>
          <w:sz w:val="24"/>
          <w:szCs w:val="24"/>
          <w:lang w:val="en-US" w:eastAsia="zh-CN"/>
        </w:rPr>
        <w:t>1</w:t>
      </w:r>
      <w:r>
        <w:rPr>
          <w:rFonts w:hint="eastAsia" w:ascii="黑体" w:hAnsi="黑体" w:eastAsia="黑体" w:cs="黑体"/>
          <w:b w:val="0"/>
          <w:bCs w:val="0"/>
          <w:color w:val="auto"/>
          <w:sz w:val="24"/>
          <w:szCs w:val="24"/>
          <w:lang w:eastAsia="zh-CN"/>
        </w:rPr>
        <w:t>）</w:t>
      </w:r>
      <w:r>
        <w:rPr>
          <w:rFonts w:hint="eastAsia" w:ascii="黑体" w:hAnsi="黑体" w:eastAsia="黑体" w:cs="黑体"/>
          <w:b w:val="0"/>
          <w:bCs w:val="0"/>
          <w:color w:val="auto"/>
          <w:sz w:val="24"/>
          <w:szCs w:val="24"/>
        </w:rPr>
        <w:t>查勘后</w:t>
      </w:r>
      <w:r>
        <w:rPr>
          <w:rStyle w:val="7"/>
          <w:rFonts w:hint="eastAsia" w:ascii="黑体" w:hAnsi="黑体" w:eastAsia="黑体" w:cs="黑体"/>
          <w:b w:val="0"/>
          <w:bCs w:val="0"/>
          <w:color w:val="auto"/>
          <w:sz w:val="24"/>
          <w:szCs w:val="24"/>
        </w:rPr>
        <w:t>3个工作日内出具核查报告</w:t>
      </w:r>
      <w:r>
        <w:rPr>
          <w:rFonts w:hint="eastAsia" w:ascii="黑体" w:hAnsi="黑体" w:eastAsia="黑体" w:cs="黑体"/>
          <w:b w:val="0"/>
          <w:bCs w:val="0"/>
          <w:color w:val="auto"/>
          <w:sz w:val="24"/>
          <w:szCs w:val="24"/>
        </w:rPr>
        <w:t>，每逾期1次扣</w:t>
      </w:r>
      <w:r>
        <w:rPr>
          <w:rFonts w:hint="eastAsia" w:ascii="黑体" w:hAnsi="黑体" w:eastAsia="黑体" w:cs="黑体"/>
          <w:b w:val="0"/>
          <w:bCs w:val="0"/>
          <w:color w:val="auto"/>
          <w:sz w:val="24"/>
          <w:szCs w:val="24"/>
          <w:lang w:val="en-US" w:eastAsia="zh-CN"/>
        </w:rPr>
        <w:t>1</w:t>
      </w:r>
      <w:r>
        <w:rPr>
          <w:rFonts w:hint="eastAsia" w:ascii="黑体" w:hAnsi="黑体" w:eastAsia="黑体" w:cs="黑体"/>
          <w:b w:val="0"/>
          <w:bCs w:val="0"/>
          <w:color w:val="auto"/>
          <w:sz w:val="24"/>
          <w:szCs w:val="24"/>
        </w:rPr>
        <w:t>分，扣完为止。</w:t>
      </w:r>
    </w:p>
    <w:p w14:paraId="1A1D93F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auto"/>
          <w:sz w:val="24"/>
          <w:szCs w:val="24"/>
        </w:rPr>
      </w:pPr>
      <w:r>
        <w:rPr>
          <w:rStyle w:val="7"/>
          <w:rFonts w:hint="eastAsia" w:ascii="黑体" w:hAnsi="黑体" w:eastAsia="黑体" w:cs="黑体"/>
          <w:b w:val="0"/>
          <w:bCs w:val="0"/>
          <w:color w:val="auto"/>
          <w:sz w:val="24"/>
          <w:szCs w:val="24"/>
          <w:lang w:val="en-US" w:eastAsia="zh-CN"/>
        </w:rPr>
        <w:t>3.</w:t>
      </w:r>
      <w:r>
        <w:rPr>
          <w:rStyle w:val="7"/>
          <w:rFonts w:hint="eastAsia" w:ascii="黑体" w:hAnsi="黑体" w:eastAsia="黑体" w:cs="黑体"/>
          <w:b w:val="0"/>
          <w:bCs w:val="0"/>
          <w:color w:val="auto"/>
          <w:sz w:val="24"/>
          <w:szCs w:val="24"/>
        </w:rPr>
        <w:t>赔付时效（10分）</w:t>
      </w:r>
    </w:p>
    <w:p w14:paraId="73EE9CC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auto"/>
          <w:sz w:val="24"/>
          <w:szCs w:val="24"/>
        </w:rPr>
      </w:pPr>
      <w:r>
        <w:rPr>
          <w:rFonts w:hint="eastAsia" w:ascii="黑体" w:hAnsi="黑体" w:eastAsia="黑体" w:cs="黑体"/>
          <w:b w:val="0"/>
          <w:bCs w:val="0"/>
          <w:color w:val="auto"/>
          <w:sz w:val="24"/>
          <w:szCs w:val="24"/>
          <w:lang w:eastAsia="zh-CN"/>
        </w:rPr>
        <w:t>（</w:t>
      </w:r>
      <w:r>
        <w:rPr>
          <w:rFonts w:hint="eastAsia" w:ascii="黑体" w:hAnsi="黑体" w:eastAsia="黑体" w:cs="黑体"/>
          <w:b w:val="0"/>
          <w:bCs w:val="0"/>
          <w:color w:val="auto"/>
          <w:sz w:val="24"/>
          <w:szCs w:val="24"/>
          <w:lang w:val="en-US" w:eastAsia="zh-CN"/>
        </w:rPr>
        <w:t>1</w:t>
      </w:r>
      <w:r>
        <w:rPr>
          <w:rFonts w:hint="eastAsia" w:ascii="黑体" w:hAnsi="黑体" w:eastAsia="黑体" w:cs="黑体"/>
          <w:b w:val="0"/>
          <w:bCs w:val="0"/>
          <w:color w:val="auto"/>
          <w:sz w:val="24"/>
          <w:szCs w:val="24"/>
          <w:lang w:eastAsia="zh-CN"/>
        </w:rPr>
        <w:t>）</w:t>
      </w:r>
      <w:r>
        <w:rPr>
          <w:rFonts w:hint="eastAsia" w:ascii="黑体" w:hAnsi="黑体" w:eastAsia="黑体" w:cs="黑体"/>
          <w:b w:val="0"/>
          <w:bCs w:val="0"/>
          <w:color w:val="auto"/>
          <w:sz w:val="24"/>
          <w:szCs w:val="24"/>
        </w:rPr>
        <w:t>公示结束后</w:t>
      </w:r>
      <w:r>
        <w:rPr>
          <w:rStyle w:val="7"/>
          <w:rFonts w:hint="eastAsia" w:ascii="黑体" w:hAnsi="黑体" w:eastAsia="黑体" w:cs="黑体"/>
          <w:b w:val="0"/>
          <w:bCs w:val="0"/>
          <w:color w:val="auto"/>
          <w:sz w:val="24"/>
          <w:szCs w:val="24"/>
        </w:rPr>
        <w:t>5个工作日内赔付到账</w:t>
      </w:r>
      <w:r>
        <w:rPr>
          <w:rFonts w:hint="eastAsia" w:ascii="黑体" w:hAnsi="黑体" w:eastAsia="黑体" w:cs="黑体"/>
          <w:b w:val="0"/>
          <w:bCs w:val="0"/>
          <w:color w:val="auto"/>
          <w:sz w:val="24"/>
          <w:szCs w:val="24"/>
        </w:rPr>
        <w:t>（最长不超10个工作日），每逾期1次扣</w:t>
      </w:r>
      <w:r>
        <w:rPr>
          <w:rFonts w:hint="eastAsia" w:ascii="黑体" w:hAnsi="黑体" w:eastAsia="黑体" w:cs="黑体"/>
          <w:b w:val="0"/>
          <w:bCs w:val="0"/>
          <w:color w:val="auto"/>
          <w:sz w:val="24"/>
          <w:szCs w:val="24"/>
          <w:lang w:val="en-US" w:eastAsia="zh-CN"/>
        </w:rPr>
        <w:t>1</w:t>
      </w:r>
      <w:r>
        <w:rPr>
          <w:rFonts w:hint="eastAsia" w:ascii="黑体" w:hAnsi="黑体" w:eastAsia="黑体" w:cs="黑体"/>
          <w:b w:val="0"/>
          <w:bCs w:val="0"/>
          <w:color w:val="auto"/>
          <w:sz w:val="24"/>
          <w:szCs w:val="24"/>
        </w:rPr>
        <w:t>分，扣完为止。</w:t>
      </w:r>
    </w:p>
    <w:p w14:paraId="57242A0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auto"/>
          <w:sz w:val="24"/>
          <w:szCs w:val="24"/>
          <w:lang w:val="en-US" w:eastAsia="zh-CN"/>
        </w:rPr>
        <w:t>4.</w:t>
      </w:r>
      <w:r>
        <w:rPr>
          <w:rStyle w:val="7"/>
          <w:rFonts w:hint="eastAsia" w:ascii="黑体" w:hAnsi="黑体" w:eastAsia="黑体" w:cs="黑体"/>
          <w:b w:val="0"/>
          <w:bCs w:val="0"/>
          <w:color w:val="auto"/>
          <w:sz w:val="24"/>
          <w:szCs w:val="24"/>
        </w:rPr>
        <w:t>全程时限（</w:t>
      </w:r>
      <w:r>
        <w:rPr>
          <w:rStyle w:val="7"/>
          <w:rFonts w:hint="eastAsia" w:ascii="黑体" w:hAnsi="黑体" w:eastAsia="黑体" w:cs="黑体"/>
          <w:b w:val="0"/>
          <w:bCs w:val="0"/>
          <w:color w:val="auto"/>
          <w:sz w:val="24"/>
          <w:szCs w:val="24"/>
          <w:lang w:val="en-US" w:eastAsia="zh-CN"/>
        </w:rPr>
        <w:t>15</w:t>
      </w:r>
      <w:r>
        <w:rPr>
          <w:rStyle w:val="7"/>
          <w:rFonts w:hint="eastAsia" w:ascii="黑体" w:hAnsi="黑体" w:eastAsia="黑体" w:cs="黑体"/>
          <w:b w:val="0"/>
          <w:bCs w:val="0"/>
          <w:color w:val="000000"/>
          <w:sz w:val="24"/>
          <w:szCs w:val="24"/>
        </w:rPr>
        <w:t>分）</w:t>
      </w:r>
    </w:p>
    <w:p w14:paraId="12948F2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rPr>
        <w:t>农户申请到赔付到账</w:t>
      </w:r>
      <w:r>
        <w:rPr>
          <w:rStyle w:val="7"/>
          <w:rFonts w:hint="eastAsia" w:ascii="黑体" w:hAnsi="黑体" w:eastAsia="黑体" w:cs="黑体"/>
          <w:b w:val="0"/>
          <w:bCs w:val="0"/>
          <w:color w:val="000000"/>
          <w:sz w:val="24"/>
          <w:szCs w:val="24"/>
        </w:rPr>
        <w:t>不超过1个月</w:t>
      </w:r>
      <w:r>
        <w:rPr>
          <w:rFonts w:hint="eastAsia" w:ascii="黑体" w:hAnsi="黑体" w:eastAsia="黑体" w:cs="黑体"/>
          <w:b w:val="0"/>
          <w:bCs w:val="0"/>
          <w:color w:val="000000"/>
          <w:sz w:val="24"/>
          <w:szCs w:val="24"/>
        </w:rPr>
        <w:t>，超期1次扣</w:t>
      </w:r>
      <w:r>
        <w:rPr>
          <w:rFonts w:hint="eastAsia" w:ascii="黑体" w:hAnsi="黑体" w:eastAsia="黑体" w:cs="黑体"/>
          <w:b w:val="0"/>
          <w:bCs w:val="0"/>
          <w:color w:val="000000"/>
          <w:sz w:val="24"/>
          <w:szCs w:val="24"/>
          <w:lang w:val="en-US" w:eastAsia="zh-CN"/>
        </w:rPr>
        <w:t>3</w:t>
      </w:r>
      <w:r>
        <w:rPr>
          <w:rFonts w:hint="eastAsia" w:ascii="黑体" w:hAnsi="黑体" w:eastAsia="黑体" w:cs="黑体"/>
          <w:b w:val="0"/>
          <w:bCs w:val="0"/>
          <w:color w:val="000000"/>
          <w:sz w:val="24"/>
          <w:szCs w:val="24"/>
        </w:rPr>
        <w:t>分，扣完为止。</w:t>
      </w:r>
    </w:p>
    <w:p w14:paraId="48E0172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（二）政策执行与合规性（</w:t>
      </w:r>
      <w:r>
        <w:rPr>
          <w:rFonts w:hint="eastAsia" w:ascii="黑体" w:hAnsi="黑体" w:eastAsia="黑体" w:cs="黑体"/>
          <w:b w:val="0"/>
          <w:bCs w:val="0"/>
          <w:color w:val="000000"/>
          <w:sz w:val="24"/>
          <w:szCs w:val="24"/>
          <w:lang w:val="en-US" w:eastAsia="zh-CN"/>
        </w:rPr>
        <w:t>20</w:t>
      </w:r>
      <w:r>
        <w:rPr>
          <w:rFonts w:hint="eastAsia" w:ascii="黑体" w:hAnsi="黑体" w:eastAsia="黑体" w:cs="黑体"/>
          <w:b w:val="0"/>
          <w:bCs w:val="0"/>
          <w:color w:val="000000"/>
          <w:sz w:val="24"/>
          <w:szCs w:val="24"/>
        </w:rPr>
        <w:t>分）</w:t>
      </w:r>
    </w:p>
    <w:p w14:paraId="28B17DD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1.</w:t>
      </w:r>
      <w:r>
        <w:rPr>
          <w:rStyle w:val="7"/>
          <w:rFonts w:hint="eastAsia" w:ascii="黑体" w:hAnsi="黑体" w:eastAsia="黑体" w:cs="黑体"/>
          <w:b w:val="0"/>
          <w:bCs w:val="0"/>
          <w:color w:val="000000"/>
          <w:sz w:val="24"/>
          <w:szCs w:val="24"/>
        </w:rPr>
        <w:t>赔付标准执行（10分）</w:t>
      </w:r>
    </w:p>
    <w:p w14:paraId="09940D8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rPr>
        <w:t>严格按因病、因学、因灾标准赔付，出现错赔、漏赔、少赔、多赔1次扣5分，扣完为止。</w:t>
      </w:r>
    </w:p>
    <w:p w14:paraId="343E59B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2.</w:t>
      </w:r>
      <w:r>
        <w:rPr>
          <w:rStyle w:val="7"/>
          <w:rFonts w:hint="eastAsia" w:ascii="黑体" w:hAnsi="黑体" w:eastAsia="黑体" w:cs="黑体"/>
          <w:b w:val="0"/>
          <w:bCs w:val="0"/>
          <w:color w:val="000000"/>
          <w:sz w:val="24"/>
          <w:szCs w:val="24"/>
        </w:rPr>
        <w:t>从严审核执行（5分）</w:t>
      </w:r>
    </w:p>
    <w:p w14:paraId="3F2BA88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rPr>
        <w:t>严格执行附件5从严审核情形，违规纳入1次扣5分。</w:t>
      </w:r>
    </w:p>
    <w:p w14:paraId="555CC72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4.</w:t>
      </w:r>
      <w:r>
        <w:rPr>
          <w:rStyle w:val="7"/>
          <w:rFonts w:hint="eastAsia" w:ascii="黑体" w:hAnsi="黑体" w:eastAsia="黑体" w:cs="黑体"/>
          <w:b w:val="0"/>
          <w:bCs w:val="0"/>
          <w:color w:val="000000"/>
          <w:sz w:val="24"/>
          <w:szCs w:val="24"/>
        </w:rPr>
        <w:t>公示公开（</w:t>
      </w:r>
      <w:r>
        <w:rPr>
          <w:rStyle w:val="7"/>
          <w:rFonts w:hint="eastAsia" w:ascii="黑体" w:hAnsi="黑体" w:eastAsia="黑体" w:cs="黑体"/>
          <w:b w:val="0"/>
          <w:bCs w:val="0"/>
          <w:color w:val="000000"/>
          <w:sz w:val="24"/>
          <w:szCs w:val="24"/>
          <w:lang w:val="en-US" w:eastAsia="zh-CN"/>
        </w:rPr>
        <w:t>5</w:t>
      </w:r>
      <w:r>
        <w:rPr>
          <w:rStyle w:val="7"/>
          <w:rFonts w:hint="eastAsia" w:ascii="黑体" w:hAnsi="黑体" w:eastAsia="黑体" w:cs="黑体"/>
          <w:b w:val="0"/>
          <w:bCs w:val="0"/>
          <w:color w:val="000000"/>
          <w:sz w:val="24"/>
          <w:szCs w:val="24"/>
        </w:rPr>
        <w:t>分）</w:t>
      </w:r>
    </w:p>
    <w:p w14:paraId="0336162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rPr>
        <w:t>按要求村级公示3天，未公示、公示不全、未留痕1次扣</w:t>
      </w:r>
      <w:r>
        <w:rPr>
          <w:rFonts w:hint="eastAsia" w:ascii="黑体" w:hAnsi="黑体" w:eastAsia="黑体" w:cs="黑体"/>
          <w:b w:val="0"/>
          <w:bCs w:val="0"/>
          <w:color w:val="000000"/>
          <w:sz w:val="24"/>
          <w:szCs w:val="24"/>
          <w:lang w:val="en-US" w:eastAsia="zh-CN"/>
        </w:rPr>
        <w:t>2</w:t>
      </w:r>
      <w:r>
        <w:rPr>
          <w:rFonts w:hint="eastAsia" w:ascii="黑体" w:hAnsi="黑体" w:eastAsia="黑体" w:cs="黑体"/>
          <w:b w:val="0"/>
          <w:bCs w:val="0"/>
          <w:color w:val="000000"/>
          <w:sz w:val="24"/>
          <w:szCs w:val="24"/>
        </w:rPr>
        <w:t>分，扣完为止。</w:t>
      </w:r>
    </w:p>
    <w:p w14:paraId="2A8917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（三）档案与数据报送（1</w:t>
      </w:r>
      <w:r>
        <w:rPr>
          <w:rFonts w:hint="eastAsia" w:ascii="黑体" w:hAnsi="黑体" w:eastAsia="黑体" w:cs="黑体"/>
          <w:b w:val="0"/>
          <w:bCs w:val="0"/>
          <w:color w:val="000000"/>
          <w:sz w:val="24"/>
          <w:szCs w:val="24"/>
          <w:lang w:val="en-US" w:eastAsia="zh-CN"/>
        </w:rPr>
        <w:t>5</w:t>
      </w:r>
      <w:r>
        <w:rPr>
          <w:rFonts w:hint="eastAsia" w:ascii="黑体" w:hAnsi="黑体" w:eastAsia="黑体" w:cs="黑体"/>
          <w:b w:val="0"/>
          <w:bCs w:val="0"/>
          <w:color w:val="000000"/>
          <w:sz w:val="24"/>
          <w:szCs w:val="24"/>
        </w:rPr>
        <w:t>分）</w:t>
      </w:r>
    </w:p>
    <w:p w14:paraId="7AB5477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1.档</w:t>
      </w:r>
      <w:r>
        <w:rPr>
          <w:rStyle w:val="7"/>
          <w:rFonts w:hint="eastAsia" w:ascii="黑体" w:hAnsi="黑体" w:eastAsia="黑体" w:cs="黑体"/>
          <w:b w:val="0"/>
          <w:bCs w:val="0"/>
          <w:color w:val="000000"/>
          <w:sz w:val="24"/>
          <w:szCs w:val="24"/>
        </w:rPr>
        <w:t>案建档（</w:t>
      </w:r>
      <w:r>
        <w:rPr>
          <w:rStyle w:val="7"/>
          <w:rFonts w:hint="eastAsia" w:ascii="黑体" w:hAnsi="黑体" w:eastAsia="黑体" w:cs="黑体"/>
          <w:b w:val="0"/>
          <w:bCs w:val="0"/>
          <w:color w:val="000000"/>
          <w:sz w:val="24"/>
          <w:szCs w:val="24"/>
          <w:lang w:val="en-US" w:eastAsia="zh-CN"/>
        </w:rPr>
        <w:t>7</w:t>
      </w:r>
      <w:r>
        <w:rPr>
          <w:rStyle w:val="7"/>
          <w:rFonts w:hint="eastAsia" w:ascii="黑体" w:hAnsi="黑体" w:eastAsia="黑体" w:cs="黑体"/>
          <w:b w:val="0"/>
          <w:bCs w:val="0"/>
          <w:color w:val="000000"/>
          <w:sz w:val="24"/>
          <w:szCs w:val="24"/>
        </w:rPr>
        <w:t>分）</w:t>
      </w:r>
    </w:p>
    <w:p w14:paraId="651EDBF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rPr>
        <w:t>一案一档、资料齐全，缺档、资料不全1件扣2分，扣完为止。</w:t>
      </w:r>
    </w:p>
    <w:p w14:paraId="0207020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2.</w:t>
      </w:r>
      <w:r>
        <w:rPr>
          <w:rStyle w:val="7"/>
          <w:rFonts w:hint="eastAsia" w:ascii="黑体" w:hAnsi="黑体" w:eastAsia="黑体" w:cs="黑体"/>
          <w:b w:val="0"/>
          <w:bCs w:val="0"/>
          <w:color w:val="000000"/>
          <w:sz w:val="24"/>
          <w:szCs w:val="24"/>
        </w:rPr>
        <w:t>数据报送（8分）</w:t>
      </w:r>
    </w:p>
    <w:p w14:paraId="44BC695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rPr>
        <w:t>按要求定期报送理赔数据、台账、总结，迟报、错报、漏报1次扣2分，扣完为止。</w:t>
      </w:r>
    </w:p>
    <w:p w14:paraId="0591F8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（四）协同配合与宣传（12分）</w:t>
      </w:r>
    </w:p>
    <w:p w14:paraId="0D27DB5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1.</w:t>
      </w:r>
      <w:r>
        <w:rPr>
          <w:rStyle w:val="7"/>
          <w:rFonts w:hint="eastAsia" w:ascii="黑体" w:hAnsi="黑体" w:eastAsia="黑体" w:cs="黑体"/>
          <w:b w:val="0"/>
          <w:bCs w:val="0"/>
          <w:color w:val="000000"/>
          <w:sz w:val="24"/>
          <w:szCs w:val="24"/>
        </w:rPr>
        <w:t>部门协同（6分）</w:t>
      </w:r>
    </w:p>
    <w:p w14:paraId="5CE1E49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rPr>
        <w:t>配合乡镇、部门动态监测、数据比对、核查认定，不配合扣3–6分，扣完为止。</w:t>
      </w:r>
    </w:p>
    <w:p w14:paraId="55C4C2A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2.</w:t>
      </w:r>
      <w:r>
        <w:rPr>
          <w:rStyle w:val="7"/>
          <w:rFonts w:hint="eastAsia" w:ascii="黑体" w:hAnsi="黑体" w:eastAsia="黑体" w:cs="黑体"/>
          <w:b w:val="0"/>
          <w:bCs w:val="0"/>
          <w:color w:val="000000"/>
          <w:sz w:val="24"/>
          <w:szCs w:val="24"/>
        </w:rPr>
        <w:t>政策宣传（6分）</w:t>
      </w:r>
    </w:p>
    <w:p w14:paraId="7670854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lang w:eastAsia="zh-CN"/>
        </w:rPr>
        <w:t>）</w:t>
      </w:r>
      <w:r>
        <w:rPr>
          <w:rFonts w:hint="eastAsia" w:ascii="黑体" w:hAnsi="黑体" w:eastAsia="黑体" w:cs="黑体"/>
          <w:b w:val="0"/>
          <w:bCs w:val="0"/>
          <w:color w:val="000000"/>
          <w:sz w:val="24"/>
          <w:szCs w:val="24"/>
        </w:rPr>
        <w:t>按要求展政策宣传、解读、入户服务，落实不到位扣3–6分，扣完为止。</w:t>
      </w:r>
    </w:p>
    <w:p w14:paraId="0AC7232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（五）投诉与舆情（8分）</w:t>
      </w:r>
    </w:p>
    <w:p w14:paraId="115B206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rPr>
        <w:t>有效投诉</w:t>
      </w:r>
      <w:r>
        <w:rPr>
          <w:rStyle w:val="7"/>
          <w:rFonts w:hint="eastAsia" w:ascii="黑体" w:hAnsi="黑体" w:eastAsia="黑体" w:cs="黑体"/>
          <w:b w:val="0"/>
          <w:bCs w:val="0"/>
          <w:color w:val="000000"/>
          <w:sz w:val="24"/>
          <w:szCs w:val="24"/>
        </w:rPr>
        <w:t>1起扣4分</w:t>
      </w:r>
      <w:r>
        <w:rPr>
          <w:rFonts w:hint="eastAsia" w:ascii="黑体" w:hAnsi="黑体" w:eastAsia="黑体" w:cs="黑体"/>
          <w:b w:val="0"/>
          <w:bCs w:val="0"/>
          <w:color w:val="000000"/>
          <w:sz w:val="24"/>
          <w:szCs w:val="24"/>
        </w:rPr>
        <w:t>，引发舆情或群众上访</w:t>
      </w:r>
      <w:r>
        <w:rPr>
          <w:rStyle w:val="7"/>
          <w:rFonts w:hint="eastAsia" w:ascii="黑体" w:hAnsi="黑体" w:eastAsia="黑体" w:cs="黑体"/>
          <w:b w:val="0"/>
          <w:bCs w:val="0"/>
          <w:color w:val="000000"/>
          <w:sz w:val="24"/>
          <w:szCs w:val="24"/>
        </w:rPr>
        <w:t>1次扣8分</w:t>
      </w:r>
      <w:r>
        <w:rPr>
          <w:rFonts w:hint="eastAsia" w:ascii="黑体" w:hAnsi="黑体" w:eastAsia="黑体" w:cs="黑体"/>
          <w:b w:val="0"/>
          <w:bCs w:val="0"/>
          <w:color w:val="000000"/>
          <w:sz w:val="24"/>
          <w:szCs w:val="24"/>
        </w:rPr>
        <w:t>，扣完为止。</w:t>
      </w:r>
    </w:p>
    <w:p w14:paraId="5866CAC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三、考核等级划分</w:t>
      </w:r>
    </w:p>
    <w:p w14:paraId="519A39F4">
      <w:pPr>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rPr>
        <w:t>优秀</w:t>
      </w:r>
      <w:r>
        <w:rPr>
          <w:rFonts w:hint="eastAsia" w:ascii="黑体" w:hAnsi="黑体" w:eastAsia="黑体" w:cs="黑体"/>
          <w:b w:val="0"/>
          <w:bCs w:val="0"/>
          <w:color w:val="000000"/>
          <w:sz w:val="24"/>
          <w:szCs w:val="24"/>
        </w:rPr>
        <w:t>：90分（含）以上</w:t>
      </w:r>
    </w:p>
    <w:p w14:paraId="1BDDEA72">
      <w:pPr>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rPr>
        <w:t>合格</w:t>
      </w:r>
      <w:r>
        <w:rPr>
          <w:rFonts w:hint="eastAsia" w:ascii="黑体" w:hAnsi="黑体" w:eastAsia="黑体" w:cs="黑体"/>
          <w:b w:val="0"/>
          <w:bCs w:val="0"/>
          <w:color w:val="000000"/>
          <w:sz w:val="24"/>
          <w:szCs w:val="24"/>
        </w:rPr>
        <w:t>：70分（含）—90分</w:t>
      </w:r>
    </w:p>
    <w:p w14:paraId="7FB6798C">
      <w:pPr>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rPr>
        <w:t>不合格</w:t>
      </w:r>
      <w:r>
        <w:rPr>
          <w:rFonts w:hint="eastAsia" w:ascii="黑体" w:hAnsi="黑体" w:eastAsia="黑体" w:cs="黑体"/>
          <w:b w:val="0"/>
          <w:bCs w:val="0"/>
          <w:color w:val="000000"/>
          <w:sz w:val="24"/>
          <w:szCs w:val="24"/>
        </w:rPr>
        <w:t>：70分以下</w:t>
      </w:r>
    </w:p>
    <w:p w14:paraId="0D68CD0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四、一票否决项（直接判定不合格）</w:t>
      </w:r>
    </w:p>
    <w:p w14:paraId="297F184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kern w:val="0"/>
          <w:sz w:val="24"/>
          <w:szCs w:val="24"/>
          <w:lang w:val="en-US" w:eastAsia="zh-CN" w:bidi="ar"/>
        </w:rPr>
        <w:t>出现以下任一情形，</w:t>
      </w:r>
      <w:r>
        <w:rPr>
          <w:rStyle w:val="7"/>
          <w:rFonts w:hint="eastAsia" w:ascii="黑体" w:hAnsi="黑体" w:eastAsia="黑体" w:cs="黑体"/>
          <w:b w:val="0"/>
          <w:bCs w:val="0"/>
          <w:color w:val="000000"/>
          <w:kern w:val="0"/>
          <w:sz w:val="24"/>
          <w:szCs w:val="24"/>
          <w:lang w:val="en-US" w:eastAsia="zh-CN" w:bidi="ar"/>
        </w:rPr>
        <w:t>年度考核直接不合格</w:t>
      </w:r>
      <w:r>
        <w:rPr>
          <w:rFonts w:hint="eastAsia" w:ascii="黑体" w:hAnsi="黑体" w:eastAsia="黑体" w:cs="黑体"/>
          <w:b w:val="0"/>
          <w:bCs w:val="0"/>
          <w:color w:val="000000"/>
          <w:kern w:val="0"/>
          <w:sz w:val="24"/>
          <w:szCs w:val="24"/>
          <w:lang w:val="en-US" w:eastAsia="zh-CN" w:bidi="ar"/>
        </w:rPr>
        <w:t>：</w:t>
      </w:r>
    </w:p>
    <w:p w14:paraId="168B365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val="en-US" w:eastAsia="zh-CN"/>
        </w:rPr>
        <w:t>1.</w:t>
      </w:r>
      <w:r>
        <w:rPr>
          <w:rFonts w:hint="eastAsia" w:ascii="黑体" w:hAnsi="黑体" w:eastAsia="黑体" w:cs="黑体"/>
          <w:b w:val="0"/>
          <w:bCs w:val="0"/>
          <w:color w:val="000000"/>
          <w:sz w:val="24"/>
          <w:szCs w:val="24"/>
        </w:rPr>
        <w:t>发生</w:t>
      </w:r>
      <w:r>
        <w:rPr>
          <w:rStyle w:val="7"/>
          <w:rFonts w:hint="eastAsia" w:ascii="黑体" w:hAnsi="黑体" w:eastAsia="黑体" w:cs="黑体"/>
          <w:b w:val="0"/>
          <w:bCs w:val="0"/>
          <w:color w:val="000000"/>
          <w:sz w:val="24"/>
          <w:szCs w:val="24"/>
        </w:rPr>
        <w:t>弄虚作假、骗取保费、套取理赔金</w:t>
      </w:r>
      <w:r>
        <w:rPr>
          <w:rFonts w:hint="eastAsia" w:ascii="黑体" w:hAnsi="黑体" w:eastAsia="黑体" w:cs="黑体"/>
          <w:b w:val="0"/>
          <w:bCs w:val="0"/>
          <w:color w:val="000000"/>
          <w:sz w:val="24"/>
          <w:szCs w:val="24"/>
        </w:rPr>
        <w:t>等违规行为。</w:t>
      </w:r>
    </w:p>
    <w:p w14:paraId="28BE4B3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val="en-US" w:eastAsia="zh-CN"/>
        </w:rPr>
        <w:t>2.</w:t>
      </w:r>
      <w:r>
        <w:rPr>
          <w:rFonts w:hint="eastAsia" w:ascii="黑体" w:hAnsi="黑体" w:eastAsia="黑体" w:cs="黑体"/>
          <w:b w:val="0"/>
          <w:bCs w:val="0"/>
          <w:color w:val="000000"/>
          <w:sz w:val="24"/>
          <w:szCs w:val="24"/>
        </w:rPr>
        <w:t>拒绝理赔、无故拖延赔付，造成</w:t>
      </w:r>
      <w:r>
        <w:rPr>
          <w:rStyle w:val="7"/>
          <w:rFonts w:hint="eastAsia" w:ascii="黑体" w:hAnsi="黑体" w:eastAsia="黑体" w:cs="黑体"/>
          <w:b w:val="0"/>
          <w:bCs w:val="0"/>
          <w:color w:val="000000"/>
          <w:sz w:val="24"/>
          <w:szCs w:val="24"/>
        </w:rPr>
        <w:t>严重群众投诉或负面舆情</w:t>
      </w:r>
      <w:r>
        <w:rPr>
          <w:rFonts w:hint="eastAsia" w:ascii="黑体" w:hAnsi="黑体" w:eastAsia="黑体" w:cs="黑体"/>
          <w:b w:val="0"/>
          <w:bCs w:val="0"/>
          <w:color w:val="000000"/>
          <w:sz w:val="24"/>
          <w:szCs w:val="24"/>
        </w:rPr>
        <w:t>。</w:t>
      </w:r>
    </w:p>
    <w:p w14:paraId="4809A1D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val="en-US" w:eastAsia="zh-CN"/>
        </w:rPr>
        <w:t>3.</w:t>
      </w:r>
      <w:r>
        <w:rPr>
          <w:rFonts w:hint="eastAsia" w:ascii="黑体" w:hAnsi="黑体" w:eastAsia="黑体" w:cs="黑体"/>
          <w:b w:val="0"/>
          <w:bCs w:val="0"/>
          <w:color w:val="000000"/>
          <w:sz w:val="24"/>
          <w:szCs w:val="24"/>
        </w:rPr>
        <w:t>拒不执行考核整改要求，拒不配合监管部门工作。</w:t>
      </w:r>
    </w:p>
    <w:p w14:paraId="210D42F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val="en-US" w:eastAsia="zh-CN"/>
        </w:rPr>
        <w:t>4.</w:t>
      </w:r>
      <w:r>
        <w:rPr>
          <w:rFonts w:hint="eastAsia" w:ascii="黑体" w:hAnsi="黑体" w:eastAsia="黑体" w:cs="黑体"/>
          <w:b w:val="0"/>
          <w:bCs w:val="0"/>
          <w:color w:val="000000"/>
          <w:sz w:val="24"/>
          <w:szCs w:val="24"/>
        </w:rPr>
        <w:t>被监管部门处罚，或被媒体曝光造成不良社会影响。</w:t>
      </w:r>
    </w:p>
    <w:p w14:paraId="4F208EB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420" w:leftChars="0" w:right="0" w:rightChars="0"/>
        <w:jc w:val="left"/>
        <w:textAlignment w:val="auto"/>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lang w:val="en-US" w:eastAsia="zh-CN"/>
        </w:rPr>
        <w:t>5.</w:t>
      </w:r>
      <w:r>
        <w:rPr>
          <w:rFonts w:hint="eastAsia" w:ascii="黑体" w:hAnsi="黑体" w:eastAsia="黑体" w:cs="黑体"/>
          <w:b w:val="0"/>
          <w:bCs w:val="0"/>
          <w:color w:val="000000"/>
          <w:sz w:val="24"/>
          <w:szCs w:val="24"/>
        </w:rPr>
        <w:t>未按要求缴纳履约保证金或出现重大违约。</w:t>
      </w:r>
    </w:p>
    <w:p w14:paraId="204A15B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五、考核程序</w:t>
      </w:r>
    </w:p>
    <w:p w14:paraId="73778CB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1.</w:t>
      </w:r>
      <w:r>
        <w:rPr>
          <w:rStyle w:val="7"/>
          <w:rFonts w:hint="eastAsia" w:ascii="黑体" w:hAnsi="黑体" w:eastAsia="黑体" w:cs="黑体"/>
          <w:b w:val="0"/>
          <w:bCs w:val="0"/>
          <w:color w:val="000000"/>
          <w:sz w:val="24"/>
          <w:szCs w:val="24"/>
        </w:rPr>
        <w:t>自查自评</w:t>
      </w:r>
      <w:r>
        <w:rPr>
          <w:rFonts w:hint="eastAsia" w:ascii="黑体" w:hAnsi="黑体" w:eastAsia="黑体" w:cs="黑体"/>
          <w:b w:val="0"/>
          <w:bCs w:val="0"/>
          <w:color w:val="000000"/>
          <w:sz w:val="24"/>
          <w:szCs w:val="24"/>
        </w:rPr>
        <w:t>：承保公司每年</w:t>
      </w:r>
      <w:r>
        <w:rPr>
          <w:rFonts w:hint="eastAsia" w:ascii="黑体" w:hAnsi="黑体" w:eastAsia="黑体" w:cs="黑体"/>
          <w:b w:val="0"/>
          <w:bCs w:val="0"/>
          <w:color w:val="000000"/>
          <w:sz w:val="24"/>
          <w:szCs w:val="24"/>
          <w:lang w:val="en-US" w:eastAsia="zh-CN"/>
        </w:rPr>
        <w:t>5</w:t>
      </w:r>
      <w:r>
        <w:rPr>
          <w:rFonts w:hint="eastAsia" w:ascii="黑体" w:hAnsi="黑体" w:eastAsia="黑体" w:cs="黑体"/>
          <w:b w:val="0"/>
          <w:bCs w:val="0"/>
          <w:color w:val="000000"/>
          <w:sz w:val="24"/>
          <w:szCs w:val="24"/>
        </w:rPr>
        <w:t>月5日前完成上年度自查并提交材料。</w:t>
      </w:r>
    </w:p>
    <w:p w14:paraId="4A0F73B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2.</w:t>
      </w:r>
      <w:r>
        <w:rPr>
          <w:rStyle w:val="7"/>
          <w:rFonts w:hint="eastAsia" w:ascii="黑体" w:hAnsi="黑体" w:eastAsia="黑体" w:cs="黑体"/>
          <w:b w:val="0"/>
          <w:bCs w:val="0"/>
          <w:color w:val="000000"/>
          <w:sz w:val="24"/>
          <w:szCs w:val="24"/>
        </w:rPr>
        <w:t>资料核查</w:t>
      </w:r>
      <w:r>
        <w:rPr>
          <w:rFonts w:hint="eastAsia" w:ascii="黑体" w:hAnsi="黑体" w:eastAsia="黑体" w:cs="黑体"/>
          <w:b w:val="0"/>
          <w:bCs w:val="0"/>
          <w:color w:val="000000"/>
          <w:sz w:val="24"/>
          <w:szCs w:val="24"/>
        </w:rPr>
        <w:t>：考核小组核查档案、数据、赔付记录、公示材料等。</w:t>
      </w:r>
    </w:p>
    <w:p w14:paraId="3A2D0B5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3.</w:t>
      </w:r>
      <w:r>
        <w:rPr>
          <w:rStyle w:val="7"/>
          <w:rFonts w:hint="eastAsia" w:ascii="黑体" w:hAnsi="黑体" w:eastAsia="黑体" w:cs="黑体"/>
          <w:b w:val="0"/>
          <w:bCs w:val="0"/>
          <w:color w:val="000000"/>
          <w:sz w:val="24"/>
          <w:szCs w:val="24"/>
        </w:rPr>
        <w:t>实地抽查</w:t>
      </w:r>
      <w:r>
        <w:rPr>
          <w:rFonts w:hint="eastAsia" w:ascii="黑体" w:hAnsi="黑体" w:eastAsia="黑体" w:cs="黑体"/>
          <w:b w:val="0"/>
          <w:bCs w:val="0"/>
          <w:color w:val="000000"/>
          <w:sz w:val="24"/>
          <w:szCs w:val="24"/>
        </w:rPr>
        <w:t>：随机抽查乡镇、村居、农户，核实服务与理赔真实性。</w:t>
      </w:r>
    </w:p>
    <w:p w14:paraId="69225704">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4.</w:t>
      </w:r>
      <w:r>
        <w:rPr>
          <w:rStyle w:val="7"/>
          <w:rFonts w:hint="eastAsia" w:ascii="黑体" w:hAnsi="黑体" w:eastAsia="黑体" w:cs="黑体"/>
          <w:b w:val="0"/>
          <w:bCs w:val="0"/>
          <w:color w:val="000000"/>
          <w:sz w:val="24"/>
          <w:szCs w:val="24"/>
        </w:rPr>
        <w:t>综合评分</w:t>
      </w:r>
      <w:r>
        <w:rPr>
          <w:rFonts w:hint="eastAsia" w:ascii="黑体" w:hAnsi="黑体" w:eastAsia="黑体" w:cs="黑体"/>
          <w:b w:val="0"/>
          <w:bCs w:val="0"/>
          <w:color w:val="000000"/>
          <w:sz w:val="24"/>
          <w:szCs w:val="24"/>
        </w:rPr>
        <w:t>：考核小组汇总打分，确定考核等级。</w:t>
      </w:r>
    </w:p>
    <w:p w14:paraId="4D3568F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5.</w:t>
      </w:r>
      <w:r>
        <w:rPr>
          <w:rStyle w:val="7"/>
          <w:rFonts w:hint="eastAsia" w:ascii="黑体" w:hAnsi="黑体" w:eastAsia="黑体" w:cs="黑体"/>
          <w:b w:val="0"/>
          <w:bCs w:val="0"/>
          <w:color w:val="000000"/>
          <w:sz w:val="24"/>
          <w:szCs w:val="24"/>
        </w:rPr>
        <w:t>结果反馈</w:t>
      </w:r>
      <w:r>
        <w:rPr>
          <w:rFonts w:hint="eastAsia" w:ascii="黑体" w:hAnsi="黑体" w:eastAsia="黑体" w:cs="黑体"/>
          <w:b w:val="0"/>
          <w:bCs w:val="0"/>
          <w:color w:val="000000"/>
          <w:sz w:val="24"/>
          <w:szCs w:val="24"/>
        </w:rPr>
        <w:t>：向承保公司反馈结果，公司可在3个工作日内申诉复核。</w:t>
      </w:r>
    </w:p>
    <w:p w14:paraId="1CC6B6D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6.</w:t>
      </w:r>
      <w:r>
        <w:rPr>
          <w:rStyle w:val="7"/>
          <w:rFonts w:hint="eastAsia" w:ascii="黑体" w:hAnsi="黑体" w:eastAsia="黑体" w:cs="黑体"/>
          <w:b w:val="0"/>
          <w:bCs w:val="0"/>
          <w:color w:val="000000"/>
          <w:sz w:val="24"/>
          <w:szCs w:val="24"/>
        </w:rPr>
        <w:t>结果公示</w:t>
      </w:r>
      <w:r>
        <w:rPr>
          <w:rFonts w:hint="eastAsia" w:ascii="黑体" w:hAnsi="黑体" w:eastAsia="黑体" w:cs="黑体"/>
          <w:b w:val="0"/>
          <w:bCs w:val="0"/>
          <w:color w:val="000000"/>
          <w:sz w:val="24"/>
          <w:szCs w:val="24"/>
        </w:rPr>
        <w:t>：考核结果公示无异议后，作为续约依据正式发文。</w:t>
      </w:r>
    </w:p>
    <w:p w14:paraId="4E014AE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outlineLvl w:val="9"/>
        <w:rPr>
          <w:rFonts w:hint="eastAsia" w:ascii="黑体" w:hAnsi="黑体" w:eastAsia="黑体" w:cs="黑体"/>
          <w:b w:val="0"/>
          <w:bCs w:val="0"/>
          <w:color w:val="000000"/>
          <w:sz w:val="24"/>
          <w:szCs w:val="24"/>
        </w:rPr>
      </w:pPr>
      <w:r>
        <w:rPr>
          <w:rFonts w:hint="eastAsia" w:ascii="黑体" w:hAnsi="黑体" w:eastAsia="黑体" w:cs="黑体"/>
          <w:b w:val="0"/>
          <w:bCs w:val="0"/>
          <w:color w:val="000000"/>
          <w:sz w:val="24"/>
          <w:szCs w:val="24"/>
        </w:rPr>
        <w:t>六、奖惩措施</w:t>
      </w:r>
    </w:p>
    <w:p w14:paraId="0F7AD64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1.</w:t>
      </w:r>
      <w:r>
        <w:rPr>
          <w:rStyle w:val="7"/>
          <w:rFonts w:hint="eastAsia" w:ascii="黑体" w:hAnsi="黑体" w:eastAsia="黑体" w:cs="黑体"/>
          <w:b w:val="0"/>
          <w:bCs w:val="0"/>
          <w:color w:val="000000"/>
          <w:sz w:val="24"/>
          <w:szCs w:val="24"/>
        </w:rPr>
        <w:t>考核优秀</w:t>
      </w:r>
      <w:r>
        <w:rPr>
          <w:rFonts w:hint="eastAsia" w:ascii="黑体" w:hAnsi="黑体" w:eastAsia="黑体" w:cs="黑体"/>
          <w:b w:val="0"/>
          <w:bCs w:val="0"/>
          <w:color w:val="000000"/>
          <w:sz w:val="24"/>
          <w:szCs w:val="24"/>
        </w:rPr>
        <w:t>：下一年度合作优先，可作为典型推广。</w:t>
      </w:r>
    </w:p>
    <w:p w14:paraId="7CFBE28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2.</w:t>
      </w:r>
      <w:r>
        <w:rPr>
          <w:rStyle w:val="7"/>
          <w:rFonts w:hint="eastAsia" w:ascii="黑体" w:hAnsi="黑体" w:eastAsia="黑体" w:cs="黑体"/>
          <w:b w:val="0"/>
          <w:bCs w:val="0"/>
          <w:color w:val="000000"/>
          <w:sz w:val="24"/>
          <w:szCs w:val="24"/>
        </w:rPr>
        <w:t>考核合格</w:t>
      </w:r>
      <w:r>
        <w:rPr>
          <w:rFonts w:hint="eastAsia" w:ascii="黑体" w:hAnsi="黑体" w:eastAsia="黑体" w:cs="黑体"/>
          <w:b w:val="0"/>
          <w:bCs w:val="0"/>
          <w:color w:val="000000"/>
          <w:sz w:val="24"/>
          <w:szCs w:val="24"/>
        </w:rPr>
        <w:t>：按规定续签下一年度合同。</w:t>
      </w:r>
    </w:p>
    <w:p w14:paraId="092044F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3.</w:t>
      </w:r>
      <w:r>
        <w:rPr>
          <w:rStyle w:val="7"/>
          <w:rFonts w:hint="eastAsia" w:ascii="黑体" w:hAnsi="黑体" w:eastAsia="黑体" w:cs="黑体"/>
          <w:b w:val="0"/>
          <w:bCs w:val="0"/>
          <w:color w:val="000000"/>
          <w:sz w:val="24"/>
          <w:szCs w:val="24"/>
        </w:rPr>
        <w:t>考核不合格</w:t>
      </w:r>
      <w:r>
        <w:rPr>
          <w:rFonts w:hint="eastAsia" w:ascii="黑体" w:hAnsi="黑体" w:eastAsia="黑体" w:cs="黑体"/>
          <w:b w:val="0"/>
          <w:bCs w:val="0"/>
          <w:color w:val="000000"/>
          <w:sz w:val="24"/>
          <w:szCs w:val="24"/>
        </w:rPr>
        <w:t>：</w:t>
      </w:r>
      <w:r>
        <w:rPr>
          <w:rStyle w:val="7"/>
          <w:rFonts w:hint="eastAsia" w:ascii="黑体" w:hAnsi="黑体" w:eastAsia="黑体" w:cs="黑体"/>
          <w:b w:val="0"/>
          <w:bCs w:val="0"/>
          <w:color w:val="000000"/>
          <w:sz w:val="24"/>
          <w:szCs w:val="24"/>
        </w:rPr>
        <w:t>不予续签</w:t>
      </w:r>
      <w:r>
        <w:rPr>
          <w:rFonts w:hint="eastAsia" w:ascii="黑体" w:hAnsi="黑体" w:eastAsia="黑体" w:cs="黑体"/>
          <w:b w:val="0"/>
          <w:bCs w:val="0"/>
          <w:color w:val="000000"/>
          <w:sz w:val="24"/>
          <w:szCs w:val="24"/>
        </w:rPr>
        <w:t>，终止合作，采购人依法重新组织采购。</w:t>
      </w:r>
    </w:p>
    <w:p w14:paraId="68D6882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Chars="200" w:right="0" w:rightChars="0"/>
        <w:jc w:val="left"/>
        <w:textAlignment w:val="auto"/>
        <w:rPr>
          <w:rFonts w:hint="eastAsia" w:ascii="黑体" w:hAnsi="黑体" w:eastAsia="黑体" w:cs="黑体"/>
          <w:b w:val="0"/>
          <w:bCs w:val="0"/>
          <w:color w:val="000000"/>
          <w:sz w:val="24"/>
          <w:szCs w:val="24"/>
        </w:rPr>
      </w:pPr>
      <w:r>
        <w:rPr>
          <w:rStyle w:val="7"/>
          <w:rFonts w:hint="eastAsia" w:ascii="黑体" w:hAnsi="黑体" w:eastAsia="黑体" w:cs="黑体"/>
          <w:b w:val="0"/>
          <w:bCs w:val="0"/>
          <w:color w:val="000000"/>
          <w:sz w:val="24"/>
          <w:szCs w:val="24"/>
          <w:lang w:val="en-US" w:eastAsia="zh-CN"/>
        </w:rPr>
        <w:t>4.</w:t>
      </w:r>
      <w:r>
        <w:rPr>
          <w:rStyle w:val="7"/>
          <w:rFonts w:hint="eastAsia" w:ascii="黑体" w:hAnsi="黑体" w:eastAsia="黑体" w:cs="黑体"/>
          <w:b w:val="0"/>
          <w:bCs w:val="0"/>
          <w:color w:val="000000"/>
          <w:sz w:val="24"/>
          <w:szCs w:val="24"/>
        </w:rPr>
        <w:t>违约追责</w:t>
      </w:r>
      <w:r>
        <w:rPr>
          <w:rFonts w:hint="eastAsia" w:ascii="黑体" w:hAnsi="黑体" w:eastAsia="黑体" w:cs="黑体"/>
          <w:b w:val="0"/>
          <w:bCs w:val="0"/>
          <w:color w:val="000000"/>
          <w:sz w:val="24"/>
          <w:szCs w:val="24"/>
        </w:rPr>
        <w:t>：造成损失的，按合同与履约保证金约定追偿。</w:t>
      </w:r>
    </w:p>
    <w:p w14:paraId="04EB3F56">
      <w:pPr>
        <w:keepNext w:val="0"/>
        <w:keepLines w:val="0"/>
        <w:pageBreakBefore w:val="0"/>
        <w:kinsoku/>
        <w:wordWrap/>
        <w:overflowPunct/>
        <w:topLinePunct w:val="0"/>
        <w:autoSpaceDE/>
        <w:autoSpaceDN/>
        <w:bidi w:val="0"/>
        <w:adjustRightInd/>
        <w:snapToGrid/>
        <w:spacing w:line="360" w:lineRule="auto"/>
        <w:ind w:firstLine="420" w:firstLineChars="200"/>
        <w:textAlignment w:val="auto"/>
        <w:rPr>
          <w:rFonts w:hint="eastAsia" w:ascii="黑体" w:hAnsi="黑体" w:eastAsia="黑体" w:cs="黑体"/>
          <w:b w:val="0"/>
          <w:bCs w:val="0"/>
        </w:rPr>
      </w:pPr>
    </w:p>
    <w:p w14:paraId="27B5A166">
      <w:pPr>
        <w:rPr>
          <w:rFonts w:hint="eastAsia" w:ascii="黑体" w:hAnsi="黑体" w:eastAsia="黑体" w:cs="黑体"/>
          <w:b/>
          <w:bCs/>
          <w:snapToGrid w:val="0"/>
          <w:color w:val="0000FF"/>
          <w:sz w:val="24"/>
          <w:szCs w:val="24"/>
          <w:highlight w:val="none"/>
          <w:lang w:val="en-US" w:eastAsia="zh-CN" w:bidi="ar-SA"/>
        </w:rPr>
      </w:pPr>
    </w:p>
    <w:p w14:paraId="4564F5DF">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注：以上技术/服务部分条款为基本服务要求，供应商必须全部响应（即满足或优于服务要求），否则其响应无效。</w:t>
      </w:r>
    </w:p>
    <w:p w14:paraId="5C61787F">
      <w:pPr>
        <w:pageBreakBefore w:val="0"/>
        <w:widowControl w:val="0"/>
        <w:wordWrap/>
        <w:overflowPunct/>
        <w:topLinePunct w:val="0"/>
        <w:bidi w:val="0"/>
        <w:spacing w:line="360" w:lineRule="auto"/>
        <w:rPr>
          <w:rFonts w:hint="eastAsia" w:ascii="黑体" w:hAnsi="黑体" w:eastAsia="黑体" w:cs="黑体"/>
          <w:color w:val="0000FF"/>
          <w:highlight w:val="none"/>
        </w:rPr>
      </w:pPr>
    </w:p>
    <w:p w14:paraId="6CD0063E">
      <w:pPr>
        <w:pageBreakBefore w:val="0"/>
        <w:widowControl w:val="0"/>
        <w:wordWrap/>
        <w:overflowPunct/>
        <w:topLinePunct w:val="0"/>
        <w:bidi w:val="0"/>
        <w:spacing w:before="78" w:line="360" w:lineRule="auto"/>
        <w:rPr>
          <w:rFonts w:hint="eastAsia" w:ascii="黑体" w:hAnsi="黑体" w:eastAsia="黑体" w:cs="黑体"/>
          <w:b/>
          <w:bCs/>
          <w:color w:val="auto"/>
          <w:sz w:val="24"/>
          <w:szCs w:val="24"/>
          <w:highlight w:val="none"/>
          <w:lang w:eastAsia="zh-CN"/>
        </w:rPr>
      </w:pPr>
      <w:r>
        <w:rPr>
          <w:rFonts w:hint="eastAsia" w:ascii="黑体" w:hAnsi="黑体" w:eastAsia="黑体" w:cs="黑体"/>
          <w:b/>
          <w:bCs/>
          <w:color w:val="auto"/>
          <w:spacing w:val="-6"/>
          <w:sz w:val="24"/>
          <w:szCs w:val="24"/>
          <w:highlight w:val="none"/>
          <w:lang w:eastAsia="zh-CN"/>
        </w:rPr>
        <w:t>（二）</w:t>
      </w:r>
      <w:r>
        <w:rPr>
          <w:rFonts w:hint="eastAsia" w:ascii="黑体" w:hAnsi="黑体" w:eastAsia="黑体" w:cs="黑体"/>
          <w:b/>
          <w:bCs/>
          <w:color w:val="auto"/>
          <w:spacing w:val="32"/>
          <w:sz w:val="24"/>
          <w:szCs w:val="24"/>
          <w:highlight w:val="none"/>
          <w:lang w:eastAsia="zh-CN"/>
        </w:rPr>
        <w:t xml:space="preserve"> </w:t>
      </w:r>
      <w:r>
        <w:rPr>
          <w:rFonts w:hint="eastAsia" w:ascii="黑体" w:hAnsi="黑体" w:eastAsia="黑体" w:cs="黑体"/>
          <w:b/>
          <w:bCs/>
          <w:color w:val="auto"/>
          <w:spacing w:val="-6"/>
          <w:sz w:val="24"/>
          <w:szCs w:val="24"/>
          <w:highlight w:val="none"/>
          <w:lang w:eastAsia="zh-CN"/>
        </w:rPr>
        <w:t>商务条件</w:t>
      </w:r>
    </w:p>
    <w:p w14:paraId="37B28D75">
      <w:pPr>
        <w:pageBreakBefore w:val="0"/>
        <w:widowControl w:val="0"/>
        <w:wordWrap/>
        <w:overflowPunct/>
        <w:topLinePunct w:val="0"/>
        <w:bidi w:val="0"/>
        <w:spacing w:line="360" w:lineRule="auto"/>
        <w:rPr>
          <w:rFonts w:hint="eastAsia" w:ascii="黑体" w:hAnsi="黑体" w:eastAsia="黑体" w:cs="黑体"/>
          <w:color w:val="auto"/>
          <w:highlight w:val="none"/>
          <w:lang w:eastAsia="zh-CN"/>
        </w:rPr>
      </w:pPr>
    </w:p>
    <w:p w14:paraId="5884D5D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1、付款方式：保费按年拨付、按年结算，合作期内每年保费定额保持75万元不变；当年结余的保费结转下一年度使用，不足部分由区财政补足至75万元。</w:t>
      </w:r>
    </w:p>
    <w:p w14:paraId="1890E8A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每年保险协议期满时，保险公司除提取保费应交税金外，可按照不高于合同期内保险赔付金额的10%提取运营费。扣除赔付款、应交税金、运营费后，保费若有结余，全额结转下一年度作为保费使用(若合作到期，承保单位要将结余保费及时退还区农粮局);若赔付款、应交税金、运营费等费用合计超出本年保费，超出部分由区政府与承保公司各承担50%。</w:t>
      </w:r>
    </w:p>
    <w:p w14:paraId="4C935A2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2、保险期限：保障时间为每年1月1日至12月31日，理赔申请须在次年4月30日前提交，逾期不予受理。</w:t>
      </w:r>
    </w:p>
    <w:p w14:paraId="36828C4C">
      <w:pPr>
        <w:pStyle w:val="8"/>
        <w:pageBreakBefore w:val="0"/>
        <w:widowControl w:val="0"/>
        <w:wordWrap/>
        <w:overflowPunct/>
        <w:topLinePunct w:val="0"/>
        <w:bidi w:val="0"/>
        <w:spacing w:line="360" w:lineRule="auto"/>
        <w:ind w:firstLine="480" w:firstLineChars="200"/>
        <w:jc w:val="left"/>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3、服务期：</w:t>
      </w:r>
      <w:r>
        <w:rPr>
          <w:rFonts w:hint="eastAsia" w:ascii="黑体" w:hAnsi="黑体" w:eastAsia="黑体" w:cs="黑体"/>
          <w:color w:val="auto"/>
          <w:sz w:val="24"/>
          <w:szCs w:val="24"/>
          <w:highlight w:val="none"/>
        </w:rPr>
        <w:t>本项目服务期采用“1+1+1”模式，总期限不超过三年。合同一年一签，当年预算金额为750000.00元。</w:t>
      </w:r>
    </w:p>
    <w:p w14:paraId="1AF365D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rPr>
        <w:t>服务期满后，采购人将依据考核结果决定是否续签下一年度合同。考核合格的，可续签下一年度合同；考核不合格的，不予续签，采购人将重新组织采购。后续年度预算以财政部门实际批复为准。</w:t>
      </w:r>
    </w:p>
    <w:p w14:paraId="188422F3">
      <w:pPr>
        <w:keepNext w:val="0"/>
        <w:keepLines w:val="0"/>
        <w:pageBreakBefore w:val="0"/>
        <w:widowControl w:val="0"/>
        <w:kinsoku w:val="0"/>
        <w:wordWrap/>
        <w:overflowPunct/>
        <w:topLinePunct w:val="0"/>
        <w:autoSpaceDE w:val="0"/>
        <w:autoSpaceDN w:val="0"/>
        <w:bidi w:val="0"/>
        <w:adjustRightInd w:val="0"/>
        <w:snapToGrid w:val="0"/>
        <w:spacing w:line="360" w:lineRule="auto"/>
        <w:ind w:left="479" w:leftChars="228" w:firstLine="0" w:firstLineChars="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4、服务地点：采购人指定地点。</w:t>
      </w:r>
    </w:p>
    <w:p w14:paraId="2412E65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5、报价：本项目为政策性保险服务，采用固定总价方式采购，预算金额为750000元（人民币柒拾伍万元整）。根据《鹰潭市余江区人民政府关于印发余江区接续做好防贫保险工作实施方案的通知》(余府字〔2026〕22号)“保费标准”之规定，保费标准为50元/人/年。</w:t>
      </w:r>
    </w:p>
    <w:p w14:paraId="18AF6116">
      <w:pPr>
        <w:keepNext w:val="0"/>
        <w:keepLines w:val="0"/>
        <w:pageBreakBefore w:val="0"/>
        <w:widowControl w:val="0"/>
        <w:kinsoku w:val="0"/>
        <w:wordWrap/>
        <w:overflowPunct/>
        <w:topLinePunct w:val="0"/>
        <w:autoSpaceDE w:val="0"/>
        <w:autoSpaceDN w:val="0"/>
        <w:bidi w:val="0"/>
        <w:adjustRightInd w:val="0"/>
        <w:snapToGrid w:val="0"/>
        <w:spacing w:line="360" w:lineRule="auto"/>
        <w:ind w:left="479" w:leftChars="228" w:firstLine="0" w:firstLineChars="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6、考核管理</w:t>
      </w:r>
    </w:p>
    <w:p w14:paraId="29D49DD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lang w:val="en-US" w:eastAsia="zh-CN"/>
        </w:rPr>
        <w:t>1</w:t>
      </w:r>
      <w:r>
        <w:rPr>
          <w:rFonts w:hint="eastAsia" w:ascii="黑体" w:hAnsi="黑体" w:eastAsia="黑体" w:cs="黑体"/>
          <w:color w:val="auto"/>
          <w:sz w:val="24"/>
          <w:szCs w:val="24"/>
          <w:highlight w:val="none"/>
          <w:lang w:eastAsia="zh-CN"/>
        </w:rPr>
        <w:t>）考核依据：采购人依据鹰潭市余江区防贫保险服务相关管理规定、本采购需求及服务合同约定，对承保机构进行年度履约考核。</w:t>
      </w:r>
    </w:p>
    <w:p w14:paraId="262F601F">
      <w:pPr>
        <w:keepNext w:val="0"/>
        <w:keepLines w:val="0"/>
        <w:pageBreakBefore w:val="0"/>
        <w:widowControl w:val="0"/>
        <w:kinsoku w:val="0"/>
        <w:wordWrap/>
        <w:overflowPunct/>
        <w:topLinePunct w:val="0"/>
        <w:autoSpaceDE w:val="0"/>
        <w:autoSpaceDN w:val="0"/>
        <w:bidi w:val="0"/>
        <w:adjustRightInd w:val="0"/>
        <w:snapToGrid w:val="0"/>
        <w:spacing w:line="360" w:lineRule="auto"/>
        <w:ind w:left="479" w:leftChars="228" w:firstLine="0" w:firstLineChars="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lang w:val="en-US" w:eastAsia="zh-CN"/>
        </w:rPr>
        <w:t>2</w:t>
      </w:r>
      <w:r>
        <w:rPr>
          <w:rFonts w:hint="eastAsia" w:ascii="黑体" w:hAnsi="黑体" w:eastAsia="黑体" w:cs="黑体"/>
          <w:color w:val="auto"/>
          <w:sz w:val="24"/>
          <w:szCs w:val="24"/>
          <w:highlight w:val="none"/>
          <w:lang w:eastAsia="zh-CN"/>
        </w:rPr>
        <w:t>）考核周期：以自然年度为考核周期，每年服务期满后开展上一年度综合考核。</w:t>
      </w:r>
    </w:p>
    <w:p w14:paraId="5F18D43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lang w:val="en-US" w:eastAsia="zh-CN"/>
        </w:rPr>
        <w:t>3</w:t>
      </w:r>
      <w:r>
        <w:rPr>
          <w:rFonts w:hint="eastAsia" w:ascii="黑体" w:hAnsi="黑体" w:eastAsia="黑体" w:cs="黑体"/>
          <w:color w:val="auto"/>
          <w:sz w:val="24"/>
          <w:szCs w:val="24"/>
          <w:highlight w:val="none"/>
          <w:lang w:eastAsia="zh-CN"/>
        </w:rPr>
        <w:t>）考核内容：重点考核理赔时效、服务质量、政策执行、合规运营、档案管理、数据报送、群众满意度、部门协同等内容。</w:t>
      </w:r>
    </w:p>
    <w:p w14:paraId="7F4B87E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lang w:val="en-US" w:eastAsia="zh-CN"/>
        </w:rPr>
        <w:t>4</w:t>
      </w:r>
      <w:r>
        <w:rPr>
          <w:rFonts w:hint="eastAsia" w:ascii="黑体" w:hAnsi="黑体" w:eastAsia="黑体" w:cs="黑体"/>
          <w:color w:val="auto"/>
          <w:sz w:val="24"/>
          <w:szCs w:val="24"/>
          <w:highlight w:val="none"/>
          <w:lang w:eastAsia="zh-CN"/>
        </w:rPr>
        <w:t>）考核结果：考核结果分为优秀、合格、不合格三个等级。</w:t>
      </w:r>
    </w:p>
    <w:p w14:paraId="4150D5D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lang w:val="en-US" w:eastAsia="zh-CN"/>
        </w:rPr>
        <w:t>5</w:t>
      </w:r>
      <w:r>
        <w:rPr>
          <w:rFonts w:hint="eastAsia" w:ascii="黑体" w:hAnsi="黑体" w:eastAsia="黑体" w:cs="黑体"/>
          <w:color w:val="auto"/>
          <w:sz w:val="24"/>
          <w:szCs w:val="24"/>
          <w:highlight w:val="none"/>
          <w:lang w:eastAsia="zh-CN"/>
        </w:rPr>
        <w:t>） 结果运用：</w:t>
      </w:r>
    </w:p>
    <w:p w14:paraId="24CF82C4">
      <w:pPr>
        <w:keepNext w:val="0"/>
        <w:keepLines w:val="0"/>
        <w:pageBreakBefore w:val="0"/>
        <w:widowControl w:val="0"/>
        <w:kinsoku w:val="0"/>
        <w:wordWrap/>
        <w:overflowPunct/>
        <w:topLinePunct w:val="0"/>
        <w:autoSpaceDE w:val="0"/>
        <w:autoSpaceDN w:val="0"/>
        <w:bidi w:val="0"/>
        <w:adjustRightInd w:val="0"/>
        <w:snapToGrid w:val="0"/>
        <w:spacing w:line="360" w:lineRule="auto"/>
        <w:ind w:left="479" w:leftChars="228" w:firstLine="0" w:firstLineChars="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val="en-US" w:eastAsia="zh-CN"/>
        </w:rPr>
        <w:t>①</w:t>
      </w:r>
      <w:r>
        <w:rPr>
          <w:rFonts w:hint="eastAsia" w:ascii="黑体" w:hAnsi="黑体" w:eastAsia="黑体" w:cs="黑体"/>
          <w:color w:val="auto"/>
          <w:sz w:val="24"/>
          <w:szCs w:val="24"/>
          <w:highlight w:val="none"/>
          <w:lang w:eastAsia="zh-CN"/>
        </w:rPr>
        <w:t>考核合格及以上的，可按“1+1+1”模式续签下一年度服务合同；</w:t>
      </w:r>
    </w:p>
    <w:p w14:paraId="54F4E8B2">
      <w:pPr>
        <w:keepNext w:val="0"/>
        <w:keepLines w:val="0"/>
        <w:pageBreakBefore w:val="0"/>
        <w:widowControl w:val="0"/>
        <w:kinsoku w:val="0"/>
        <w:wordWrap/>
        <w:overflowPunct/>
        <w:topLinePunct w:val="0"/>
        <w:autoSpaceDE w:val="0"/>
        <w:autoSpaceDN w:val="0"/>
        <w:bidi w:val="0"/>
        <w:adjustRightInd w:val="0"/>
        <w:snapToGrid w:val="0"/>
        <w:spacing w:line="360" w:lineRule="auto"/>
        <w:ind w:left="479" w:leftChars="228" w:firstLine="0" w:firstLineChars="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val="en-US" w:eastAsia="zh-CN"/>
        </w:rPr>
        <w:t>②</w:t>
      </w:r>
      <w:r>
        <w:rPr>
          <w:rFonts w:hint="eastAsia" w:ascii="黑体" w:hAnsi="黑体" w:eastAsia="黑体" w:cs="黑体"/>
          <w:color w:val="auto"/>
          <w:sz w:val="24"/>
          <w:szCs w:val="24"/>
          <w:highlight w:val="none"/>
          <w:lang w:eastAsia="zh-CN"/>
        </w:rPr>
        <w:t>考核不合格的，采购人不予续签合同，依法重新组织采购；</w:t>
      </w:r>
    </w:p>
    <w:p w14:paraId="26255AB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val="en-US" w:eastAsia="zh-CN"/>
        </w:rPr>
        <w:t>③</w:t>
      </w:r>
      <w:r>
        <w:rPr>
          <w:rFonts w:hint="eastAsia" w:ascii="黑体" w:hAnsi="黑体" w:eastAsia="黑体" w:cs="黑体"/>
          <w:color w:val="auto"/>
          <w:sz w:val="24"/>
          <w:szCs w:val="24"/>
          <w:highlight w:val="none"/>
          <w:lang w:eastAsia="zh-CN"/>
        </w:rPr>
        <w:t>承保机构存在弄虚作假、恶意拖赔拒赔、违规理赔、造成不良社会影响等严重违约行为的，直接判定考核不合格，采购人有权终止合同、扣除履约保证金并追究相应责任。</w:t>
      </w:r>
    </w:p>
    <w:p w14:paraId="3F350D40">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line="360" w:lineRule="auto"/>
        <w:ind w:left="479" w:leftChars="228" w:firstLine="0" w:firstLineChars="0"/>
        <w:textAlignment w:val="baseline"/>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eastAsia="zh-CN"/>
        </w:rPr>
        <w:t>承保机构须全面配合考核工作，按要求提供档案资料、数据台账、自查报告等相关材料，接受监督检查与整改要求。</w:t>
      </w:r>
      <w:r>
        <w:rPr>
          <w:rFonts w:hint="eastAsia" w:ascii="黑体" w:hAnsi="黑体" w:eastAsia="黑体" w:cs="黑体"/>
          <w:color w:val="auto"/>
          <w:sz w:val="24"/>
          <w:szCs w:val="24"/>
          <w:highlight w:val="none"/>
          <w:lang w:val="en-US" w:eastAsia="zh-CN"/>
        </w:rPr>
        <w:t xml:space="preserve">   </w:t>
      </w:r>
    </w:p>
    <w:p w14:paraId="62011CCB">
      <w:pPr>
        <w:pageBreakBefore w:val="0"/>
        <w:widowControl w:val="0"/>
        <w:wordWrap/>
        <w:overflowPunct/>
        <w:topLinePunct w:val="0"/>
        <w:bidi w:val="0"/>
        <w:spacing w:line="360" w:lineRule="auto"/>
        <w:rPr>
          <w:rFonts w:hint="eastAsia" w:ascii="黑体" w:hAnsi="黑体" w:eastAsia="黑体" w:cs="黑体"/>
          <w:color w:val="auto"/>
          <w:highlight w:val="none"/>
          <w:lang w:eastAsia="zh-CN"/>
        </w:rPr>
      </w:pPr>
    </w:p>
    <w:p w14:paraId="5B33AE0C">
      <w:pPr>
        <w:pStyle w:val="4"/>
        <w:pageBreakBefore w:val="0"/>
        <w:overflowPunct/>
        <w:bidi w:val="0"/>
        <w:spacing w:after="0" w:line="360" w:lineRule="auto"/>
        <w:ind w:left="0" w:leftChars="0" w:firstLine="0" w:firstLineChars="0"/>
        <w:rPr>
          <w:rFonts w:hint="eastAsia" w:ascii="黑体" w:hAnsi="黑体" w:eastAsia="黑体" w:cs="黑体"/>
          <w:color w:val="auto"/>
          <w:sz w:val="24"/>
          <w:szCs w:val="24"/>
          <w:highlight w:val="none"/>
          <w:lang w:val="en-US" w:eastAsia="zh-CN"/>
        </w:rPr>
      </w:pPr>
      <w:r>
        <w:rPr>
          <w:rFonts w:hint="eastAsia" w:ascii="黑体" w:hAnsi="黑体" w:eastAsia="黑体" w:cs="黑体"/>
          <w:b/>
          <w:bCs/>
          <w:color w:val="auto"/>
          <w:sz w:val="24"/>
          <w:szCs w:val="24"/>
          <w:highlight w:val="none"/>
          <w:lang w:val="en-US" w:eastAsia="zh-CN"/>
        </w:rPr>
        <w:t>注：以上商务部分条款为基本商务要求，供应商必须全部响应（即满足或优于商务要求），否则其响应无效。</w:t>
      </w:r>
    </w:p>
    <w:p w14:paraId="08D66FD1">
      <w:pPr>
        <w:pageBreakBefore w:val="0"/>
        <w:widowControl w:val="0"/>
        <w:wordWrap/>
        <w:overflowPunct/>
        <w:topLinePunct w:val="0"/>
        <w:bidi w:val="0"/>
        <w:spacing w:before="78" w:line="360" w:lineRule="auto"/>
        <w:rPr>
          <w:rFonts w:hint="eastAsia" w:ascii="黑体" w:hAnsi="黑体" w:eastAsia="黑体" w:cs="黑体"/>
          <w:color w:val="auto"/>
          <w:sz w:val="24"/>
          <w:szCs w:val="24"/>
          <w:highlight w:val="none"/>
          <w:lang w:eastAsia="zh-CN"/>
        </w:rPr>
      </w:pPr>
    </w:p>
    <w:p w14:paraId="2E109E4E">
      <w:pPr>
        <w:pageBreakBefore w:val="0"/>
        <w:widowControl w:val="0"/>
        <w:wordWrap/>
        <w:overflowPunct/>
        <w:topLinePunct w:val="0"/>
        <w:bidi w:val="0"/>
        <w:spacing w:line="360" w:lineRule="auto"/>
        <w:rPr>
          <w:rFonts w:hint="eastAsia" w:ascii="黑体" w:hAnsi="黑体" w:eastAsia="黑体" w:cs="黑体"/>
          <w:color w:val="auto"/>
          <w:highlight w:val="none"/>
          <w:lang w:eastAsia="zh-CN"/>
        </w:rPr>
      </w:pPr>
    </w:p>
    <w:p w14:paraId="11234E2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5D5337"/>
    <w:multiLevelType w:val="singleLevel"/>
    <w:tmpl w:val="EC5D5337"/>
    <w:lvl w:ilvl="0" w:tentative="0">
      <w:start w:val="6"/>
      <w:numFmt w:val="decimal"/>
      <w:suff w:val="nothing"/>
      <w:lvlText w:val="%1、"/>
      <w:lvlJc w:val="left"/>
    </w:lvl>
  </w:abstractNum>
  <w:abstractNum w:abstractNumId="1">
    <w:nsid w:val="098D5DC3"/>
    <w:multiLevelType w:val="multilevel"/>
    <w:tmpl w:val="098D5DC3"/>
    <w:lvl w:ilvl="0" w:tentative="0">
      <w:start w:val="1"/>
      <w:numFmt w:val="bullet"/>
      <w:lvlText w:val=""/>
      <w:lvlJc w:val="left"/>
      <w:pPr>
        <w:tabs>
          <w:tab w:val="left" w:pos="720"/>
        </w:tabs>
        <w:ind w:left="720" w:hanging="360"/>
      </w:pPr>
      <w:rPr>
        <w:rFonts w:ascii="Symbol" w:hAnsi="Symbol" w:cs="Symbol"/>
        <w:sz w:val="20"/>
      </w:rPr>
    </w:lvl>
    <w:lvl w:ilvl="1" w:tentative="0">
      <w:start w:val="1"/>
      <w:numFmt w:val="bullet"/>
      <w:lvlText w:val="o"/>
      <w:lvlJc w:val="left"/>
      <w:pPr>
        <w:tabs>
          <w:tab w:val="left" w:pos="1440"/>
        </w:tabs>
        <w:ind w:left="1440" w:hanging="360"/>
      </w:pPr>
      <w:rPr>
        <w:rFonts w:ascii="Courier New" w:hAnsi="Courier New" w:cs="Courier New"/>
        <w:sz w:val="20"/>
      </w:rPr>
    </w:lvl>
    <w:lvl w:ilvl="2" w:tentative="0">
      <w:start w:val="1"/>
      <w:numFmt w:val="bullet"/>
      <w:lvlText w:val=""/>
      <w:lvlJc w:val="left"/>
      <w:pPr>
        <w:tabs>
          <w:tab w:val="left" w:pos="2160"/>
        </w:tabs>
        <w:ind w:left="2160" w:hanging="360"/>
      </w:pPr>
      <w:rPr>
        <w:rFonts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2">
    <w:nsid w:val="2F427FED"/>
    <w:multiLevelType w:val="singleLevel"/>
    <w:tmpl w:val="2F427FED"/>
    <w:lvl w:ilvl="0" w:tentative="0">
      <w:start w:val="6"/>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4C3F0B"/>
    <w:rsid w:val="6C4C3F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spacing w:line="360" w:lineRule="auto"/>
      <w:ind w:firstLine="200" w:firstLineChars="200"/>
    </w:pPr>
    <w:rPr>
      <w:color w:val="000000"/>
      <w:sz w:val="24"/>
      <w:szCs w:val="20"/>
    </w:rPr>
  </w:style>
  <w:style w:type="paragraph" w:styleId="3">
    <w:name w:val="footer"/>
    <w:basedOn w:val="1"/>
    <w:qFormat/>
    <w:uiPriority w:val="0"/>
    <w:pPr>
      <w:tabs>
        <w:tab w:val="center" w:pos="4153"/>
        <w:tab w:val="right" w:pos="8306"/>
      </w:tabs>
    </w:pPr>
    <w:rPr>
      <w:sz w:val="18"/>
    </w:rPr>
  </w:style>
  <w:style w:type="paragraph" w:styleId="4">
    <w:name w:val="Body Text 2"/>
    <w:basedOn w:val="1"/>
    <w:qFormat/>
    <w:uiPriority w:val="0"/>
    <w:pPr>
      <w:spacing w:after="120"/>
      <w:ind w:firstLine="420" w:firstLineChars="200"/>
    </w:pPr>
    <w:rPr>
      <w:rFonts w:ascii="Times New Roman" w:hAnsi="Times New Roman" w:eastAsia="仿宋_GB2312" w:cs="Times New Roman"/>
      <w:sz w:val="30"/>
    </w:rPr>
  </w:style>
  <w:style w:type="character" w:styleId="7">
    <w:name w:val="Strong"/>
    <w:basedOn w:val="6"/>
    <w:qFormat/>
    <w:uiPriority w:val="0"/>
    <w:rPr>
      <w:b/>
    </w:r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2026-06-12T06:49:00Z</dcterms:created>
  <dc:creator>Administrator</dc:creator>
  <cp:lastModifiedBy>Administrator</cp:lastModifiedBy>
  <dcterms:modified xsi:type="dcterms:W3CDTF">2026-06-12T06:49:54Z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0C38B3D4AC9A4E1A8BE2DC101E981420_11</vt:lpwstr>
  </property>
  <property fmtid="{D5CDD505-2E9C-101B-9397-08002B2CF9AE}" pid="4" name="KSOTemplateDocerSaveRecord">
    <vt:lpwstr>eyJoZGlkIjoiZDUzMmQ3MDljMzY2MThhOTlhMDdkZGQ4YTNmMTFlZDUiLCJ1c2VySWQiOiIyOTI1ODA3NTkifQ==</vt:lpwstr>
  </property>
</Properties>
</file>