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E78041">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9"/>
          <w:sz w:val="31"/>
          <w:szCs w:val="31"/>
          <w:highlight w:val="none"/>
          <w:lang w:eastAsia="zh-CN"/>
        </w:rPr>
        <w:t xml:space="preserve">  </w:t>
      </w: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10EC163E">
      <w:pPr>
        <w:pageBreakBefore w:val="0"/>
        <w:widowControl w:val="0"/>
        <w:wordWrap/>
        <w:overflowPunct/>
        <w:topLinePunct w:val="0"/>
        <w:bidi w:val="0"/>
        <w:spacing w:line="309" w:lineRule="auto"/>
        <w:jc w:val="center"/>
        <w:rPr>
          <w:color w:val="auto"/>
          <w:highlight w:val="none"/>
          <w:lang w:eastAsia="zh-CN"/>
        </w:rPr>
      </w:pPr>
    </w:p>
    <w:p w14:paraId="0F2A714C">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14:paraId="00D6E72B">
      <w:pPr>
        <w:pageBreakBefore w:val="0"/>
        <w:widowControl w:val="0"/>
        <w:wordWrap/>
        <w:overflowPunct/>
        <w:topLinePunct w:val="0"/>
        <w:bidi w:val="0"/>
        <w:spacing w:before="64"/>
        <w:rPr>
          <w:color w:val="auto"/>
          <w:highlight w:val="none"/>
        </w:rPr>
      </w:pPr>
    </w:p>
    <w:tbl>
      <w:tblPr>
        <w:tblStyle w:val="8"/>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C866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27CEC85E">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1" w:name="_GoBack"/>
            <w:r>
              <w:rPr>
                <w:color w:val="auto"/>
                <w:highlight w:val="none"/>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bookmarkEnd w:id="1"/>
            <w:r>
              <w:rPr>
                <w:rFonts w:ascii="宋体" w:hAnsi="宋体" w:eastAsia="宋体" w:cs="宋体"/>
                <w:color w:val="auto"/>
                <w:sz w:val="24"/>
                <w:szCs w:val="24"/>
                <w:highlight w:val="none"/>
              </w:rPr>
              <w:t>名</w:t>
            </w:r>
          </w:p>
          <w:p w14:paraId="6C82F925">
            <w:pPr>
              <w:pStyle w:val="9"/>
              <w:pageBreakBefore w:val="0"/>
              <w:widowControl w:val="0"/>
              <w:wordWrap/>
              <w:overflowPunct/>
              <w:topLinePunct w:val="0"/>
              <w:bidi w:val="0"/>
              <w:spacing w:line="245" w:lineRule="auto"/>
              <w:rPr>
                <w:color w:val="auto"/>
                <w:highlight w:val="none"/>
              </w:rPr>
            </w:pPr>
          </w:p>
          <w:p w14:paraId="40F7ED8D">
            <w:pPr>
              <w:pStyle w:val="9"/>
              <w:pageBreakBefore w:val="0"/>
              <w:widowControl w:val="0"/>
              <w:wordWrap/>
              <w:overflowPunct/>
              <w:topLinePunct w:val="0"/>
              <w:bidi w:val="0"/>
              <w:spacing w:line="246" w:lineRule="auto"/>
              <w:rPr>
                <w:color w:val="auto"/>
                <w:highlight w:val="none"/>
              </w:rPr>
            </w:pPr>
          </w:p>
          <w:p w14:paraId="22D0E8F0">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14:paraId="2CCD6524">
            <w:pPr>
              <w:pStyle w:val="9"/>
              <w:pageBreakBefore w:val="0"/>
              <w:widowControl w:val="0"/>
              <w:wordWrap/>
              <w:overflowPunct/>
              <w:topLinePunct w:val="0"/>
              <w:bidi w:val="0"/>
              <w:spacing w:line="338" w:lineRule="auto"/>
              <w:rPr>
                <w:color w:val="auto"/>
                <w:highlight w:val="none"/>
              </w:rPr>
            </w:pPr>
          </w:p>
          <w:p w14:paraId="56739E74">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14:paraId="12B26195">
            <w:pPr>
              <w:pStyle w:val="9"/>
              <w:pageBreakBefore w:val="0"/>
              <w:widowControl w:val="0"/>
              <w:wordWrap/>
              <w:overflowPunct/>
              <w:topLinePunct w:val="0"/>
              <w:bidi w:val="0"/>
              <w:spacing w:line="263" w:lineRule="auto"/>
              <w:rPr>
                <w:color w:val="auto"/>
                <w:highlight w:val="none"/>
              </w:rPr>
            </w:pPr>
          </w:p>
          <w:p w14:paraId="0743B18A">
            <w:pPr>
              <w:pStyle w:val="9"/>
              <w:pageBreakBefore w:val="0"/>
              <w:widowControl w:val="0"/>
              <w:wordWrap/>
              <w:overflowPunct/>
              <w:topLinePunct w:val="0"/>
              <w:bidi w:val="0"/>
              <w:spacing w:line="263" w:lineRule="auto"/>
              <w:rPr>
                <w:color w:val="auto"/>
                <w:highlight w:val="none"/>
              </w:rPr>
            </w:pPr>
          </w:p>
          <w:p w14:paraId="144BF3D0">
            <w:pPr>
              <w:pStyle w:val="9"/>
              <w:pageBreakBefore w:val="0"/>
              <w:widowControl w:val="0"/>
              <w:wordWrap/>
              <w:overflowPunct/>
              <w:topLinePunct w:val="0"/>
              <w:bidi w:val="0"/>
              <w:spacing w:line="264" w:lineRule="auto"/>
              <w:rPr>
                <w:color w:val="auto"/>
                <w:highlight w:val="none"/>
              </w:rPr>
            </w:pPr>
          </w:p>
          <w:p w14:paraId="537402C6">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vAlign w:val="center"/>
          </w:tcPr>
          <w:p w14:paraId="08CE9823">
            <w:pPr>
              <w:pageBreakBefore w:val="0"/>
              <w:widowControl w:val="0"/>
              <w:wordWrap/>
              <w:overflowPunct/>
              <w:topLinePunct w:val="0"/>
              <w:bidi w:val="0"/>
              <w:spacing w:before="256" w:line="221" w:lineRule="auto"/>
              <w:jc w:val="center"/>
              <w:rPr>
                <w:color w:val="auto"/>
                <w:highlight w:val="none"/>
              </w:rPr>
            </w:pPr>
            <w:r>
              <w:rPr>
                <w:rFonts w:hint="eastAsia" w:ascii="宋体" w:hAnsi="宋体" w:eastAsia="宋体" w:cs="宋体"/>
                <w:color w:val="auto"/>
                <w:spacing w:val="-7"/>
                <w:sz w:val="24"/>
                <w:szCs w:val="24"/>
                <w:highlight w:val="none"/>
                <w:lang w:eastAsia="zh-CN"/>
              </w:rPr>
              <w:t>上饶市信州区养老机构监管等服务采购项目</w:t>
            </w:r>
          </w:p>
        </w:tc>
      </w:tr>
      <w:tr w14:paraId="23D2DF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4F837650">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top"/>
          </w:tcPr>
          <w:p w14:paraId="0E4CD573">
            <w:pPr>
              <w:pageBreakBefore w:val="0"/>
              <w:widowControl w:val="0"/>
              <w:wordWrap/>
              <w:overflowPunct/>
              <w:topLinePunct w:val="0"/>
              <w:bidi w:val="0"/>
              <w:spacing w:before="256" w:line="221" w:lineRule="auto"/>
              <w:ind w:left="1189" w:leftChars="0"/>
              <w:rPr>
                <w:color w:val="auto"/>
                <w:highlight w:val="none"/>
              </w:rPr>
            </w:pPr>
            <w:r>
              <w:rPr>
                <w:rFonts w:hint="eastAsia" w:ascii="宋体" w:hAnsi="宋体" w:eastAsia="宋体" w:cs="宋体"/>
                <w:color w:val="auto"/>
                <w:spacing w:val="-7"/>
                <w:sz w:val="24"/>
                <w:szCs w:val="24"/>
                <w:highlight w:val="none"/>
                <w:lang w:val="en-US" w:eastAsia="zh-CN"/>
              </w:rPr>
              <w:t>1项</w:t>
            </w:r>
          </w:p>
        </w:tc>
      </w:tr>
      <w:tr w14:paraId="612DA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74E77148">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top"/>
          </w:tcPr>
          <w:p w14:paraId="2856DFA6">
            <w:pPr>
              <w:pageBreakBefore w:val="0"/>
              <w:widowControl w:val="0"/>
              <w:wordWrap/>
              <w:overflowPunct/>
              <w:topLinePunct w:val="0"/>
              <w:bidi w:val="0"/>
              <w:spacing w:before="256" w:line="221" w:lineRule="auto"/>
              <w:ind w:left="1189" w:leftChars="0"/>
              <w:rPr>
                <w:color w:val="auto"/>
                <w:highlight w:val="none"/>
              </w:rPr>
            </w:pPr>
            <w:r>
              <w:rPr>
                <w:rFonts w:hint="eastAsia" w:ascii="宋体" w:hAnsi="宋体" w:eastAsia="宋体" w:cs="宋体"/>
                <w:color w:val="auto"/>
                <w:spacing w:val="-7"/>
                <w:sz w:val="24"/>
                <w:szCs w:val="24"/>
                <w:highlight w:val="none"/>
                <w:lang w:val="en-US" w:eastAsia="zh-CN"/>
              </w:rPr>
              <w:t>自合同签订之日起1年</w:t>
            </w:r>
          </w:p>
        </w:tc>
      </w:tr>
      <w:tr w14:paraId="19CBE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tcPr>
          <w:p w14:paraId="69591CCF">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top"/>
          </w:tcPr>
          <w:p w14:paraId="4BB6DCE7">
            <w:pPr>
              <w:pageBreakBefore w:val="0"/>
              <w:widowControl w:val="0"/>
              <w:wordWrap/>
              <w:overflowPunct/>
              <w:topLinePunct w:val="0"/>
              <w:bidi w:val="0"/>
              <w:spacing w:before="256" w:line="221" w:lineRule="auto"/>
              <w:ind w:left="1189" w:leftChars="0"/>
              <w:rPr>
                <w:color w:val="auto"/>
                <w:highlight w:val="none"/>
              </w:rPr>
            </w:pPr>
            <w:r>
              <w:rPr>
                <w:rFonts w:hint="eastAsia" w:ascii="宋体" w:hAnsi="宋体" w:eastAsia="宋体" w:cs="宋体"/>
                <w:color w:val="auto"/>
                <w:spacing w:val="-7"/>
                <w:sz w:val="24"/>
                <w:szCs w:val="24"/>
                <w:highlight w:val="none"/>
                <w:lang w:eastAsia="zh-CN"/>
              </w:rPr>
              <w:t>采购单位指定地点</w:t>
            </w:r>
          </w:p>
        </w:tc>
      </w:tr>
      <w:tr w14:paraId="31E856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tcPr>
          <w:p w14:paraId="62C91BD2">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top"/>
          </w:tcPr>
          <w:p w14:paraId="350793D5">
            <w:pPr>
              <w:pageBreakBefore w:val="0"/>
              <w:widowControl w:val="0"/>
              <w:wordWrap/>
              <w:overflowPunct/>
              <w:topLinePunct w:val="0"/>
              <w:bidi w:val="0"/>
              <w:spacing w:before="256" w:line="221" w:lineRule="auto"/>
              <w:ind w:left="1189" w:leftChars="0"/>
              <w:rPr>
                <w:color w:val="auto"/>
                <w:highlight w:val="none"/>
              </w:rPr>
            </w:pPr>
            <w:r>
              <w:rPr>
                <w:rFonts w:hint="eastAsia" w:ascii="宋体" w:hAnsi="宋体" w:eastAsia="宋体" w:cs="宋体"/>
                <w:color w:val="auto"/>
                <w:spacing w:val="-7"/>
                <w:sz w:val="24"/>
                <w:szCs w:val="24"/>
                <w:highlight w:val="none"/>
                <w:lang w:val="en-US" w:eastAsia="zh-CN"/>
              </w:rPr>
              <w:t>/</w:t>
            </w:r>
          </w:p>
        </w:tc>
      </w:tr>
    </w:tbl>
    <w:p w14:paraId="6781273F">
      <w:pPr>
        <w:pageBreakBefore w:val="0"/>
        <w:widowControl w:val="0"/>
        <w:wordWrap/>
        <w:overflowPunct/>
        <w:topLinePunct w:val="0"/>
        <w:bidi w:val="0"/>
        <w:rPr>
          <w:color w:val="auto"/>
          <w:highlight w:val="none"/>
        </w:rPr>
      </w:pPr>
    </w:p>
    <w:p w14:paraId="0C0723DB">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63C46ABF">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5D258939">
      <w:pPr>
        <w:pageBreakBefore w:val="0"/>
        <w:widowControl w:val="0"/>
        <w:wordWrap/>
        <w:overflowPunct/>
        <w:topLinePunct w:val="0"/>
        <w:bidi w:val="0"/>
        <w:spacing w:line="257" w:lineRule="auto"/>
        <w:rPr>
          <w:color w:val="auto"/>
          <w:highlight w:val="none"/>
        </w:rPr>
      </w:pPr>
    </w:p>
    <w:p w14:paraId="6EF4E5D2">
      <w:pPr>
        <w:pageBreakBefore w:val="0"/>
        <w:widowControl w:val="0"/>
        <w:wordWrap/>
        <w:overflowPunct/>
        <w:topLinePunct w:val="0"/>
        <w:bidi w:val="0"/>
        <w:spacing w:line="258" w:lineRule="auto"/>
        <w:rPr>
          <w:color w:val="auto"/>
          <w:highlight w:val="none"/>
        </w:rPr>
      </w:pPr>
    </w:p>
    <w:p w14:paraId="0D9C0787">
      <w:pPr>
        <w:pageBreakBefore w:val="0"/>
        <w:widowControl w:val="0"/>
        <w:wordWrap/>
        <w:overflowPunct/>
        <w:topLinePunct w:val="0"/>
        <w:bidi w:val="0"/>
        <w:spacing w:line="258" w:lineRule="auto"/>
        <w:rPr>
          <w:color w:val="auto"/>
          <w:highlight w:val="none"/>
        </w:rPr>
      </w:pPr>
    </w:p>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p>
    <w:p w14:paraId="39B2A13D">
      <w:pPr>
        <w:pStyle w:val="5"/>
        <w:numPr>
          <w:ilvl w:val="0"/>
          <w:numId w:val="0"/>
        </w:numPr>
        <w:rPr>
          <w:rFonts w:hint="eastAsia" w:ascii="宋体" w:hAnsi="宋体" w:eastAsia="宋体" w:cs="宋体"/>
          <w:snapToGrid w:val="0"/>
          <w:color w:val="auto"/>
          <w:spacing w:val="-5"/>
          <w:sz w:val="24"/>
          <w:szCs w:val="24"/>
          <w:highlight w:val="none"/>
          <w:lang w:val="en-US" w:eastAsia="zh-CN" w:bidi="ar-SA"/>
        </w:rPr>
      </w:pPr>
      <w:r>
        <w:rPr>
          <w:rFonts w:hint="eastAsia" w:ascii="宋体" w:hAnsi="宋体" w:eastAsia="宋体" w:cs="宋体"/>
          <w:snapToGrid w:val="0"/>
          <w:color w:val="auto"/>
          <w:spacing w:val="-5"/>
          <w:sz w:val="24"/>
          <w:szCs w:val="24"/>
          <w:highlight w:val="none"/>
          <w:lang w:val="en-US" w:eastAsia="zh-CN" w:bidi="ar-SA"/>
        </w:rPr>
        <w:t>1、需求清单</w:t>
      </w:r>
    </w:p>
    <w:p w14:paraId="41AD519F">
      <w:pPr>
        <w:pStyle w:val="5"/>
        <w:numPr>
          <w:ilvl w:val="0"/>
          <w:numId w:val="0"/>
        </w:numPr>
      </w:pPr>
    </w:p>
    <w:tbl>
      <w:tblPr>
        <w:tblStyle w:val="6"/>
        <w:tblW w:w="913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05"/>
        <w:gridCol w:w="1285"/>
        <w:gridCol w:w="1026"/>
        <w:gridCol w:w="995"/>
        <w:gridCol w:w="4117"/>
        <w:gridCol w:w="811"/>
      </w:tblGrid>
      <w:tr w14:paraId="2957C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050E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31AC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613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86B30">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服务内容</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064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6D92F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53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D2F8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高龄津贴发放</w:t>
            </w:r>
          </w:p>
        </w:tc>
        <w:tc>
          <w:tcPr>
            <w:tcW w:w="6138"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638551ED">
            <w:pPr>
              <w:keepNext w:val="0"/>
              <w:keepLines w:val="0"/>
              <w:widowControl/>
              <w:suppressLineNumbers w:val="0"/>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1.信息收集与审核</w:t>
            </w:r>
            <w:r>
              <w:rPr>
                <w:rFonts w:hint="eastAsia" w:ascii="宋体" w:hAnsi="宋体" w:eastAsia="宋体" w:cs="宋体"/>
                <w:i w:val="0"/>
                <w:iCs w:val="0"/>
                <w:color w:val="000000"/>
                <w:kern w:val="0"/>
                <w:sz w:val="24"/>
                <w:szCs w:val="24"/>
                <w:u w:val="none"/>
                <w:lang w:val="en-US" w:eastAsia="zh-CN" w:bidi="ar"/>
              </w:rPr>
              <w:t>：多渠道收集高龄老人或者其家属提交的津贴申请资料，对申请资料进行严格审核，包括老人的身份证明、年龄证明、户籍信息等，确保符合高龄津贴发放标准。</w:t>
            </w:r>
            <w:r>
              <w:rPr>
                <w:rFonts w:hint="eastAsia" w:ascii="宋体" w:hAnsi="宋体" w:eastAsia="宋体" w:cs="宋体"/>
                <w:b/>
                <w:bCs/>
                <w:i w:val="0"/>
                <w:iCs w:val="0"/>
                <w:color w:val="000000"/>
                <w:kern w:val="0"/>
                <w:sz w:val="24"/>
                <w:szCs w:val="24"/>
                <w:u w:val="none"/>
                <w:lang w:val="en-US" w:eastAsia="zh-CN" w:bidi="ar"/>
              </w:rPr>
              <w:t>2.资格认定与动态管理：</w:t>
            </w:r>
            <w:r>
              <w:rPr>
                <w:rFonts w:hint="eastAsia" w:ascii="宋体" w:hAnsi="宋体" w:eastAsia="宋体" w:cs="宋体"/>
                <w:i w:val="0"/>
                <w:iCs w:val="0"/>
                <w:color w:val="000000"/>
                <w:kern w:val="0"/>
                <w:sz w:val="24"/>
                <w:szCs w:val="24"/>
                <w:u w:val="none"/>
                <w:lang w:val="en-US" w:eastAsia="zh-CN" w:bidi="ar"/>
              </w:rPr>
              <w:t>根据审核结果，准确认定高龄津贴发放资格，并及时通知申请人。建立高龄津贴领取人员数据库，对领取资格进行动态管理。定期与民政部门共享数据，及时更新老人的生存状态、户籍变动等信息，对不再符合条件的人员及时停发津贴，对新符合条件的人员及时纳入发放范围。</w:t>
            </w:r>
            <w:r>
              <w:rPr>
                <w:rFonts w:hint="eastAsia" w:ascii="宋体" w:hAnsi="宋体" w:eastAsia="宋体" w:cs="宋体"/>
                <w:b/>
                <w:bCs/>
                <w:i w:val="0"/>
                <w:iCs w:val="0"/>
                <w:color w:val="000000"/>
                <w:kern w:val="0"/>
                <w:sz w:val="24"/>
                <w:szCs w:val="24"/>
                <w:u w:val="none"/>
                <w:lang w:val="en-US" w:eastAsia="zh-CN" w:bidi="ar"/>
              </w:rPr>
              <w:t>3.津贴计算与发放：</w:t>
            </w:r>
            <w:r>
              <w:rPr>
                <w:rFonts w:hint="eastAsia" w:ascii="宋体" w:hAnsi="宋体" w:eastAsia="宋体" w:cs="宋体"/>
                <w:i w:val="0"/>
                <w:iCs w:val="0"/>
                <w:color w:val="000000"/>
                <w:kern w:val="0"/>
                <w:sz w:val="24"/>
                <w:szCs w:val="24"/>
                <w:u w:val="none"/>
                <w:lang w:val="en-US" w:eastAsia="zh-CN" w:bidi="ar"/>
              </w:rPr>
              <w:t>按照高龄津贴发放标准，准确计算每位老人应得的津贴金额，确保津贴按时足额发放，并确保每一笔津贴发放都有迹可循，方便查询与对账。</w:t>
            </w:r>
            <w:r>
              <w:rPr>
                <w:rFonts w:hint="eastAsia" w:ascii="宋体" w:hAnsi="宋体" w:eastAsia="宋体" w:cs="宋体"/>
                <w:b/>
                <w:bCs/>
                <w:i w:val="0"/>
                <w:iCs w:val="0"/>
                <w:color w:val="000000"/>
                <w:kern w:val="0"/>
                <w:sz w:val="24"/>
                <w:szCs w:val="24"/>
                <w:u w:val="none"/>
                <w:lang w:val="en-US" w:eastAsia="zh-CN" w:bidi="ar"/>
              </w:rPr>
              <w:t>4.数据统计与分析：</w:t>
            </w:r>
            <w:r>
              <w:rPr>
                <w:rFonts w:hint="eastAsia" w:ascii="宋体" w:hAnsi="宋体" w:eastAsia="宋体" w:cs="宋体"/>
                <w:i w:val="0"/>
                <w:iCs w:val="0"/>
                <w:color w:val="000000"/>
                <w:kern w:val="0"/>
                <w:sz w:val="24"/>
                <w:szCs w:val="24"/>
                <w:u w:val="none"/>
                <w:lang w:val="en-US" w:eastAsia="zh-CN" w:bidi="ar"/>
              </w:rPr>
              <w:t>定期对高龄津贴发放数据进行统计分析，包括发放人数、发放金额、年龄分布等，为政策调整与优化提供数据支持。生成数据报表，向上级部门汇报发放工作进展与成效，确保发放工作的透明度与规范性。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5.档案管理：</w:t>
            </w:r>
            <w:r>
              <w:rPr>
                <w:rFonts w:hint="eastAsia" w:ascii="宋体" w:hAnsi="宋体" w:eastAsia="宋体" w:cs="宋体"/>
                <w:i w:val="0"/>
                <w:iCs w:val="0"/>
                <w:color w:val="000000"/>
                <w:kern w:val="0"/>
                <w:sz w:val="24"/>
                <w:szCs w:val="24"/>
                <w:u w:val="none"/>
                <w:lang w:val="en-US" w:eastAsia="zh-CN" w:bidi="ar"/>
              </w:rPr>
              <w:t>对高龄津贴申请资料、审核记录、发放凭证等相关文件进行分类整理与归档，建立完整的档案管理系统。按照档案管理规定妥善保存档案，确保档案的安全性与完整性，便于日后查阅与审计。</w:t>
            </w:r>
            <w:r>
              <w:rPr>
                <w:rFonts w:hint="eastAsia" w:ascii="宋体" w:hAnsi="宋体" w:eastAsia="宋体" w:cs="宋体"/>
                <w:b/>
                <w:bCs/>
                <w:i w:val="0"/>
                <w:iCs w:val="0"/>
                <w:color w:val="000000"/>
                <w:kern w:val="0"/>
                <w:sz w:val="24"/>
                <w:szCs w:val="24"/>
                <w:u w:val="none"/>
                <w:lang w:val="en-US" w:eastAsia="zh-CN" w:bidi="ar"/>
              </w:rPr>
              <w:t>6.监督与评估：</w:t>
            </w:r>
            <w:r>
              <w:rPr>
                <w:rFonts w:hint="eastAsia" w:ascii="宋体" w:hAnsi="宋体" w:eastAsia="宋体" w:cs="宋体"/>
                <w:i w:val="0"/>
                <w:iCs w:val="0"/>
                <w:color w:val="000000"/>
                <w:kern w:val="0"/>
                <w:sz w:val="24"/>
                <w:szCs w:val="24"/>
                <w:u w:val="none"/>
                <w:lang w:val="en-US" w:eastAsia="zh-CN" w:bidi="ar"/>
              </w:rPr>
              <w:t>建立内部监督机制，对高龄津贴发放营运服务的各个环节进行定期检查与抽查，确保服务质量与合规性。定期对高龄津贴发放营运服务进行绩效评估，根据评估结果总结经验教训，不断改进服务流程与方法，提高服务效率与满意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客服人员：3人</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1F50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3人</w:t>
            </w:r>
          </w:p>
        </w:tc>
      </w:tr>
      <w:tr w14:paraId="586EE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8"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502B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2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10E79">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B642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w:t>
            </w:r>
          </w:p>
        </w:tc>
        <w:tc>
          <w:tcPr>
            <w:tcW w:w="511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84DC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功能/参数</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E08F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6F5F8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35" w:hRule="atLeast"/>
        </w:trPr>
        <w:tc>
          <w:tcPr>
            <w:tcW w:w="90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C7D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2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F76A7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智慧助餐</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6230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卡码脸支付/结算</w:t>
            </w:r>
          </w:p>
        </w:tc>
        <w:tc>
          <w:tcPr>
            <w:tcW w:w="51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6F4960">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功能：对接省、市平台，实现区域内的老年食堂助餐设备卡、码（省平台和赣通码对接/银联的设备服务）、脸结算。</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配置参数：</w:t>
            </w:r>
            <w:r>
              <w:rPr>
                <w:rFonts w:hint="eastAsia" w:ascii="宋体" w:hAnsi="宋体" w:eastAsia="宋体" w:cs="宋体"/>
                <w:i w:val="0"/>
                <w:iCs w:val="0"/>
                <w:color w:val="auto"/>
                <w:kern w:val="0"/>
                <w:sz w:val="24"/>
                <w:szCs w:val="24"/>
                <w:u w:val="none"/>
                <w:lang w:val="en-US" w:eastAsia="zh-CN" w:bidi="ar"/>
              </w:rPr>
              <w:br w:type="textWrapping"/>
            </w:r>
            <w:r>
              <w:rPr>
                <w:rFonts w:hint="eastAsia" w:ascii="宋体" w:hAnsi="宋体" w:eastAsia="宋体" w:cs="宋体"/>
                <w:i w:val="0"/>
                <w:iCs w:val="0"/>
                <w:color w:val="auto"/>
                <w:kern w:val="0"/>
                <w:sz w:val="24"/>
                <w:szCs w:val="24"/>
                <w:u w:val="none"/>
                <w:lang w:val="en-US" w:eastAsia="zh-CN" w:bidi="ar"/>
              </w:rPr>
              <w:t>操作系统：Android 10.1（及以上兼容版本）；</w:t>
            </w:r>
          </w:p>
          <w:p w14:paraId="61A4214E">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处理器：八核高性能处理器（主频范围2.2GHz-2.4GHz）</w:t>
            </w:r>
          </w:p>
          <w:p w14:paraId="751A6753">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内存存储：内存DDR3 3GB，存储容量8-16GB；</w:t>
            </w:r>
          </w:p>
          <w:p w14:paraId="0C51AA5C">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主屏/操作屏：5英寸左右LED背光显示屏；</w:t>
            </w:r>
          </w:p>
          <w:p w14:paraId="14231487">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副屏/客户屏：7英寸左右LED背光显示屏；</w:t>
            </w:r>
          </w:p>
          <w:p w14:paraId="7E29FEBD">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有线网络：以太网接口 1*RJ45，支持 TCP/IP 标准网络通讯，10M/100M 自适应。</w:t>
            </w:r>
          </w:p>
          <w:p w14:paraId="130009B3">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wifi无线网络：支持 IEEE 802.11b/g/n 无线通讯；内置蓝牙模块。</w:t>
            </w:r>
          </w:p>
          <w:p w14:paraId="44492DD9">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移动通讯：支持4G全网通通讯（移动/联通/电信），保障偏远区域信号稳定。</w:t>
            </w:r>
          </w:p>
          <w:p w14:paraId="7BAB6DA7">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数据接口：USB2.0 接口不少于2个（含1个标准 Type-A USB 调试口）；</w:t>
            </w:r>
          </w:p>
          <w:p w14:paraId="6F4981C6">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电源供应：标配 12V/3A 中规插墙式电源适配器（接口规格：DC5.5*2.5mm）。</w:t>
            </w:r>
          </w:p>
          <w:p w14:paraId="117DE55F">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音频输出：大功率扬声器，支持语音播报（功率3W及以上），音量可调节。</w:t>
            </w:r>
          </w:p>
          <w:p w14:paraId="528EEB4D">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条码识别：支持主流一维/二维条码扫描，适配扫码支付场景。</w:t>
            </w:r>
          </w:p>
          <w:p w14:paraId="0527E59F">
            <w:pPr>
              <w:keepNext w:val="0"/>
              <w:keepLines w:val="0"/>
              <w:widowControl/>
              <w:suppressLineNumbers w:val="0"/>
              <w:jc w:val="left"/>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整机重量：标配净重约1.2Kg-1.5Kg（根据配件配置不同略有浮动）。</w:t>
            </w:r>
          </w:p>
          <w:p w14:paraId="26A0A45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auto"/>
                <w:kern w:val="0"/>
                <w:sz w:val="24"/>
                <w:szCs w:val="24"/>
                <w:u w:val="none"/>
                <w:lang w:val="en-US" w:eastAsia="zh-CN" w:bidi="ar"/>
              </w:rPr>
              <w:t>工作环境：适配室内常温工作环境，防尘防水。</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385E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30个</w:t>
            </w:r>
          </w:p>
        </w:tc>
      </w:tr>
      <w:tr w14:paraId="6FDBA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8" w:hRule="atLeast"/>
        </w:trPr>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B2229">
            <w:pPr>
              <w:jc w:val="center"/>
              <w:rPr>
                <w:rFonts w:hint="eastAsia" w:ascii="宋体" w:hAnsi="宋体" w:eastAsia="宋体" w:cs="宋体"/>
                <w:i w:val="0"/>
                <w:iCs w:val="0"/>
                <w:color w:val="000000"/>
                <w:sz w:val="24"/>
                <w:szCs w:val="24"/>
                <w:u w:val="none"/>
              </w:rPr>
            </w:pP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E36A3">
            <w:pPr>
              <w:jc w:val="center"/>
              <w:rPr>
                <w:rFonts w:hint="eastAsia" w:ascii="宋体" w:hAnsi="宋体" w:eastAsia="宋体" w:cs="宋体"/>
                <w:i w:val="0"/>
                <w:iCs w:val="0"/>
                <w:color w:val="000000"/>
                <w:sz w:val="24"/>
                <w:szCs w:val="24"/>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5F6B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小票打印机</w:t>
            </w:r>
          </w:p>
        </w:tc>
        <w:tc>
          <w:tcPr>
            <w:tcW w:w="51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C846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小票打印</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1FA6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5个</w:t>
            </w:r>
          </w:p>
        </w:tc>
      </w:tr>
      <w:tr w14:paraId="36435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0" w:hRule="atLeast"/>
        </w:trPr>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1C168">
            <w:pPr>
              <w:jc w:val="center"/>
              <w:rPr>
                <w:rFonts w:hint="eastAsia" w:ascii="宋体" w:hAnsi="宋体" w:eastAsia="宋体" w:cs="宋体"/>
                <w:i w:val="0"/>
                <w:iCs w:val="0"/>
                <w:color w:val="000000"/>
                <w:sz w:val="24"/>
                <w:szCs w:val="24"/>
                <w:u w:val="none"/>
              </w:rPr>
            </w:pP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750B14">
            <w:pPr>
              <w:jc w:val="center"/>
              <w:rPr>
                <w:rFonts w:hint="eastAsia" w:ascii="宋体" w:hAnsi="宋体" w:eastAsia="宋体" w:cs="宋体"/>
                <w:i w:val="0"/>
                <w:iCs w:val="0"/>
                <w:color w:val="000000"/>
                <w:sz w:val="24"/>
                <w:szCs w:val="24"/>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25E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IC卡刷卡模块</w:t>
            </w:r>
          </w:p>
        </w:tc>
        <w:tc>
          <w:tcPr>
            <w:tcW w:w="51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E6DA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刷充值IC卡</w:t>
            </w:r>
          </w:p>
        </w:tc>
        <w:tc>
          <w:tcPr>
            <w:tcW w:w="8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4DD2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5000个</w:t>
            </w:r>
          </w:p>
        </w:tc>
      </w:tr>
      <w:tr w14:paraId="624A8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90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C370">
            <w:pPr>
              <w:jc w:val="center"/>
              <w:rPr>
                <w:rFonts w:hint="eastAsia" w:ascii="宋体" w:hAnsi="宋体" w:eastAsia="宋体" w:cs="宋体"/>
                <w:i w:val="0"/>
                <w:iCs w:val="0"/>
                <w:color w:val="000000"/>
                <w:sz w:val="24"/>
                <w:szCs w:val="24"/>
                <w:u w:val="none"/>
              </w:rPr>
            </w:pP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7F26A">
            <w:pPr>
              <w:jc w:val="center"/>
              <w:rPr>
                <w:rFonts w:hint="eastAsia" w:ascii="宋体" w:hAnsi="宋体" w:eastAsia="宋体" w:cs="宋体"/>
                <w:i w:val="0"/>
                <w:iCs w:val="0"/>
                <w:color w:val="000000"/>
                <w:sz w:val="24"/>
                <w:szCs w:val="24"/>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2DF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平台运营</w:t>
            </w:r>
          </w:p>
        </w:tc>
        <w:tc>
          <w:tcPr>
            <w:tcW w:w="51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357A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商家合作与管理：为老年食堂提供平台操作培训，使其熟悉订单处理流程、菜品管理方法以及数据查看与分析工具。同时，在营销推广、菜品创新、服务提升等方面给予指导与支持，帮助食堂更好地适应平台运营模式，提高经营效益。</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数据分析与运营优化：通过平台后台管理系统全面收集用户信息（注册信息、消费行为数据、评价数据等）、食堂信息（菜品销售数据、库存数据、经营数据等）以及配送数据（配送时效、配送成功率、配送成本等），对这些数据进行分类整理与存储，建立数据仓库，运用数据挖掘技术与数据分析工具对收集到的数据进行深入分析，挖掘用户潜在需求、消费规律、商家经营状况以及平台运营中的问题，为后续的数据分析提供数据基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运营优化与决策支持：基于数据分析结果，对平台的功能、服务、营销策略、食堂合作等方面进行持续优化调整。同时，数据分析结果也为平台的战略决策提供有力支持，如平台的业务拓展方向、投资预算规划、资源配置优化等，确保平台运营始终保持在健康、高效、可持续发展的轨道上。</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助餐服务专员：3人</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FEC6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3人</w:t>
            </w:r>
          </w:p>
        </w:tc>
      </w:tr>
      <w:tr w14:paraId="56C77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26D5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C10F7">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102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B0C9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明细</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4F73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设备/服务</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90585">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功能/参数</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96E8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551B2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5CF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2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B6B91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机构监管</w:t>
            </w:r>
          </w:p>
        </w:tc>
        <w:tc>
          <w:tcPr>
            <w:tcW w:w="102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390F4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安全监管</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685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200W像素半球摄像机</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0D39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和省、市平台对接，通过网络摄像头，对机构活动区域进行视频监控和联动，根据实际监控查看需求，将监控摄像头按照不同区域进行划分，生成不同的监控系统实时画面。支持电子围栏功能，如机构院内老人发生意外离院，超出正常活动范围，平台可自动告警并可联动人员所在位置的视频摄像头进行拍摄，记录下人员的视频信息。</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9A9C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65个</w:t>
            </w:r>
          </w:p>
        </w:tc>
      </w:tr>
      <w:tr w14:paraId="6E1A4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9CF7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08CCF7">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B90494">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72AA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8路型 NVR</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97B6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8路型NVR 网络硬盘录像机</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BFC9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25个</w:t>
            </w:r>
          </w:p>
        </w:tc>
      </w:tr>
      <w:tr w14:paraId="541B3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BA9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BB2E65">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C9DA7">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3E3F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监控专用硬盘 3T</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E01C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监控专用硬盘 3T</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9C1F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25个</w:t>
            </w:r>
          </w:p>
        </w:tc>
      </w:tr>
      <w:tr w14:paraId="32532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4A9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7CD877">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09B1AE">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BCF9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其他（网线、线槽、安装）</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B0DC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网线、线槽等设备安装</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45FBB">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1套</w:t>
            </w:r>
          </w:p>
        </w:tc>
      </w:tr>
      <w:tr w14:paraId="24428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6A4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BE7C16">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65895A">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AA80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红外客流统计设备</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0482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红外客流统计设备</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7FB3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1个</w:t>
            </w:r>
          </w:p>
        </w:tc>
      </w:tr>
      <w:tr w14:paraId="575F2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425C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4A60F">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767AD0">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AD95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UPS 及稳压电源</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8013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UPS 及稳压电源</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1A0A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1个</w:t>
            </w:r>
          </w:p>
        </w:tc>
      </w:tr>
      <w:tr w14:paraId="37B8B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18"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C6D5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2A1BA">
            <w:pPr>
              <w:jc w:val="center"/>
              <w:rPr>
                <w:rFonts w:hint="eastAsia" w:ascii="宋体" w:hAnsi="宋体" w:eastAsia="宋体" w:cs="宋体"/>
                <w:i w:val="0"/>
                <w:iCs w:val="0"/>
                <w:color w:val="000000"/>
                <w:sz w:val="24"/>
                <w:szCs w:val="24"/>
                <w:u w:val="none"/>
              </w:rPr>
            </w:pPr>
          </w:p>
        </w:tc>
        <w:tc>
          <w:tcPr>
            <w:tcW w:w="102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B9E52B">
            <w:pPr>
              <w:jc w:val="center"/>
              <w:rPr>
                <w:rFonts w:hint="eastAsia" w:ascii="宋体" w:hAnsi="宋体" w:eastAsia="宋体" w:cs="宋体"/>
                <w:i w:val="0"/>
                <w:iCs w:val="0"/>
                <w:color w:val="000000"/>
                <w:sz w:val="24"/>
                <w:szCs w:val="24"/>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5F07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云服务器及相关资源</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6D3E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阿里云ECS服务器配置：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实例规格： ecs.r6.xlarge</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CPU&amp;内存： 4核(vCPU) 32 GiB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 CentOS 7.6 64位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网络类型： 专有网络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公网带宽： 5 Mbps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 据 盘： ESSD云盘 PL1 100GiB(6800 IOPS)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 统 盘： ESSD云盘 PL0 40GiB(2280 IOPS)</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5216F">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1项</w:t>
            </w:r>
          </w:p>
        </w:tc>
      </w:tr>
      <w:tr w14:paraId="4D028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1A6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396A83">
            <w:pPr>
              <w:jc w:val="center"/>
              <w:rPr>
                <w:rFonts w:hint="eastAsia" w:ascii="宋体" w:hAnsi="宋体" w:eastAsia="宋体" w:cs="宋体"/>
                <w:i w:val="0"/>
                <w:iCs w:val="0"/>
                <w:color w:val="000000"/>
                <w:sz w:val="24"/>
                <w:szCs w:val="24"/>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D6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智慧消防</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2F5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平台运营</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top"/>
          </w:tcPr>
          <w:p w14:paraId="2F55879E">
            <w:pPr>
              <w:keepNext w:val="0"/>
              <w:keepLines w:val="0"/>
              <w:widowControl/>
              <w:suppressLineNumbers w:val="0"/>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慧用电、用水、独立烟感、燃气、脱岗离岗等监测：通过物联网及相关电子硬件集成，实现各种事件的监测，服务内容（1）短信通知：实时监测服务机构内部用电、用水、独立烟感、燃气、脱岗离岗等事件的发生。一旦出现相关情况，系统自动将报警短信推送到机构管理人员手机上；（2）事件处置：发生报警后，机构管理人员可实时接收并进行处置，处置后上传事件处理照片，方便民政监管人员查看；（3）报警统计：对相关报警信息进行统计分析，方便机构管理人员查看。坐席服务人员：2人。</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05674">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2人</w:t>
            </w:r>
          </w:p>
        </w:tc>
      </w:tr>
      <w:tr w14:paraId="100162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543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2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9441D">
            <w:pPr>
              <w:jc w:val="center"/>
              <w:rPr>
                <w:rFonts w:hint="eastAsia" w:ascii="宋体" w:hAnsi="宋体" w:eastAsia="宋体" w:cs="宋体"/>
                <w:i w:val="0"/>
                <w:iCs w:val="0"/>
                <w:color w:val="000000"/>
                <w:sz w:val="24"/>
                <w:szCs w:val="24"/>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E75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智能看护</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CA08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智能卡套</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00A5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内置远距离感应RFID芯片，感应距离20厘米到8米，同时支持近距和远距感应。带数据加密功能，安全可靠。 后盖印刷个人唯一识别码，与个人身份绑定。另外可以放一张老年卡或身份证，方便携带。无须充电，永久使用，用于支付/上门服务/人流统计等场景无感身份识别。</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87EB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 xml:space="preserve">500个 </w:t>
            </w:r>
          </w:p>
        </w:tc>
      </w:tr>
      <w:tr w14:paraId="7BA1A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trPr>
        <w:tc>
          <w:tcPr>
            <w:tcW w:w="9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2E53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2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A219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居家上门服务AI监管</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9156F">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平台运营</w:t>
            </w:r>
          </w:p>
        </w:tc>
        <w:tc>
          <w:tcPr>
            <w:tcW w:w="9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E52D1">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w:t>
            </w:r>
          </w:p>
        </w:tc>
        <w:tc>
          <w:tcPr>
            <w:tcW w:w="4117" w:type="dxa"/>
            <w:tcBorders>
              <w:top w:val="single" w:color="000000" w:sz="4" w:space="0"/>
              <w:left w:val="single" w:color="000000" w:sz="4" w:space="0"/>
              <w:bottom w:val="single" w:color="000000" w:sz="4" w:space="0"/>
              <w:right w:val="single" w:color="000000" w:sz="4" w:space="0"/>
            </w:tcBorders>
            <w:shd w:val="clear" w:color="auto" w:fill="auto"/>
            <w:vAlign w:val="top"/>
          </w:tcPr>
          <w:p w14:paraId="02AFD731">
            <w:pPr>
              <w:keepNext w:val="0"/>
              <w:keepLines w:val="0"/>
              <w:widowControl/>
              <w:suppressLineNumbers w:val="0"/>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接省、市平台数据，支持依托深度神经网络训练图像特征提取、比对和评分，检测服务工单图像的真实性，图像翻拍和PS图像伪造等问题。通过自动识别并显示异常工单，减少人工核对的工作量，提高监管效率，确保巡视探访工单的真实性。通过人工审单，提供居家上门服务全过程监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客服人员：2人</w:t>
            </w:r>
          </w:p>
        </w:tc>
        <w:tc>
          <w:tcPr>
            <w:tcW w:w="8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A1D63">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2人</w:t>
            </w:r>
          </w:p>
        </w:tc>
      </w:tr>
    </w:tbl>
    <w:p w14:paraId="76A87264">
      <w:pPr>
        <w:pageBreakBefore w:val="0"/>
        <w:widowControl w:val="0"/>
        <w:wordWrap/>
        <w:overflowPunct/>
        <w:topLinePunct w:val="0"/>
        <w:bidi w:val="0"/>
        <w:spacing w:line="242" w:lineRule="auto"/>
        <w:rPr>
          <w:color w:val="auto"/>
          <w:highlight w:val="none"/>
        </w:rPr>
      </w:pPr>
    </w:p>
    <w:p w14:paraId="265FB5A1">
      <w:pPr>
        <w:widowControl/>
        <w:spacing w:line="240" w:lineRule="auto"/>
        <w:jc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spacing w:val="0"/>
          <w:position w:val="0"/>
          <w:sz w:val="24"/>
          <w:szCs w:val="24"/>
          <w:lang w:val="en-US" w:eastAsia="zh-CN"/>
        </w:rPr>
        <w:t>2、根据本项目特点提供</w:t>
      </w:r>
      <w:r>
        <w:rPr>
          <w:rFonts w:hint="eastAsia"/>
          <w:sz w:val="24"/>
          <w:szCs w:val="32"/>
        </w:rPr>
        <w:t>项目的理解与发展规划</w:t>
      </w:r>
      <w:r>
        <w:rPr>
          <w:rFonts w:hint="eastAsia" w:eastAsia="宋体"/>
          <w:sz w:val="24"/>
          <w:szCs w:val="32"/>
          <w:lang w:eastAsia="zh-CN"/>
        </w:rPr>
        <w:t>、</w:t>
      </w:r>
      <w:r>
        <w:rPr>
          <w:rFonts w:hint="eastAsia" w:ascii="宋体" w:hAnsi="宋体" w:eastAsia="宋体" w:cs="宋体"/>
          <w:color w:val="auto"/>
          <w:kern w:val="0"/>
          <w:sz w:val="24"/>
          <w:szCs w:val="24"/>
          <w:lang w:val="en-US" w:eastAsia="zh-CN"/>
        </w:rPr>
        <w:t>总体服务方案、项目实施方案、</w:t>
      </w:r>
    </w:p>
    <w:p w14:paraId="7B59548D">
      <w:pPr>
        <w:pageBreakBefore w:val="0"/>
        <w:widowControl w:val="0"/>
        <w:wordWrap/>
        <w:overflowPunct/>
        <w:topLinePunct w:val="0"/>
        <w:bidi w:val="0"/>
        <w:spacing w:line="245" w:lineRule="auto"/>
        <w:rPr>
          <w:rFonts w:hint="eastAsia" w:ascii="宋体" w:hAnsi="宋体" w:eastAsia="宋体" w:cs="宋体"/>
          <w:sz w:val="24"/>
          <w:szCs w:val="24"/>
          <w:lang w:eastAsia="zh-CN"/>
        </w:rPr>
      </w:pPr>
      <w:r>
        <w:rPr>
          <w:rFonts w:hint="eastAsia" w:ascii="宋体" w:hAnsi="宋体" w:eastAsia="宋体" w:cs="宋体"/>
          <w:snapToGrid w:val="0"/>
          <w:sz w:val="24"/>
          <w:szCs w:val="24"/>
          <w:lang w:eastAsia="en-US"/>
        </w:rPr>
        <w:t>培训方案</w:t>
      </w:r>
      <w:r>
        <w:rPr>
          <w:rFonts w:hint="eastAsia" w:ascii="宋体" w:hAnsi="宋体" w:eastAsia="宋体" w:cs="宋体"/>
          <w:snapToGrid w:val="0"/>
          <w:sz w:val="24"/>
          <w:szCs w:val="24"/>
          <w:lang w:eastAsia="zh-CN"/>
        </w:rPr>
        <w:t>、</w:t>
      </w:r>
      <w:r>
        <w:rPr>
          <w:rFonts w:hint="eastAsia" w:ascii="宋体" w:hAnsi="宋体" w:eastAsia="宋体" w:cs="宋体"/>
          <w:sz w:val="24"/>
          <w:szCs w:val="24"/>
        </w:rPr>
        <w:t>质量保障方案</w:t>
      </w:r>
      <w:r>
        <w:rPr>
          <w:rFonts w:hint="eastAsia" w:ascii="宋体" w:hAnsi="宋体" w:eastAsia="宋体" w:cs="宋体"/>
          <w:sz w:val="24"/>
          <w:szCs w:val="24"/>
          <w:lang w:eastAsia="zh-CN"/>
        </w:rPr>
        <w:t>。</w:t>
      </w:r>
    </w:p>
    <w:p w14:paraId="2C51E13C">
      <w:pPr>
        <w:pStyle w:val="2"/>
        <w:rPr>
          <w:lang w:eastAsia="zh-CN"/>
        </w:rPr>
      </w:pPr>
    </w:p>
    <w:p w14:paraId="6CD0063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7CBE9AA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1、服务地点：根据采购单位实际工作需要在信州区范围内进行服务。</w:t>
      </w:r>
    </w:p>
    <w:p w14:paraId="5F26E0E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2、服务时间：自合同签订生效之日起1年。</w:t>
      </w:r>
    </w:p>
    <w:p w14:paraId="04B6E6E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3、付款方式：合同签订后，项目所涉货物到场验收后支付合同金额的60%，项目验收合格后支付剩余金额。</w:t>
      </w:r>
    </w:p>
    <w:p w14:paraId="392E31F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4、服务期内，提供不少于3人的服务团队常驻项目现场负责项目工作，其中项目经理1名，项目助理2名。（供应商须对此项提供书面承诺函，格式自拟）</w:t>
      </w:r>
    </w:p>
    <w:p w14:paraId="414A126D">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 xml:space="preserve">5、其他商务要求： </w:t>
      </w:r>
    </w:p>
    <w:p w14:paraId="4726F6F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中标</w:t>
      </w:r>
      <w:r>
        <w:rPr>
          <w:rFonts w:hint="eastAsia" w:ascii="宋体" w:hAnsi="宋体" w:eastAsia="宋体" w:cs="宋体"/>
          <w:b w:val="0"/>
          <w:bCs w:val="0"/>
          <w:kern w:val="2"/>
          <w:sz w:val="24"/>
          <w:szCs w:val="24"/>
          <w:vertAlign w:val="baseline"/>
          <w:lang w:val="en-US" w:eastAsia="zh-CN" w:bidi="ar-SA"/>
        </w:rPr>
        <w:t>供应商必须对本项目技术文件以及由采购人提供的所有内部资料、技术文档和信息予以保密，未经采购人书面许可，中标供应商不得以任何形式向第三方透露本项目相关的任何内容。</w:t>
      </w:r>
    </w:p>
    <w:p w14:paraId="1D7B2E3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5.2、中标供应商在本项目中提供的所投货物及服务时免受第三方提出的侵犯其专利权或其它知识产权的起诉。如果第三方提出侵权指控，中标供应商应承担由此而引起的一切法律责任和费用。</w:t>
      </w:r>
    </w:p>
    <w:p w14:paraId="663B41F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5.3、中标供应商在本项目中提供的所投货物均须满足国家法定质保及售后要求。</w:t>
      </w:r>
    </w:p>
    <w:p w14:paraId="4BB34D6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61" w:firstLine="420" w:firstLineChars="175"/>
        <w:jc w:val="both"/>
        <w:textAlignment w:val="baseline"/>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5.4、其他未尽事宜可在合同中另行约定。</w:t>
      </w:r>
    </w:p>
    <w:p w14:paraId="747D5BC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00A3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table" w:customStyle="1" w:styleId="8">
    <w:name w:val="Table Normal"/>
    <w:semiHidden/>
    <w:unhideWhenUsed/>
    <w:qFormat/>
    <w:uiPriority w:val="0"/>
    <w:tblPr>
      <w:tblCellMar>
        <w:top w:w="0" w:type="dxa"/>
        <w:left w:w="0" w:type="dxa"/>
        <w:bottom w:w="0" w:type="dxa"/>
        <w:right w:w="0" w:type="dxa"/>
      </w:tblCellMar>
    </w:tblPr>
  </w:style>
  <w:style w:type="paragraph" w:customStyle="1" w:styleId="9">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2026-06-08T09:08:22Z</dcterms:created>
  <dc:creator>54126</dc:creator>
  <cp:lastModifiedBy>54126</cp:lastModifiedBy>
  <dcterms:modified xsi:type="dcterms:W3CDTF">2026-06-08T09:08:33Z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eyJoZGlkIjoiMGI2NTNkYTA2YTczNzc5YTZlNjkwNTY2ZDM5YjQ5ZTEiLCJ1c2VySWQiOiIyMzM3OTUzMzQifQ==</vt:lpwstr>
  </property>
  <property fmtid="{D5CDD505-2E9C-101B-9397-08002B2CF9AE}" pid="4" name="ICV">
    <vt:lpwstr>EC843A8969CD47F580545D94ADB36698_12</vt:lpwstr>
  </property>
</Properties>
</file>