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83773D">
      <w:pPr>
        <w:pageBreakBefore w:val="0"/>
        <w:widowControl w:val="0"/>
        <w:wordWrap/>
        <w:overflowPunct/>
        <w:topLinePunct w:val="0"/>
        <w:bidi w:val="0"/>
        <w:spacing w:before="63" w:line="224" w:lineRule="auto"/>
        <w:jc w:val="center"/>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pPr>
      <w:r>
        <w:rPr>
          <w:rFonts w:ascii="宋体" w:hAnsi="宋体" w:eastAsia="宋体" w:cs="宋体"/>
          <w:color w:val="auto"/>
          <w:spacing w:val="0"/>
          <w:w w:val="100"/>
          <w:position w:val="0"/>
          <w:sz w:val="31"/>
          <w:szCs w:val="31"/>
          <w:highlight w:val="none"/>
          <w:lang w:eastAsia="zh-CN"/>
          <w14:textOutline w14:w="5791" w14:cap="sq" w14:cmpd="sng" w14:algn="ctr">
            <w14:solidFill>
              <w14:srgbClr w14:val="000000"/>
            </w14:solidFill>
            <w14:prstDash w14:val="solid"/>
            <w14:bevel/>
          </w14:textOutline>
        </w:rPr>
        <w:t>货物需求表及采购需求</w:t>
      </w:r>
    </w:p>
    <w:p w14:paraId="1F3D8729">
      <w:pPr>
        <w:pageBreakBefore w:val="0"/>
        <w:widowControl w:val="0"/>
        <w:wordWrap/>
        <w:overflowPunct/>
        <w:topLinePunct w:val="0"/>
        <w:bidi w:val="0"/>
        <w:spacing w:before="78" w:line="220" w:lineRule="auto"/>
        <w:outlineLvl w:val="1"/>
        <w:rPr>
          <w:color w:val="auto"/>
          <w:spacing w:val="0"/>
          <w:w w:val="100"/>
          <w:position w:val="0"/>
          <w:highlight w:val="none"/>
        </w:rPr>
      </w:pPr>
      <w:bookmarkStart w:id="0" w:name="_Toc13985"/>
      <w:bookmarkStart w:id="1" w:name="_Toc14357"/>
      <w:r>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0"/>
          <w:w w:val="100"/>
          <w:position w:val="0"/>
          <w:sz w:val="24"/>
          <w:szCs w:val="24"/>
          <w:highlight w:val="none"/>
          <w:lang w:val="en-US" w:eastAsia="zh-CN"/>
          <w14:textOutline w14:w="4356" w14:cap="sq" w14:cmpd="sng" w14:algn="ctr">
            <w14:solidFill>
              <w14:srgbClr w14:val="000000"/>
            </w14:solidFill>
            <w14:prstDash w14:val="solid"/>
            <w14:bevel/>
          </w14:textOutline>
        </w:rPr>
        <w:t>货物</w:t>
      </w:r>
      <w:r>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需求表</w:t>
      </w:r>
      <w:bookmarkEnd w:id="0"/>
      <w:bookmarkEnd w:id="1"/>
    </w:p>
    <w:tbl>
      <w:tblPr>
        <w:tblStyle w:val="5"/>
        <w:tblpPr w:leftFromText="180" w:rightFromText="180" w:vertAnchor="text" w:horzAnchor="page" w:tblpX="1392" w:tblpY="255"/>
        <w:tblOverlap w:val="never"/>
        <w:tblW w:w="9101" w:type="dxa"/>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737"/>
        <w:gridCol w:w="1101"/>
        <w:gridCol w:w="6263"/>
      </w:tblGrid>
      <w:tr w14:paraId="0F72801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1737" w:type="dxa"/>
            <w:tcBorders>
              <w:right w:val="nil"/>
            </w:tcBorders>
          </w:tcPr>
          <w:p w14:paraId="1C6EDFD1">
            <w:pPr>
              <w:pageBreakBefore w:val="0"/>
              <w:widowControl w:val="0"/>
              <w:wordWrap/>
              <w:overflowPunct/>
              <w:topLinePunct w:val="0"/>
              <w:bidi w:val="0"/>
              <w:spacing w:before="183" w:line="223" w:lineRule="auto"/>
              <w:ind w:left="1091"/>
              <w:rPr>
                <w:rFonts w:ascii="宋体" w:hAnsi="宋体" w:eastAsia="宋体" w:cs="宋体"/>
                <w:color w:val="auto"/>
                <w:spacing w:val="0"/>
                <w:w w:val="100"/>
                <w:position w:val="0"/>
                <w:sz w:val="24"/>
                <w:szCs w:val="24"/>
                <w:highlight w:val="none"/>
              </w:rPr>
            </w:pPr>
            <w:bookmarkStart w:id="4" w:name="_GoBack"/>
            <w:r>
              <w:rPr>
                <w:color w:val="auto"/>
                <w:spacing w:val="0"/>
                <w:w w:val="100"/>
                <w:position w:val="0"/>
                <w:highlight w:val="none"/>
              </w:rPr>
              <w:drawing>
                <wp:anchor distT="0" distB="0" distL="0" distR="0" simplePos="0" relativeHeight="251660288" behindDoc="1" locked="0" layoutInCell="1" allowOverlap="1">
                  <wp:simplePos x="0" y="0"/>
                  <wp:positionH relativeFrom="column">
                    <wp:posOffset>16510</wp:posOffset>
                  </wp:positionH>
                  <wp:positionV relativeFrom="paragraph">
                    <wp:posOffset>10160</wp:posOffset>
                  </wp:positionV>
                  <wp:extent cx="1767840" cy="1456690"/>
                  <wp:effectExtent l="0" t="0" r="3810" b="10160"/>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767840" cy="1456690"/>
                          </a:xfrm>
                          <a:prstGeom prst="rect">
                            <a:avLst/>
                          </a:prstGeom>
                        </pic:spPr>
                      </pic:pic>
                    </a:graphicData>
                  </a:graphic>
                </wp:anchor>
              </w:drawing>
            </w:r>
            <w:bookmarkEnd w:id="4"/>
            <w:r>
              <w:rPr>
                <w:rFonts w:ascii="宋体" w:hAnsi="宋体" w:eastAsia="宋体" w:cs="宋体"/>
                <w:color w:val="auto"/>
                <w:spacing w:val="0"/>
                <w:w w:val="100"/>
                <w:position w:val="0"/>
                <w:sz w:val="24"/>
                <w:szCs w:val="24"/>
                <w:highlight w:val="none"/>
              </w:rPr>
              <w:t>名</w:t>
            </w:r>
          </w:p>
          <w:p w14:paraId="2A40E4F1">
            <w:pPr>
              <w:pStyle w:val="6"/>
              <w:pageBreakBefore w:val="0"/>
              <w:widowControl w:val="0"/>
              <w:wordWrap/>
              <w:overflowPunct/>
              <w:topLinePunct w:val="0"/>
              <w:bidi w:val="0"/>
              <w:spacing w:line="245" w:lineRule="auto"/>
              <w:rPr>
                <w:color w:val="auto"/>
                <w:spacing w:val="0"/>
                <w:w w:val="100"/>
                <w:position w:val="0"/>
                <w:highlight w:val="none"/>
              </w:rPr>
            </w:pPr>
          </w:p>
          <w:p w14:paraId="30E3BEBE">
            <w:pPr>
              <w:pStyle w:val="6"/>
              <w:pageBreakBefore w:val="0"/>
              <w:widowControl w:val="0"/>
              <w:wordWrap/>
              <w:overflowPunct/>
              <w:topLinePunct w:val="0"/>
              <w:bidi w:val="0"/>
              <w:spacing w:line="246" w:lineRule="auto"/>
              <w:rPr>
                <w:color w:val="auto"/>
                <w:spacing w:val="0"/>
                <w:w w:val="100"/>
                <w:position w:val="0"/>
                <w:highlight w:val="none"/>
              </w:rPr>
            </w:pPr>
          </w:p>
          <w:p w14:paraId="09A0ACB3">
            <w:pPr>
              <w:pageBreakBefore w:val="0"/>
              <w:widowControl w:val="0"/>
              <w:wordWrap/>
              <w:overflowPunct/>
              <w:topLinePunct w:val="0"/>
              <w:bidi w:val="0"/>
              <w:spacing w:before="78" w:line="219" w:lineRule="auto"/>
              <w:ind w:left="48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内</w:t>
            </w:r>
          </w:p>
          <w:p w14:paraId="22A31581">
            <w:pPr>
              <w:pStyle w:val="6"/>
              <w:pageBreakBefore w:val="0"/>
              <w:widowControl w:val="0"/>
              <w:wordWrap/>
              <w:overflowPunct/>
              <w:topLinePunct w:val="0"/>
              <w:bidi w:val="0"/>
              <w:spacing w:line="338" w:lineRule="auto"/>
              <w:rPr>
                <w:color w:val="auto"/>
                <w:spacing w:val="0"/>
                <w:w w:val="100"/>
                <w:position w:val="0"/>
                <w:highlight w:val="none"/>
              </w:rPr>
            </w:pPr>
          </w:p>
          <w:p w14:paraId="023EB439">
            <w:pPr>
              <w:pageBreakBefore w:val="0"/>
              <w:widowControl w:val="0"/>
              <w:wordWrap/>
              <w:overflowPunct/>
              <w:topLinePunct w:val="0"/>
              <w:bidi w:val="0"/>
              <w:spacing w:before="78" w:line="220" w:lineRule="auto"/>
              <w:ind w:left="131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容</w:t>
            </w:r>
          </w:p>
        </w:tc>
        <w:tc>
          <w:tcPr>
            <w:tcW w:w="1101" w:type="dxa"/>
            <w:tcBorders>
              <w:left w:val="nil"/>
            </w:tcBorders>
          </w:tcPr>
          <w:p w14:paraId="70413F71">
            <w:pPr>
              <w:pStyle w:val="6"/>
              <w:pageBreakBefore w:val="0"/>
              <w:widowControl w:val="0"/>
              <w:wordWrap/>
              <w:overflowPunct/>
              <w:topLinePunct w:val="0"/>
              <w:bidi w:val="0"/>
              <w:spacing w:line="263" w:lineRule="auto"/>
              <w:rPr>
                <w:color w:val="auto"/>
                <w:spacing w:val="0"/>
                <w:w w:val="100"/>
                <w:position w:val="0"/>
                <w:highlight w:val="none"/>
              </w:rPr>
            </w:pPr>
          </w:p>
          <w:p w14:paraId="71F6122D">
            <w:pPr>
              <w:pStyle w:val="6"/>
              <w:pageBreakBefore w:val="0"/>
              <w:widowControl w:val="0"/>
              <w:wordWrap/>
              <w:overflowPunct/>
              <w:topLinePunct w:val="0"/>
              <w:bidi w:val="0"/>
              <w:spacing w:line="263" w:lineRule="auto"/>
              <w:rPr>
                <w:color w:val="auto"/>
                <w:spacing w:val="0"/>
                <w:w w:val="100"/>
                <w:position w:val="0"/>
                <w:highlight w:val="none"/>
              </w:rPr>
            </w:pPr>
          </w:p>
          <w:p w14:paraId="10924E2D">
            <w:pPr>
              <w:pStyle w:val="6"/>
              <w:pageBreakBefore w:val="0"/>
              <w:widowControl w:val="0"/>
              <w:wordWrap/>
              <w:overflowPunct/>
              <w:topLinePunct w:val="0"/>
              <w:bidi w:val="0"/>
              <w:spacing w:line="264" w:lineRule="auto"/>
              <w:rPr>
                <w:color w:val="auto"/>
                <w:spacing w:val="0"/>
                <w:w w:val="100"/>
                <w:position w:val="0"/>
                <w:highlight w:val="none"/>
              </w:rPr>
            </w:pPr>
          </w:p>
          <w:p w14:paraId="38D3A84E">
            <w:pPr>
              <w:pageBreakBefore w:val="0"/>
              <w:widowControl w:val="0"/>
              <w:wordWrap/>
              <w:overflowPunct/>
              <w:topLinePunct w:val="0"/>
              <w:bidi w:val="0"/>
              <w:spacing w:before="78" w:line="221" w:lineRule="auto"/>
              <w:ind w:left="192"/>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称</w:t>
            </w:r>
          </w:p>
        </w:tc>
        <w:tc>
          <w:tcPr>
            <w:tcW w:w="6263" w:type="dxa"/>
            <w:vAlign w:val="center"/>
          </w:tcPr>
          <w:p w14:paraId="7004B713">
            <w:pPr>
              <w:pStyle w:val="6"/>
              <w:pageBreakBefore w:val="0"/>
              <w:widowControl w:val="0"/>
              <w:wordWrap/>
              <w:overflowPunct/>
              <w:topLinePunct w:val="0"/>
              <w:bidi w:val="0"/>
              <w:jc w:val="center"/>
              <w:rPr>
                <w:color w:val="auto"/>
                <w:spacing w:val="0"/>
                <w:w w:val="100"/>
                <w:position w:val="0"/>
                <w:highlight w:val="none"/>
              </w:rPr>
            </w:pPr>
            <w:r>
              <w:rPr>
                <w:rFonts w:hint="eastAsia"/>
                <w:color w:val="auto"/>
                <w:spacing w:val="0"/>
                <w:w w:val="100"/>
                <w:position w:val="0"/>
                <w:highlight w:val="none"/>
                <w:lang w:val="en-US" w:eastAsia="zh-CN"/>
              </w:rPr>
              <w:t>东乡区岗上积不停车检测点搬迁采购项目</w:t>
            </w:r>
          </w:p>
        </w:tc>
      </w:tr>
      <w:tr w14:paraId="6C76F8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16FF8969">
            <w:pPr>
              <w:pageBreakBefore w:val="0"/>
              <w:widowControl w:val="0"/>
              <w:wordWrap/>
              <w:overflowPunct/>
              <w:topLinePunct w:val="0"/>
              <w:bidi w:val="0"/>
              <w:spacing w:before="253" w:line="219" w:lineRule="auto"/>
              <w:ind w:left="1188"/>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数量</w:t>
            </w:r>
          </w:p>
        </w:tc>
        <w:tc>
          <w:tcPr>
            <w:tcW w:w="6263" w:type="dxa"/>
            <w:vAlign w:val="center"/>
          </w:tcPr>
          <w:p w14:paraId="58E1B62E">
            <w:pPr>
              <w:pStyle w:val="6"/>
              <w:pageBreakBefore w:val="0"/>
              <w:widowControl w:val="0"/>
              <w:wordWrap/>
              <w:overflowPunct/>
              <w:topLinePunct w:val="0"/>
              <w:bidi w:val="0"/>
              <w:jc w:val="center"/>
              <w:rPr>
                <w:rFonts w:hint="eastAsia" w:eastAsia="宋体"/>
                <w:color w:val="auto"/>
                <w:spacing w:val="0"/>
                <w:w w:val="100"/>
                <w:position w:val="0"/>
                <w:highlight w:val="none"/>
                <w:lang w:val="en-US" w:eastAsia="zh-CN"/>
              </w:rPr>
            </w:pPr>
            <w:r>
              <w:rPr>
                <w:rFonts w:hint="eastAsia" w:eastAsia="宋体"/>
                <w:color w:val="auto"/>
                <w:spacing w:val="0"/>
                <w:w w:val="100"/>
                <w:position w:val="0"/>
                <w:highlight w:val="none"/>
                <w:lang w:val="en-US" w:eastAsia="zh-CN"/>
              </w:rPr>
              <w:t>1</w:t>
            </w:r>
          </w:p>
        </w:tc>
      </w:tr>
      <w:tr w14:paraId="1977EF0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257B56ED">
            <w:pPr>
              <w:pageBreakBefore w:val="0"/>
              <w:widowControl w:val="0"/>
              <w:wordWrap/>
              <w:overflowPunct/>
              <w:topLinePunct w:val="0"/>
              <w:bidi w:val="0"/>
              <w:spacing w:before="253" w:line="219" w:lineRule="auto"/>
              <w:ind w:left="107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交货期</w:t>
            </w:r>
          </w:p>
        </w:tc>
        <w:tc>
          <w:tcPr>
            <w:tcW w:w="6263" w:type="dxa"/>
            <w:vAlign w:val="center"/>
          </w:tcPr>
          <w:p w14:paraId="4A9B4A34">
            <w:pPr>
              <w:pStyle w:val="6"/>
              <w:pageBreakBefore w:val="0"/>
              <w:widowControl w:val="0"/>
              <w:wordWrap/>
              <w:overflowPunct/>
              <w:topLinePunct w:val="0"/>
              <w:bidi w:val="0"/>
              <w:jc w:val="center"/>
              <w:rPr>
                <w:rFonts w:hint="default" w:eastAsia="宋体"/>
                <w:color w:val="auto"/>
                <w:spacing w:val="0"/>
                <w:w w:val="100"/>
                <w:position w:val="0"/>
                <w:highlight w:val="none"/>
                <w:lang w:val="en-US" w:eastAsia="zh-CN"/>
              </w:rPr>
            </w:pPr>
            <w:r>
              <w:rPr>
                <w:rFonts w:hint="eastAsia"/>
                <w:color w:val="auto"/>
                <w:spacing w:val="0"/>
                <w:w w:val="100"/>
                <w:position w:val="0"/>
                <w:highlight w:val="none"/>
                <w:lang w:val="en-US" w:eastAsia="zh-CN"/>
              </w:rPr>
              <w:t>自合同生效之日起90日历天内完成供货、安装并投入使用</w:t>
            </w:r>
          </w:p>
        </w:tc>
      </w:tr>
      <w:tr w14:paraId="0829F0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38" w:type="dxa"/>
            <w:gridSpan w:val="2"/>
          </w:tcPr>
          <w:p w14:paraId="06F6C78F">
            <w:pPr>
              <w:pageBreakBefore w:val="0"/>
              <w:widowControl w:val="0"/>
              <w:wordWrap/>
              <w:overflowPunct/>
              <w:topLinePunct w:val="0"/>
              <w:bidi w:val="0"/>
              <w:spacing w:before="256" w:line="219" w:lineRule="auto"/>
              <w:ind w:left="95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交货地点</w:t>
            </w:r>
          </w:p>
        </w:tc>
        <w:tc>
          <w:tcPr>
            <w:tcW w:w="6263" w:type="dxa"/>
            <w:vAlign w:val="center"/>
          </w:tcPr>
          <w:p w14:paraId="15460062">
            <w:pPr>
              <w:pStyle w:val="6"/>
              <w:pageBreakBefore w:val="0"/>
              <w:widowControl w:val="0"/>
              <w:wordWrap/>
              <w:overflowPunct/>
              <w:topLinePunct w:val="0"/>
              <w:bidi w:val="0"/>
              <w:jc w:val="center"/>
              <w:rPr>
                <w:rFonts w:hint="default" w:eastAsia="宋体"/>
                <w:color w:val="auto"/>
                <w:spacing w:val="0"/>
                <w:w w:val="100"/>
                <w:position w:val="0"/>
                <w:highlight w:val="none"/>
                <w:lang w:val="en-US" w:eastAsia="zh-CN"/>
              </w:rPr>
            </w:pPr>
            <w:r>
              <w:rPr>
                <w:rFonts w:hint="eastAsia" w:eastAsia="宋体"/>
                <w:color w:val="auto"/>
                <w:spacing w:val="0"/>
                <w:w w:val="100"/>
                <w:position w:val="0"/>
                <w:highlight w:val="none"/>
                <w:lang w:val="en-US" w:eastAsia="zh-CN"/>
              </w:rPr>
              <w:t>采购人指定地点</w:t>
            </w:r>
          </w:p>
        </w:tc>
      </w:tr>
      <w:tr w14:paraId="10E6DAA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5" w:hRule="atLeast"/>
        </w:trPr>
        <w:tc>
          <w:tcPr>
            <w:tcW w:w="2838" w:type="dxa"/>
            <w:gridSpan w:val="2"/>
          </w:tcPr>
          <w:p w14:paraId="25A0E2B5">
            <w:pPr>
              <w:pageBreakBefore w:val="0"/>
              <w:widowControl w:val="0"/>
              <w:wordWrap/>
              <w:overflowPunct/>
              <w:topLinePunct w:val="0"/>
              <w:bidi w:val="0"/>
              <w:spacing w:before="257" w:line="220" w:lineRule="auto"/>
              <w:ind w:left="951"/>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安装地点</w:t>
            </w:r>
          </w:p>
        </w:tc>
        <w:tc>
          <w:tcPr>
            <w:tcW w:w="6263" w:type="dxa"/>
            <w:vAlign w:val="center"/>
          </w:tcPr>
          <w:p w14:paraId="36F7F522">
            <w:pPr>
              <w:pStyle w:val="6"/>
              <w:pageBreakBefore w:val="0"/>
              <w:widowControl w:val="0"/>
              <w:wordWrap/>
              <w:overflowPunct/>
              <w:topLinePunct w:val="0"/>
              <w:bidi w:val="0"/>
              <w:jc w:val="center"/>
              <w:rPr>
                <w:rFonts w:hint="default" w:eastAsia="宋体"/>
                <w:color w:val="auto"/>
                <w:spacing w:val="0"/>
                <w:w w:val="100"/>
                <w:position w:val="0"/>
                <w:highlight w:val="none"/>
                <w:lang w:val="en-US" w:eastAsia="zh-CN"/>
              </w:rPr>
            </w:pPr>
            <w:r>
              <w:rPr>
                <w:rFonts w:hint="eastAsia" w:eastAsia="宋体"/>
                <w:color w:val="auto"/>
                <w:spacing w:val="0"/>
                <w:w w:val="100"/>
                <w:position w:val="0"/>
                <w:highlight w:val="none"/>
                <w:lang w:val="en-US" w:eastAsia="zh-CN"/>
              </w:rPr>
              <w:t>采购人指定地点</w:t>
            </w:r>
          </w:p>
        </w:tc>
      </w:tr>
      <w:tr w14:paraId="38E746A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38" w:type="dxa"/>
            <w:gridSpan w:val="2"/>
          </w:tcPr>
          <w:p w14:paraId="1E580431">
            <w:pPr>
              <w:pageBreakBefore w:val="0"/>
              <w:widowControl w:val="0"/>
              <w:wordWrap/>
              <w:overflowPunct/>
              <w:topLinePunct w:val="0"/>
              <w:bidi w:val="0"/>
              <w:spacing w:before="256" w:line="221" w:lineRule="auto"/>
              <w:ind w:left="1189"/>
              <w:rPr>
                <w:rFonts w:ascii="宋体" w:hAnsi="宋体" w:eastAsia="宋体" w:cs="宋体"/>
                <w:color w:val="auto"/>
                <w:spacing w:val="0"/>
                <w:w w:val="100"/>
                <w:position w:val="0"/>
                <w:sz w:val="24"/>
                <w:szCs w:val="24"/>
                <w:highlight w:val="none"/>
              </w:rPr>
            </w:pPr>
            <w:r>
              <w:rPr>
                <w:rFonts w:ascii="宋体" w:hAnsi="宋体" w:eastAsia="宋体" w:cs="宋体"/>
                <w:color w:val="auto"/>
                <w:spacing w:val="0"/>
                <w:w w:val="100"/>
                <w:position w:val="0"/>
                <w:sz w:val="24"/>
                <w:szCs w:val="24"/>
                <w:highlight w:val="none"/>
              </w:rPr>
              <w:t>备注</w:t>
            </w:r>
          </w:p>
        </w:tc>
        <w:tc>
          <w:tcPr>
            <w:tcW w:w="6263" w:type="dxa"/>
          </w:tcPr>
          <w:p w14:paraId="60648A64">
            <w:pPr>
              <w:pStyle w:val="6"/>
              <w:pageBreakBefore w:val="0"/>
              <w:widowControl w:val="0"/>
              <w:wordWrap/>
              <w:overflowPunct/>
              <w:topLinePunct w:val="0"/>
              <w:bidi w:val="0"/>
              <w:rPr>
                <w:color w:val="auto"/>
                <w:spacing w:val="0"/>
                <w:w w:val="100"/>
                <w:position w:val="0"/>
                <w:highlight w:val="none"/>
              </w:rPr>
            </w:pPr>
          </w:p>
        </w:tc>
      </w:tr>
    </w:tbl>
    <w:p w14:paraId="370BA031">
      <w:pPr>
        <w:pageBreakBefore w:val="0"/>
        <w:widowControl w:val="0"/>
        <w:wordWrap/>
        <w:overflowPunct/>
        <w:topLinePunct w:val="0"/>
        <w:bidi w:val="0"/>
        <w:rPr>
          <w:color w:val="auto"/>
          <w:spacing w:val="0"/>
          <w:w w:val="100"/>
          <w:position w:val="0"/>
          <w:highlight w:val="none"/>
        </w:rPr>
        <w:sectPr>
          <w:footerReference r:id="rId3" w:type="default"/>
          <w:pgSz w:w="11906" w:h="16839"/>
          <w:pgMar w:top="1429" w:right="1587" w:bottom="1429" w:left="1587" w:header="0" w:footer="994" w:gutter="0"/>
          <w:pgBorders>
            <w:top w:val="none" w:sz="0" w:space="0"/>
            <w:left w:val="none" w:sz="0" w:space="0"/>
            <w:bottom w:val="none" w:sz="0" w:space="0"/>
            <w:right w:val="none" w:sz="0" w:space="0"/>
          </w:pgBorders>
          <w:cols w:space="720" w:num="1"/>
        </w:sectPr>
      </w:pPr>
    </w:p>
    <w:p w14:paraId="154967E9">
      <w:pPr>
        <w:pageBreakBefore w:val="0"/>
        <w:widowControl w:val="0"/>
        <w:wordWrap/>
        <w:overflowPunct/>
        <w:topLinePunct w:val="0"/>
        <w:bidi w:val="0"/>
        <w:spacing w:before="47" w:line="219" w:lineRule="auto"/>
        <w:jc w:val="center"/>
        <w:outlineLvl w:val="1"/>
        <w:rPr>
          <w:rFonts w:ascii="宋体" w:hAnsi="宋体" w:eastAsia="宋体" w:cs="宋体"/>
          <w:color w:val="auto"/>
          <w:spacing w:val="0"/>
          <w:w w:val="100"/>
          <w:position w:val="0"/>
          <w:sz w:val="24"/>
          <w:szCs w:val="24"/>
          <w:highlight w:val="none"/>
        </w:rPr>
      </w:pPr>
      <w:bookmarkStart w:id="2" w:name="_Toc15561"/>
      <w:bookmarkStart w:id="3" w:name="_Toc3243"/>
      <w:r>
        <w:rPr>
          <w:rFonts w:ascii="宋体" w:hAnsi="宋体" w:eastAsia="宋体" w:cs="宋体"/>
          <w:color w:val="auto"/>
          <w:spacing w:val="0"/>
          <w:w w:val="100"/>
          <w:position w:val="0"/>
          <w:sz w:val="24"/>
          <w:szCs w:val="24"/>
          <w:highlight w:val="none"/>
          <w14:textOutline w14:w="4356" w14:cap="sq" w14:cmpd="sng" w14:algn="ctr">
            <w14:solidFill>
              <w14:srgbClr w14:val="000000"/>
            </w14:solidFill>
            <w14:prstDash w14:val="solid"/>
            <w14:bevel/>
          </w14:textOutline>
        </w:rPr>
        <w:t>二、采购需求</w:t>
      </w:r>
      <w:bookmarkEnd w:id="2"/>
      <w:bookmarkEnd w:id="3"/>
    </w:p>
    <w:p w14:paraId="14C178C6">
      <w:pPr>
        <w:pageBreakBefore w:val="0"/>
        <w:widowControl w:val="0"/>
        <w:wordWrap/>
        <w:overflowPunct/>
        <w:topLinePunct w:val="0"/>
        <w:bidi w:val="0"/>
        <w:spacing w:line="258" w:lineRule="auto"/>
        <w:rPr>
          <w:color w:val="auto"/>
          <w:spacing w:val="0"/>
          <w:w w:val="100"/>
          <w:position w:val="0"/>
          <w:highlight w:val="none"/>
        </w:rPr>
      </w:pPr>
    </w:p>
    <w:p w14:paraId="40AB609D">
      <w:pPr>
        <w:pageBreakBefore w:val="0"/>
        <w:widowControl w:val="0"/>
        <w:wordWrap/>
        <w:overflowPunct/>
        <w:topLinePunct w:val="0"/>
        <w:bidi w:val="0"/>
        <w:spacing w:before="78" w:line="219" w:lineRule="auto"/>
        <w:jc w:val="left"/>
        <w:rPr>
          <w:rFonts w:hint="default" w:ascii="宋体" w:hAnsi="宋体" w:eastAsia="宋体" w:cs="宋体"/>
          <w:b/>
          <w:bCs/>
          <w:color w:val="auto"/>
          <w:spacing w:val="0"/>
          <w:w w:val="100"/>
          <w:position w:val="0"/>
          <w:sz w:val="24"/>
          <w:szCs w:val="24"/>
          <w:highlight w:val="none"/>
          <w:lang w:val="en-US" w:eastAsia="zh-CN"/>
        </w:rPr>
      </w:pPr>
      <w:r>
        <w:rPr>
          <w:rFonts w:ascii="宋体" w:hAnsi="宋体" w:eastAsia="宋体" w:cs="宋体"/>
          <w:b/>
          <w:bCs/>
          <w:color w:val="auto"/>
          <w:spacing w:val="0"/>
          <w:w w:val="100"/>
          <w:position w:val="0"/>
          <w:sz w:val="24"/>
          <w:szCs w:val="24"/>
          <w:highlight w:val="none"/>
        </w:rPr>
        <w:t xml:space="preserve">（一） </w:t>
      </w:r>
      <w:r>
        <w:rPr>
          <w:rFonts w:hint="eastAsia" w:ascii="宋体" w:hAnsi="宋体" w:eastAsia="宋体" w:cs="宋体"/>
          <w:b/>
          <w:bCs/>
          <w:color w:val="auto"/>
          <w:spacing w:val="0"/>
          <w:w w:val="100"/>
          <w:position w:val="0"/>
          <w:sz w:val="24"/>
          <w:szCs w:val="24"/>
          <w:highlight w:val="none"/>
          <w:lang w:val="en-US" w:eastAsia="zh-CN"/>
        </w:rPr>
        <w:t>采购清单及技术参数要求</w:t>
      </w:r>
    </w:p>
    <w:p w14:paraId="5958557D">
      <w:pPr>
        <w:pageBreakBefore w:val="0"/>
        <w:widowControl w:val="0"/>
        <w:wordWrap/>
        <w:overflowPunct/>
        <w:topLinePunct w:val="0"/>
        <w:bidi w:val="0"/>
        <w:spacing w:line="242" w:lineRule="auto"/>
        <w:rPr>
          <w:color w:val="auto"/>
          <w:spacing w:val="0"/>
          <w:w w:val="100"/>
          <w:position w:val="0"/>
          <w:highlight w:val="none"/>
        </w:rPr>
      </w:pPr>
    </w:p>
    <w:tbl>
      <w:tblPr>
        <w:tblStyle w:val="3"/>
        <w:tblW w:w="994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Layout w:type="autofit"/>
        <w:tblCellMar>
          <w:top w:w="0" w:type="dxa"/>
          <w:left w:w="108" w:type="dxa"/>
          <w:bottom w:w="0" w:type="dxa"/>
          <w:right w:w="108" w:type="dxa"/>
        </w:tblCellMar>
      </w:tblPr>
      <w:tblGrid>
        <w:gridCol w:w="554"/>
        <w:gridCol w:w="1029"/>
        <w:gridCol w:w="6045"/>
        <w:gridCol w:w="529"/>
        <w:gridCol w:w="765"/>
        <w:gridCol w:w="1020"/>
      </w:tblGrid>
      <w:tr w14:paraId="67C00D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700" w:hRule="atLeast"/>
          <w:jc w:val="center"/>
        </w:trPr>
        <w:tc>
          <w:tcPr>
            <w:tcW w:w="55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36D0535">
            <w:pPr>
              <w:keepNext w:val="0"/>
              <w:keepLines w:val="0"/>
              <w:widowControl/>
              <w:suppressLineNumbers w:val="0"/>
              <w:spacing w:line="360" w:lineRule="auto"/>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snapToGrid w:val="0"/>
                <w:color w:val="auto"/>
                <w:kern w:val="0"/>
                <w:sz w:val="20"/>
                <w:szCs w:val="20"/>
                <w:highlight w:val="none"/>
                <w:u w:val="none"/>
                <w:lang w:val="en-US" w:eastAsia="zh-CN" w:bidi="ar"/>
              </w:rPr>
              <w:t xml:space="preserve">序号 </w:t>
            </w:r>
          </w:p>
        </w:tc>
        <w:tc>
          <w:tcPr>
            <w:tcW w:w="10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A3F9E8">
            <w:pPr>
              <w:keepNext w:val="0"/>
              <w:keepLines w:val="0"/>
              <w:widowControl/>
              <w:suppressLineNumbers w:val="0"/>
              <w:spacing w:line="360" w:lineRule="auto"/>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snapToGrid w:val="0"/>
                <w:color w:val="auto"/>
                <w:kern w:val="0"/>
                <w:sz w:val="20"/>
                <w:szCs w:val="20"/>
                <w:highlight w:val="none"/>
                <w:u w:val="none"/>
                <w:lang w:val="en-US" w:eastAsia="zh-CN" w:bidi="ar"/>
              </w:rPr>
              <w:t xml:space="preserve">项目 </w:t>
            </w:r>
          </w:p>
        </w:tc>
        <w:tc>
          <w:tcPr>
            <w:tcW w:w="604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A90D65">
            <w:pPr>
              <w:keepNext w:val="0"/>
              <w:keepLines w:val="0"/>
              <w:widowControl/>
              <w:suppressLineNumbers w:val="0"/>
              <w:spacing w:line="360" w:lineRule="auto"/>
              <w:jc w:val="center"/>
              <w:textAlignment w:val="center"/>
              <w:rPr>
                <w:rFonts w:hint="default" w:ascii="宋体" w:hAnsi="宋体" w:eastAsia="宋体" w:cs="宋体"/>
                <w:b/>
                <w:bCs/>
                <w:i w:val="0"/>
                <w:iCs w:val="0"/>
                <w:color w:val="auto"/>
                <w:sz w:val="20"/>
                <w:szCs w:val="20"/>
                <w:highlight w:val="none"/>
                <w:u w:val="none"/>
                <w:lang w:val="en-US"/>
              </w:rPr>
            </w:pPr>
            <w:r>
              <w:rPr>
                <w:rFonts w:hint="eastAsia" w:ascii="宋体" w:hAnsi="宋体" w:eastAsia="宋体" w:cs="宋体"/>
                <w:b/>
                <w:bCs/>
                <w:i w:val="0"/>
                <w:iCs w:val="0"/>
                <w:snapToGrid w:val="0"/>
                <w:color w:val="auto"/>
                <w:kern w:val="0"/>
                <w:sz w:val="20"/>
                <w:szCs w:val="20"/>
                <w:highlight w:val="none"/>
                <w:u w:val="none"/>
                <w:lang w:val="en-US" w:eastAsia="zh-CN" w:bidi="ar"/>
              </w:rPr>
              <w:t>技术参数要求</w:t>
            </w:r>
          </w:p>
        </w:tc>
        <w:tc>
          <w:tcPr>
            <w:tcW w:w="5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9208BB">
            <w:pPr>
              <w:keepNext w:val="0"/>
              <w:keepLines w:val="0"/>
              <w:widowControl/>
              <w:suppressLineNumbers w:val="0"/>
              <w:spacing w:line="360" w:lineRule="auto"/>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snapToGrid w:val="0"/>
                <w:color w:val="auto"/>
                <w:kern w:val="0"/>
                <w:sz w:val="20"/>
                <w:szCs w:val="20"/>
                <w:highlight w:val="none"/>
                <w:u w:val="none"/>
                <w:lang w:val="en-US" w:eastAsia="zh-CN" w:bidi="ar"/>
              </w:rPr>
              <w:t>单位</w:t>
            </w:r>
          </w:p>
        </w:tc>
        <w:tc>
          <w:tcPr>
            <w:tcW w:w="7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A73617">
            <w:pPr>
              <w:keepNext w:val="0"/>
              <w:keepLines w:val="0"/>
              <w:widowControl/>
              <w:suppressLineNumbers w:val="0"/>
              <w:spacing w:line="360" w:lineRule="auto"/>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snapToGrid w:val="0"/>
                <w:color w:val="auto"/>
                <w:kern w:val="0"/>
                <w:sz w:val="20"/>
                <w:szCs w:val="20"/>
                <w:highlight w:val="none"/>
                <w:u w:val="none"/>
                <w:lang w:val="en-US" w:eastAsia="zh-CN" w:bidi="ar"/>
              </w:rPr>
              <w:t>数量</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71051A">
            <w:pPr>
              <w:keepNext w:val="0"/>
              <w:keepLines w:val="0"/>
              <w:widowControl/>
              <w:suppressLineNumbers w:val="0"/>
              <w:spacing w:line="360" w:lineRule="auto"/>
              <w:jc w:val="center"/>
              <w:textAlignment w:val="center"/>
              <w:rPr>
                <w:rFonts w:hint="eastAsia" w:ascii="宋体" w:hAnsi="宋体" w:eastAsia="宋体" w:cs="宋体"/>
                <w:b/>
                <w:bCs/>
                <w:i w:val="0"/>
                <w:iCs w:val="0"/>
                <w:snapToGrid w:val="0"/>
                <w:color w:val="auto"/>
                <w:kern w:val="0"/>
                <w:sz w:val="20"/>
                <w:szCs w:val="20"/>
                <w:highlight w:val="none"/>
                <w:u w:val="none"/>
                <w:lang w:val="en-US" w:eastAsia="zh-CN" w:bidi="ar"/>
              </w:rPr>
            </w:pPr>
            <w:r>
              <w:rPr>
                <w:rFonts w:hint="eastAsia" w:ascii="宋体" w:hAnsi="宋体" w:eastAsia="宋体" w:cs="宋体"/>
                <w:b/>
                <w:bCs/>
                <w:i w:val="0"/>
                <w:iCs w:val="0"/>
                <w:snapToGrid w:val="0"/>
                <w:color w:val="auto"/>
                <w:kern w:val="0"/>
                <w:sz w:val="20"/>
                <w:szCs w:val="20"/>
                <w:highlight w:val="none"/>
                <w:u w:val="none"/>
                <w:lang w:val="en-US" w:eastAsia="zh-CN" w:bidi="ar"/>
              </w:rPr>
              <w:t>控制</w:t>
            </w:r>
          </w:p>
          <w:p w14:paraId="41C82526">
            <w:pPr>
              <w:keepNext w:val="0"/>
              <w:keepLines w:val="0"/>
              <w:widowControl/>
              <w:suppressLineNumbers w:val="0"/>
              <w:spacing w:line="360" w:lineRule="auto"/>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snapToGrid w:val="0"/>
                <w:color w:val="auto"/>
                <w:kern w:val="0"/>
                <w:sz w:val="20"/>
                <w:szCs w:val="20"/>
                <w:highlight w:val="none"/>
                <w:u w:val="none"/>
                <w:lang w:val="en-US" w:eastAsia="zh-CN" w:bidi="ar"/>
              </w:rPr>
              <w:t>单价</w:t>
            </w:r>
          </w:p>
        </w:tc>
      </w:tr>
      <w:tr w14:paraId="3CE869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jc w:val="center"/>
        </w:trPr>
        <w:tc>
          <w:tcPr>
            <w:tcW w:w="55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561486">
            <w:pPr>
              <w:keepNext w:val="0"/>
              <w:keepLines w:val="0"/>
              <w:widowControl/>
              <w:suppressLineNumbers w:val="0"/>
              <w:spacing w:line="360" w:lineRule="auto"/>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snapToGrid w:val="0"/>
                <w:color w:val="auto"/>
                <w:kern w:val="0"/>
                <w:sz w:val="20"/>
                <w:szCs w:val="20"/>
                <w:highlight w:val="none"/>
                <w:u w:val="none"/>
                <w:lang w:val="en-US" w:eastAsia="zh-CN" w:bidi="ar"/>
              </w:rPr>
              <w:t>一</w:t>
            </w:r>
          </w:p>
        </w:tc>
        <w:tc>
          <w:tcPr>
            <w:tcW w:w="8368" w:type="dxa"/>
            <w:gridSpan w:val="4"/>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481C6F">
            <w:pPr>
              <w:keepNext w:val="0"/>
              <w:keepLines w:val="0"/>
              <w:widowControl/>
              <w:suppressLineNumbers w:val="0"/>
              <w:spacing w:line="360" w:lineRule="auto"/>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snapToGrid w:val="0"/>
                <w:color w:val="auto"/>
                <w:kern w:val="0"/>
                <w:sz w:val="20"/>
                <w:szCs w:val="20"/>
                <w:highlight w:val="none"/>
                <w:u w:val="none"/>
                <w:lang w:val="en-US" w:eastAsia="zh-CN" w:bidi="ar"/>
              </w:rPr>
              <w:t xml:space="preserve">高速动态称重系统 </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92D4AB">
            <w:pPr>
              <w:spacing w:line="360" w:lineRule="auto"/>
              <w:rPr>
                <w:rFonts w:hint="eastAsia" w:ascii="宋体" w:hAnsi="宋体" w:eastAsia="宋体" w:cs="宋体"/>
                <w:b/>
                <w:bCs/>
                <w:i w:val="0"/>
                <w:iCs w:val="0"/>
                <w:color w:val="auto"/>
                <w:sz w:val="20"/>
                <w:szCs w:val="20"/>
                <w:highlight w:val="none"/>
                <w:u w:val="none"/>
              </w:rPr>
            </w:pPr>
          </w:p>
        </w:tc>
      </w:tr>
      <w:tr w14:paraId="039DB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jc w:val="center"/>
        </w:trPr>
        <w:tc>
          <w:tcPr>
            <w:tcW w:w="55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3AE7AD">
            <w:pPr>
              <w:keepNext w:val="0"/>
              <w:keepLines w:val="0"/>
              <w:widowControl/>
              <w:suppressLineNumbers w:val="0"/>
              <w:spacing w:line="360" w:lineRule="auto"/>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snapToGrid w:val="0"/>
                <w:color w:val="auto"/>
                <w:kern w:val="0"/>
                <w:sz w:val="20"/>
                <w:szCs w:val="20"/>
                <w:highlight w:val="none"/>
                <w:u w:val="none"/>
                <w:lang w:val="en-US" w:eastAsia="zh-CN" w:bidi="ar"/>
              </w:rPr>
              <w:t>1</w:t>
            </w:r>
          </w:p>
        </w:tc>
        <w:tc>
          <w:tcPr>
            <w:tcW w:w="8368" w:type="dxa"/>
            <w:gridSpan w:val="4"/>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0F20F1">
            <w:pPr>
              <w:keepNext w:val="0"/>
              <w:keepLines w:val="0"/>
              <w:widowControl/>
              <w:suppressLineNumbers w:val="0"/>
              <w:spacing w:line="360" w:lineRule="auto"/>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snapToGrid w:val="0"/>
                <w:color w:val="auto"/>
                <w:kern w:val="0"/>
                <w:sz w:val="20"/>
                <w:szCs w:val="20"/>
                <w:highlight w:val="none"/>
                <w:u w:val="none"/>
                <w:lang w:val="en-US" w:eastAsia="zh-CN" w:bidi="ar"/>
              </w:rPr>
              <w:t xml:space="preserve">动态称重系统 </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CBD2F3">
            <w:pPr>
              <w:spacing w:line="360" w:lineRule="auto"/>
              <w:rPr>
                <w:rFonts w:hint="eastAsia" w:ascii="宋体" w:hAnsi="宋体" w:eastAsia="宋体" w:cs="宋体"/>
                <w:b/>
                <w:bCs/>
                <w:i w:val="0"/>
                <w:iCs w:val="0"/>
                <w:color w:val="auto"/>
                <w:sz w:val="20"/>
                <w:szCs w:val="20"/>
                <w:highlight w:val="none"/>
                <w:u w:val="none"/>
              </w:rPr>
            </w:pPr>
          </w:p>
        </w:tc>
      </w:tr>
      <w:tr w14:paraId="207278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5260" w:hRule="atLeast"/>
          <w:jc w:val="center"/>
        </w:trPr>
        <w:tc>
          <w:tcPr>
            <w:tcW w:w="55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45AD1A">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1.1</w:t>
            </w:r>
          </w:p>
        </w:tc>
        <w:tc>
          <w:tcPr>
            <w:tcW w:w="10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071BEC5">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高速动态称重系统</w:t>
            </w:r>
          </w:p>
        </w:tc>
        <w:tc>
          <w:tcPr>
            <w:tcW w:w="6045" w:type="dxa"/>
            <w:tcBorders>
              <w:top w:val="single" w:color="000000" w:sz="4" w:space="0"/>
              <w:left w:val="single" w:color="000000" w:sz="4" w:space="0"/>
              <w:bottom w:val="single" w:color="000000" w:sz="4" w:space="0"/>
              <w:right w:val="single" w:color="000000" w:sz="4" w:space="0"/>
            </w:tcBorders>
            <w:shd w:val="clear" w:color="auto" w:fill="FFFFFF" w:themeFill="background1"/>
            <w:vAlign w:val="top"/>
          </w:tcPr>
          <w:p w14:paraId="38979CA8">
            <w:pPr>
              <w:keepNext w:val="0"/>
              <w:keepLines w:val="0"/>
              <w:widowControl/>
              <w:suppressLineNumbers w:val="0"/>
              <w:spacing w:line="360" w:lineRule="auto"/>
              <w:jc w:val="left"/>
              <w:textAlignment w:val="top"/>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1,包含称重平板主体、称重传感器以及其他实现称重功能要求的组件与辅材。</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2,准确度等级：满足GB/T 21296-2007《动态公路车辆自动衡器》的要求，车辆总质量的准确度等级：5级；</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3,运行速度范围：在道路限速允许的的情况下，速度范围不小于0.5-100km/h；</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4,称量范围：单轴载荷称量范围0.5～40t；</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5,传感器类型：电阻应变式传感器；材质：合金钢外壳材质，防护等级：IP68；量程：≥8t，可承受150%过载；</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6,尺寸规格：单车道按照车道实际宽度定制1台独立承载器，采用完全轮载力测量方式，提高称重稳定性和精度；满铺检测道路横断面，无检测死角；多车道台面间采用“无缝”拼接技术，消除检测盲区；</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7,结构形式：一体固化焊接成型，无活动构件，强度高；与称重传感器采用分离式结构，配套使用；</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8,安装方式：直列式布局，无需硬化路面，自适应路面基坑嵌入式安装，不影响车辆通行；3小时初凝强度达到C30；终凝强度达到C50；夏季12小时内通行重车；冬季24小时内通行重车。</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9,使用寿命：不低于5年；</w:t>
            </w:r>
          </w:p>
        </w:tc>
        <w:tc>
          <w:tcPr>
            <w:tcW w:w="5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7F6641">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米</w:t>
            </w:r>
          </w:p>
        </w:tc>
        <w:tc>
          <w:tcPr>
            <w:tcW w:w="7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81C7C4">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8.45</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EB725C">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95000</w:t>
            </w:r>
          </w:p>
        </w:tc>
      </w:tr>
      <w:tr w14:paraId="631769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5" w:hRule="atLeast"/>
          <w:jc w:val="center"/>
        </w:trPr>
        <w:tc>
          <w:tcPr>
            <w:tcW w:w="55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FA99E5">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1.2</w:t>
            </w:r>
          </w:p>
        </w:tc>
        <w:tc>
          <w:tcPr>
            <w:tcW w:w="10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0F4AB9">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野外恒温机柜</w:t>
            </w:r>
          </w:p>
        </w:tc>
        <w:tc>
          <w:tcPr>
            <w:tcW w:w="6045" w:type="dxa"/>
            <w:tcBorders>
              <w:top w:val="single" w:color="000000" w:sz="4" w:space="0"/>
              <w:left w:val="single" w:color="000000" w:sz="4" w:space="0"/>
              <w:bottom w:val="single" w:color="000000" w:sz="4" w:space="0"/>
              <w:right w:val="single" w:color="000000" w:sz="4" w:space="0"/>
            </w:tcBorders>
            <w:shd w:val="clear" w:color="auto" w:fill="FFFFFF" w:themeFill="background1"/>
            <w:vAlign w:val="top"/>
          </w:tcPr>
          <w:p w14:paraId="26AC8C3B">
            <w:pPr>
              <w:keepNext w:val="0"/>
              <w:keepLines w:val="0"/>
              <w:widowControl/>
              <w:suppressLineNumbers w:val="0"/>
              <w:spacing w:line="360" w:lineRule="auto"/>
              <w:jc w:val="left"/>
              <w:textAlignment w:val="top"/>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1,机柜规格 1900（高）×600（宽）×700（深)mm</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2,包含独立温控系统，防尘防水</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3,箱体为冷轧板，厚度不低于2mm，使用寿命≥10年</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4,相对湿度：0～94％R.H；工作温度：-34℃～+64℃。</w:t>
            </w:r>
          </w:p>
        </w:tc>
        <w:tc>
          <w:tcPr>
            <w:tcW w:w="5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5690D4B">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台</w:t>
            </w:r>
          </w:p>
        </w:tc>
        <w:tc>
          <w:tcPr>
            <w:tcW w:w="7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697340">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496F41">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22500</w:t>
            </w:r>
          </w:p>
        </w:tc>
      </w:tr>
      <w:tr w14:paraId="513C34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jc w:val="center"/>
        </w:trPr>
        <w:tc>
          <w:tcPr>
            <w:tcW w:w="55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5FF85B">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1.3</w:t>
            </w:r>
          </w:p>
        </w:tc>
        <w:tc>
          <w:tcPr>
            <w:tcW w:w="10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8FBCCB">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野外机柜基础</w:t>
            </w:r>
          </w:p>
        </w:tc>
        <w:tc>
          <w:tcPr>
            <w:tcW w:w="604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2B5C1B">
            <w:pPr>
              <w:keepNext w:val="0"/>
              <w:keepLines w:val="0"/>
              <w:widowControl/>
              <w:suppressLineNumbers w:val="0"/>
              <w:spacing w:line="360" w:lineRule="auto"/>
              <w:jc w:val="both"/>
              <w:textAlignment w:val="top"/>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包括UPS 机柜、设备机柜基础，及防雷接地。2500X1000X800mm</w:t>
            </w:r>
          </w:p>
        </w:tc>
        <w:tc>
          <w:tcPr>
            <w:tcW w:w="5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C669ADD">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项</w:t>
            </w:r>
          </w:p>
        </w:tc>
        <w:tc>
          <w:tcPr>
            <w:tcW w:w="7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45BAFB">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490980A">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8000</w:t>
            </w:r>
          </w:p>
        </w:tc>
      </w:tr>
      <w:tr w14:paraId="19A8CF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jc w:val="center"/>
        </w:trPr>
        <w:tc>
          <w:tcPr>
            <w:tcW w:w="55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E2877D">
            <w:pPr>
              <w:keepNext w:val="0"/>
              <w:keepLines w:val="0"/>
              <w:widowControl/>
              <w:suppressLineNumbers w:val="0"/>
              <w:spacing w:line="360" w:lineRule="auto"/>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snapToGrid w:val="0"/>
                <w:color w:val="auto"/>
                <w:kern w:val="0"/>
                <w:sz w:val="20"/>
                <w:szCs w:val="20"/>
                <w:highlight w:val="none"/>
                <w:u w:val="none"/>
                <w:lang w:val="en-US" w:eastAsia="zh-CN" w:bidi="ar"/>
              </w:rPr>
              <w:t>2</w:t>
            </w:r>
          </w:p>
        </w:tc>
        <w:tc>
          <w:tcPr>
            <w:tcW w:w="8368" w:type="dxa"/>
            <w:gridSpan w:val="4"/>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0FF1F30">
            <w:pPr>
              <w:keepNext w:val="0"/>
              <w:keepLines w:val="0"/>
              <w:widowControl/>
              <w:suppressLineNumbers w:val="0"/>
              <w:spacing w:line="360" w:lineRule="auto"/>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snapToGrid w:val="0"/>
                <w:color w:val="auto"/>
                <w:kern w:val="0"/>
                <w:sz w:val="20"/>
                <w:szCs w:val="20"/>
                <w:highlight w:val="none"/>
                <w:u w:val="none"/>
                <w:lang w:val="en-US" w:eastAsia="zh-CN" w:bidi="ar"/>
              </w:rPr>
              <w:t xml:space="preserve">车牌识别与抓拍系统 </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7D25BD">
            <w:pPr>
              <w:spacing w:line="360" w:lineRule="auto"/>
              <w:rPr>
                <w:rFonts w:hint="eastAsia" w:ascii="宋体" w:hAnsi="宋体" w:eastAsia="宋体" w:cs="宋体"/>
                <w:b/>
                <w:bCs/>
                <w:i w:val="0"/>
                <w:iCs w:val="0"/>
                <w:color w:val="auto"/>
                <w:sz w:val="20"/>
                <w:szCs w:val="20"/>
                <w:highlight w:val="none"/>
                <w:u w:val="none"/>
              </w:rPr>
            </w:pPr>
          </w:p>
        </w:tc>
      </w:tr>
      <w:tr w14:paraId="563AEC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1165" w:hRule="atLeast"/>
          <w:jc w:val="center"/>
        </w:trPr>
        <w:tc>
          <w:tcPr>
            <w:tcW w:w="55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F79AC7">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2.1</w:t>
            </w:r>
          </w:p>
        </w:tc>
        <w:tc>
          <w:tcPr>
            <w:tcW w:w="10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779C3F">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900万卡口抓拍单元</w:t>
            </w:r>
          </w:p>
        </w:tc>
        <w:tc>
          <w:tcPr>
            <w:tcW w:w="6045" w:type="dxa"/>
            <w:tcBorders>
              <w:top w:val="single" w:color="000000" w:sz="4" w:space="0"/>
              <w:left w:val="single" w:color="000000" w:sz="4" w:space="0"/>
              <w:bottom w:val="single" w:color="000000" w:sz="4" w:space="0"/>
              <w:right w:val="single" w:color="000000" w:sz="4" w:space="0"/>
            </w:tcBorders>
            <w:shd w:val="clear" w:color="auto" w:fill="FFFFFF" w:themeFill="background1"/>
            <w:vAlign w:val="top"/>
          </w:tcPr>
          <w:p w14:paraId="0A3C0682">
            <w:pPr>
              <w:keepNext w:val="0"/>
              <w:keepLines w:val="0"/>
              <w:widowControl/>
              <w:suppressLineNumbers w:val="0"/>
              <w:spacing w:line="360" w:lineRule="auto"/>
              <w:jc w:val="left"/>
              <w:textAlignment w:val="top"/>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1、包含高清一体化嵌入式摄像机、高清镜头、室外防护罩、相机内置网络信号防雷器、电源适配器等</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2、图像传感器：采用1英寸GMOS，设备应采用深度学习芯片</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3、支持主码流同时输出不少于30路4096×2160、2Mbps的25帧/s图像以提供客户端浏览</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4、最大图像尺寸：≥4096×2160像素；字符叠加时最大可支持4096×2800</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5、视频帧率：在1～25fps可调</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6、支持在25%丢包率的网络环境下，正常显示监控画面</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7、视频压缩支持H.265、H.264、M-JPEG</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8、支持机动车、二轮车（摩托车、自行车、电动二轮车）、三轮车和行人分类检测</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9、支持车前窗挂坠、年检标识、抽烟、驾驶员人脸识别、驾驶室人脸抠图、遮阳板识别等检测功能</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10、外壳防护等级应不低于IP66</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11、支持车辆捕获抓拍功能，在天气晴朗无雾，号牌无遮挡、无污损，白天环境光照度不低于200lx，晚上辅助光照度不高于30lx的条件下测试，白天和晚上的捕获率均≥99%</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12、支持车牌识别功能，在天气晴朗无雾，号牌无遮挡、无污损，白天环境光照度不低于200lx，晚上辅助光照度不高于30lx的条件下测试，白天和晚上的识别准确率均≥99%</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13、支持异常车牌检测功能，可对故意遮挡及污损车牌进行判断和识别</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14、可对主程序和智能算法分别进行升级，可对多台设备同时进行批量升级，升级过程中视频画面不应丢失</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15、支持安全接入功能，开启此功能后，设备只能被管理平台控制，不能通过其他方式登录或者控制设备，支持交警平台数据对接。</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16、支持分别对6种车型（大货车、小货车、客车、小轿车、危险品运输车、校车）进行不同超速比设置，可设置9个超速比区间；支持检测并跟踪指定区域内不少于 125个目标，目标包括机动车、非机动车以及行人。</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 xml:space="preserve">17、支持识别不少于25种车身颜色，包括白、黑、红、黄、灰、蓝、绿、粉、紫、棕、银灰、暗灰、金、黄绿、青、深蓝、深红、深绿、深黄、深粉、深紫、深棕、深青、深金、粉红； </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18、支持17块感兴趣区域（ROI）增强编码设置功能，ROI区域压缩比在0~80范围内可设置；支持设置车辆抓拍位置到立杆的架设距离、设备架设高度；</w:t>
            </w:r>
          </w:p>
        </w:tc>
        <w:tc>
          <w:tcPr>
            <w:tcW w:w="5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D42299">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台</w:t>
            </w:r>
          </w:p>
        </w:tc>
        <w:tc>
          <w:tcPr>
            <w:tcW w:w="7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D44D0E">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9F392C">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11500</w:t>
            </w:r>
          </w:p>
        </w:tc>
      </w:tr>
      <w:tr w14:paraId="21FE80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7" w:hRule="atLeast"/>
          <w:jc w:val="center"/>
        </w:trPr>
        <w:tc>
          <w:tcPr>
            <w:tcW w:w="55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197731">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2.2</w:t>
            </w:r>
          </w:p>
        </w:tc>
        <w:tc>
          <w:tcPr>
            <w:tcW w:w="10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96B022">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F 型立杆</w:t>
            </w:r>
          </w:p>
        </w:tc>
        <w:tc>
          <w:tcPr>
            <w:tcW w:w="604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53E7793">
            <w:pPr>
              <w:keepNext w:val="0"/>
              <w:keepLines w:val="0"/>
              <w:widowControl/>
              <w:suppressLineNumbers w:val="0"/>
              <w:spacing w:line="360" w:lineRule="auto"/>
              <w:jc w:val="left"/>
              <w:textAlignment w:val="top"/>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净高 6m，横杆 9m.</w:t>
            </w:r>
          </w:p>
        </w:tc>
        <w:tc>
          <w:tcPr>
            <w:tcW w:w="5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CE326C">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套</w:t>
            </w:r>
          </w:p>
        </w:tc>
        <w:tc>
          <w:tcPr>
            <w:tcW w:w="7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D156D5">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8509761">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23500</w:t>
            </w:r>
          </w:p>
        </w:tc>
      </w:tr>
      <w:tr w14:paraId="471F2F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700" w:hRule="atLeast"/>
          <w:jc w:val="center"/>
        </w:trPr>
        <w:tc>
          <w:tcPr>
            <w:tcW w:w="55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8C1CC2">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2.3</w:t>
            </w:r>
          </w:p>
        </w:tc>
        <w:tc>
          <w:tcPr>
            <w:tcW w:w="10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12DDDC">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门架基础</w:t>
            </w:r>
          </w:p>
        </w:tc>
        <w:tc>
          <w:tcPr>
            <w:tcW w:w="604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534699">
            <w:pPr>
              <w:keepNext w:val="0"/>
              <w:keepLines w:val="0"/>
              <w:widowControl/>
              <w:suppressLineNumbers w:val="0"/>
              <w:spacing w:line="360" w:lineRule="auto"/>
              <w:jc w:val="both"/>
              <w:textAlignment w:val="top"/>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1.4mx1.4mx1.8m，含防雷接地。</w:t>
            </w:r>
          </w:p>
        </w:tc>
        <w:tc>
          <w:tcPr>
            <w:tcW w:w="5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FB13832">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套</w:t>
            </w:r>
          </w:p>
        </w:tc>
        <w:tc>
          <w:tcPr>
            <w:tcW w:w="7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C1190F">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FC513FA">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6500</w:t>
            </w:r>
          </w:p>
        </w:tc>
      </w:tr>
      <w:tr w14:paraId="16D6A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jc w:val="center"/>
        </w:trPr>
        <w:tc>
          <w:tcPr>
            <w:tcW w:w="55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FC1D985">
            <w:pPr>
              <w:keepNext w:val="0"/>
              <w:keepLines w:val="0"/>
              <w:widowControl/>
              <w:suppressLineNumbers w:val="0"/>
              <w:spacing w:line="360" w:lineRule="auto"/>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snapToGrid w:val="0"/>
                <w:color w:val="auto"/>
                <w:kern w:val="0"/>
                <w:sz w:val="20"/>
                <w:szCs w:val="20"/>
                <w:highlight w:val="none"/>
                <w:u w:val="none"/>
                <w:lang w:val="en-US" w:eastAsia="zh-CN" w:bidi="ar"/>
              </w:rPr>
              <w:t>3</w:t>
            </w:r>
          </w:p>
        </w:tc>
        <w:tc>
          <w:tcPr>
            <w:tcW w:w="8368" w:type="dxa"/>
            <w:gridSpan w:val="4"/>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2A0ED2">
            <w:pPr>
              <w:keepNext w:val="0"/>
              <w:keepLines w:val="0"/>
              <w:widowControl/>
              <w:suppressLineNumbers w:val="0"/>
              <w:spacing w:line="360" w:lineRule="auto"/>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snapToGrid w:val="0"/>
                <w:color w:val="auto"/>
                <w:kern w:val="0"/>
                <w:sz w:val="20"/>
                <w:szCs w:val="20"/>
                <w:highlight w:val="none"/>
                <w:u w:val="none"/>
                <w:lang w:val="en-US" w:eastAsia="zh-CN" w:bidi="ar"/>
              </w:rPr>
              <w:t xml:space="preserve">信息显示系统 </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8FFA75">
            <w:pPr>
              <w:spacing w:line="360" w:lineRule="auto"/>
              <w:rPr>
                <w:rFonts w:hint="eastAsia" w:ascii="宋体" w:hAnsi="宋体" w:eastAsia="宋体" w:cs="宋体"/>
                <w:b/>
                <w:bCs/>
                <w:i w:val="0"/>
                <w:iCs w:val="0"/>
                <w:color w:val="auto"/>
                <w:sz w:val="20"/>
                <w:szCs w:val="20"/>
                <w:highlight w:val="none"/>
                <w:u w:val="none"/>
              </w:rPr>
            </w:pPr>
          </w:p>
        </w:tc>
      </w:tr>
      <w:tr w14:paraId="40374D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jc w:val="center"/>
        </w:trPr>
        <w:tc>
          <w:tcPr>
            <w:tcW w:w="55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C08EF87">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3.1</w:t>
            </w:r>
          </w:p>
        </w:tc>
        <w:tc>
          <w:tcPr>
            <w:tcW w:w="10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B923E89">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F 杆基础</w:t>
            </w:r>
          </w:p>
        </w:tc>
        <w:tc>
          <w:tcPr>
            <w:tcW w:w="604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86B7C2">
            <w:pPr>
              <w:keepNext w:val="0"/>
              <w:keepLines w:val="0"/>
              <w:widowControl/>
              <w:suppressLineNumbers w:val="0"/>
              <w:spacing w:line="360" w:lineRule="auto"/>
              <w:jc w:val="both"/>
              <w:textAlignment w:val="top"/>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2m×2.5m×2m ，含防雷接地。</w:t>
            </w:r>
          </w:p>
        </w:tc>
        <w:tc>
          <w:tcPr>
            <w:tcW w:w="5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6E218B">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项</w:t>
            </w:r>
          </w:p>
        </w:tc>
        <w:tc>
          <w:tcPr>
            <w:tcW w:w="7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B72F062">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7487E82">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16000</w:t>
            </w:r>
          </w:p>
        </w:tc>
      </w:tr>
      <w:tr w14:paraId="32ECEA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jc w:val="center"/>
        </w:trPr>
        <w:tc>
          <w:tcPr>
            <w:tcW w:w="55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F0A204">
            <w:pPr>
              <w:keepNext w:val="0"/>
              <w:keepLines w:val="0"/>
              <w:widowControl/>
              <w:suppressLineNumbers w:val="0"/>
              <w:spacing w:line="360" w:lineRule="auto"/>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snapToGrid w:val="0"/>
                <w:color w:val="auto"/>
                <w:kern w:val="0"/>
                <w:sz w:val="20"/>
                <w:szCs w:val="20"/>
                <w:highlight w:val="none"/>
                <w:u w:val="none"/>
                <w:lang w:val="en-US" w:eastAsia="zh-CN" w:bidi="ar"/>
              </w:rPr>
              <w:t>4</w:t>
            </w:r>
          </w:p>
        </w:tc>
        <w:tc>
          <w:tcPr>
            <w:tcW w:w="8368" w:type="dxa"/>
            <w:gridSpan w:val="4"/>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F2A9C5">
            <w:pPr>
              <w:keepNext w:val="0"/>
              <w:keepLines w:val="0"/>
              <w:widowControl/>
              <w:suppressLineNumbers w:val="0"/>
              <w:spacing w:line="360" w:lineRule="auto"/>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snapToGrid w:val="0"/>
                <w:color w:val="auto"/>
                <w:kern w:val="0"/>
                <w:sz w:val="20"/>
                <w:szCs w:val="20"/>
                <w:highlight w:val="none"/>
                <w:u w:val="none"/>
                <w:lang w:val="en-US" w:eastAsia="zh-CN" w:bidi="ar"/>
              </w:rPr>
              <w:t xml:space="preserve">视频监控系统 </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A3E4297">
            <w:pPr>
              <w:spacing w:line="360" w:lineRule="auto"/>
              <w:rPr>
                <w:rFonts w:hint="eastAsia" w:ascii="宋体" w:hAnsi="宋体" w:eastAsia="宋体" w:cs="宋体"/>
                <w:b/>
                <w:bCs/>
                <w:i w:val="0"/>
                <w:iCs w:val="0"/>
                <w:color w:val="auto"/>
                <w:sz w:val="20"/>
                <w:szCs w:val="20"/>
                <w:highlight w:val="none"/>
                <w:u w:val="none"/>
              </w:rPr>
            </w:pPr>
          </w:p>
        </w:tc>
      </w:tr>
      <w:tr w14:paraId="29CC3A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1967" w:hRule="atLeast"/>
          <w:jc w:val="center"/>
        </w:trPr>
        <w:tc>
          <w:tcPr>
            <w:tcW w:w="55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88C7DE6">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4.1</w:t>
            </w:r>
          </w:p>
        </w:tc>
        <w:tc>
          <w:tcPr>
            <w:tcW w:w="10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5137C5">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网络硬盘录像机</w:t>
            </w:r>
          </w:p>
        </w:tc>
        <w:tc>
          <w:tcPr>
            <w:tcW w:w="6045" w:type="dxa"/>
            <w:tcBorders>
              <w:top w:val="single" w:color="000000" w:sz="4" w:space="0"/>
              <w:left w:val="single" w:color="000000" w:sz="4" w:space="0"/>
              <w:bottom w:val="single" w:color="000000" w:sz="4" w:space="0"/>
              <w:right w:val="single" w:color="000000" w:sz="4" w:space="0"/>
            </w:tcBorders>
            <w:shd w:val="clear" w:color="auto" w:fill="FFFFFF" w:themeFill="background1"/>
            <w:vAlign w:val="top"/>
          </w:tcPr>
          <w:p w14:paraId="6F42A414">
            <w:pPr>
              <w:keepNext w:val="0"/>
              <w:keepLines w:val="0"/>
              <w:widowControl/>
              <w:suppressLineNumbers w:val="0"/>
              <w:spacing w:line="360" w:lineRule="auto"/>
              <w:jc w:val="left"/>
              <w:textAlignment w:val="top"/>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1、NVR总资源为满负载条件下的最大接入带宽640Mbps、最大存储带宽640Mbps、最大转发带宽640Mbps、最大回放带宽640Mbps。最大接入路数8路；</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2、具有2个HDMI接口、2个VGA接口、2个RJ45网络接口、2个USB2.0接口、1个USB3.0接口、16路报警输入接口、8路报警输出接口，可内置8块SATA接口硬盘；</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3、支持多址设定功能，可将2个网口设置不同网段的IP地址；</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4、可接入H.265、H.264、MPEG4、smart265、smart264、MJPEG视频编码格式的IPC。支持接入SVAC视频编码格式的IPC可通过客户端显示；</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5、支持对重要的数据能够进行备份，视频数据备份格式MP4和AVI可选；可按移动侦测、外部输入报警、智能侦测等事件类型进行数据备份，将录像文件或者图片保存至USB设备等存储设备；</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6、支持在预览界面下拖动任意预览通道画面，交换通道顺序。</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7、支持摘要回放：选中通道指定时间范围内的一段录像，对重要事件和目标进行轨迹分析、重新排序、叠加显示</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8、支持回放控制：录像回放时，支持截图、剪辑、打标签、电子放大、调节音量、锁定等操作；并支持多路电子放大</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9、支持弹幕显示，录像回放时，当播放至有录像标签时间点时，可在画面上自动叠加显示标签内容</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10、支持预览转码，通过WEB端、客户端软件远程预览时，样机可重新编码一路与主码流不同分辨率、帧率、码率的图像</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11、支持客户端与设备端进行实时双向对讲；支持客户端与设备的IP通道进行实时双向对讲，可通过设备端与IPC进行实时双向对讲</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12、支持远程管理IPC功能。支持对前端IPC批量远程升级；支持远程对IPC的参数配置修改，支持IPC的参数配置到其他通道</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13、可设置定时抓图、移动侦测抓图、报警抓图、移动侦测且报警抓图、智能侦测抓图、手动抓图，可进行32路抓拍并存储1080P格式的图片；</w:t>
            </w:r>
          </w:p>
        </w:tc>
        <w:tc>
          <w:tcPr>
            <w:tcW w:w="5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C52C9A3">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套</w:t>
            </w:r>
          </w:p>
        </w:tc>
        <w:tc>
          <w:tcPr>
            <w:tcW w:w="7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2E9DAC1">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49E7FA">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5000</w:t>
            </w:r>
          </w:p>
        </w:tc>
      </w:tr>
      <w:tr w14:paraId="1F6B51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700" w:hRule="atLeast"/>
          <w:jc w:val="center"/>
        </w:trPr>
        <w:tc>
          <w:tcPr>
            <w:tcW w:w="55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93F0EF">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二</w:t>
            </w:r>
          </w:p>
        </w:tc>
        <w:tc>
          <w:tcPr>
            <w:tcW w:w="8368" w:type="dxa"/>
            <w:gridSpan w:val="4"/>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8046855">
            <w:pPr>
              <w:keepNext w:val="0"/>
              <w:keepLines w:val="0"/>
              <w:widowControl/>
              <w:suppressLineNumbers w:val="0"/>
              <w:spacing w:line="360" w:lineRule="auto"/>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snapToGrid w:val="0"/>
                <w:color w:val="auto"/>
                <w:kern w:val="0"/>
                <w:sz w:val="20"/>
                <w:szCs w:val="20"/>
                <w:highlight w:val="none"/>
                <w:u w:val="none"/>
                <w:lang w:val="en-US" w:eastAsia="zh-CN" w:bidi="ar"/>
              </w:rPr>
              <w:t xml:space="preserve">通信系统 </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C12E997">
            <w:pPr>
              <w:spacing w:line="360" w:lineRule="auto"/>
              <w:rPr>
                <w:rFonts w:hint="eastAsia" w:ascii="宋体" w:hAnsi="宋体" w:eastAsia="宋体" w:cs="宋体"/>
                <w:b/>
                <w:bCs/>
                <w:i w:val="0"/>
                <w:iCs w:val="0"/>
                <w:color w:val="auto"/>
                <w:sz w:val="20"/>
                <w:szCs w:val="20"/>
                <w:highlight w:val="none"/>
                <w:u w:val="none"/>
              </w:rPr>
            </w:pPr>
          </w:p>
        </w:tc>
      </w:tr>
      <w:tr w14:paraId="603974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jc w:val="center"/>
        </w:trPr>
        <w:tc>
          <w:tcPr>
            <w:tcW w:w="55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1A9F217">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1.1</w:t>
            </w:r>
          </w:p>
        </w:tc>
        <w:tc>
          <w:tcPr>
            <w:tcW w:w="10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297B2D">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以太网光端机</w:t>
            </w:r>
          </w:p>
        </w:tc>
        <w:tc>
          <w:tcPr>
            <w:tcW w:w="604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9B37BA1">
            <w:pPr>
              <w:keepNext w:val="0"/>
              <w:keepLines w:val="0"/>
              <w:widowControl/>
              <w:suppressLineNumbers w:val="0"/>
              <w:spacing w:line="360" w:lineRule="auto"/>
              <w:jc w:val="both"/>
              <w:textAlignment w:val="top"/>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 路以太网数据</w:t>
            </w:r>
          </w:p>
        </w:tc>
        <w:tc>
          <w:tcPr>
            <w:tcW w:w="5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AB5476">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对</w:t>
            </w:r>
          </w:p>
        </w:tc>
        <w:tc>
          <w:tcPr>
            <w:tcW w:w="7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41F440">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B7C763">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2000</w:t>
            </w:r>
          </w:p>
        </w:tc>
      </w:tr>
      <w:tr w14:paraId="11A9E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jc w:val="center"/>
        </w:trPr>
        <w:tc>
          <w:tcPr>
            <w:tcW w:w="55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068BB64">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1.2</w:t>
            </w:r>
          </w:p>
        </w:tc>
        <w:tc>
          <w:tcPr>
            <w:tcW w:w="10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D2B7D56">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工业交换机</w:t>
            </w:r>
          </w:p>
        </w:tc>
        <w:tc>
          <w:tcPr>
            <w:tcW w:w="604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55923EC">
            <w:pPr>
              <w:keepNext w:val="0"/>
              <w:keepLines w:val="0"/>
              <w:widowControl/>
              <w:suppressLineNumbers w:val="0"/>
              <w:spacing w:line="360" w:lineRule="auto"/>
              <w:jc w:val="both"/>
              <w:textAlignment w:val="top"/>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24 口 100M/1000M</w:t>
            </w:r>
          </w:p>
        </w:tc>
        <w:tc>
          <w:tcPr>
            <w:tcW w:w="5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27EEE87">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台</w:t>
            </w:r>
          </w:p>
        </w:tc>
        <w:tc>
          <w:tcPr>
            <w:tcW w:w="7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EBECA3E">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954458">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2000</w:t>
            </w:r>
          </w:p>
        </w:tc>
      </w:tr>
      <w:tr w14:paraId="51A17A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jc w:val="center"/>
        </w:trPr>
        <w:tc>
          <w:tcPr>
            <w:tcW w:w="55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3C89B1">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1.3</w:t>
            </w:r>
          </w:p>
        </w:tc>
        <w:tc>
          <w:tcPr>
            <w:tcW w:w="10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CF930E">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PE 管</w:t>
            </w:r>
          </w:p>
        </w:tc>
        <w:tc>
          <w:tcPr>
            <w:tcW w:w="604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E2EF51">
            <w:pPr>
              <w:keepNext w:val="0"/>
              <w:keepLines w:val="0"/>
              <w:widowControl/>
              <w:suppressLineNumbers w:val="0"/>
              <w:spacing w:line="360" w:lineRule="auto"/>
              <w:jc w:val="both"/>
              <w:textAlignment w:val="top"/>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Φ60, 50cm 深</w:t>
            </w:r>
          </w:p>
        </w:tc>
        <w:tc>
          <w:tcPr>
            <w:tcW w:w="5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308A8CF">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w:t>
            </w:r>
          </w:p>
        </w:tc>
        <w:tc>
          <w:tcPr>
            <w:tcW w:w="7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181507">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900</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E2E967B">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20</w:t>
            </w:r>
          </w:p>
        </w:tc>
      </w:tr>
      <w:tr w14:paraId="6169CE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jc w:val="center"/>
        </w:trPr>
        <w:tc>
          <w:tcPr>
            <w:tcW w:w="55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0556F7A">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1.4</w:t>
            </w:r>
          </w:p>
        </w:tc>
        <w:tc>
          <w:tcPr>
            <w:tcW w:w="10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F459C3">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镀锌管</w:t>
            </w:r>
          </w:p>
        </w:tc>
        <w:tc>
          <w:tcPr>
            <w:tcW w:w="604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A706FE0">
            <w:pPr>
              <w:keepNext w:val="0"/>
              <w:keepLines w:val="0"/>
              <w:widowControl/>
              <w:suppressLineNumbers w:val="0"/>
              <w:spacing w:line="360" w:lineRule="auto"/>
              <w:jc w:val="both"/>
              <w:textAlignment w:val="top"/>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3.5×Φ50, 50cm 深</w:t>
            </w:r>
          </w:p>
        </w:tc>
        <w:tc>
          <w:tcPr>
            <w:tcW w:w="5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22D858E">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w:t>
            </w:r>
          </w:p>
        </w:tc>
        <w:tc>
          <w:tcPr>
            <w:tcW w:w="7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194FEEE">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40</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3506A96">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50</w:t>
            </w:r>
          </w:p>
        </w:tc>
      </w:tr>
      <w:tr w14:paraId="73C6A5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jc w:val="center"/>
        </w:trPr>
        <w:tc>
          <w:tcPr>
            <w:tcW w:w="55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B973D9">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1.5</w:t>
            </w:r>
          </w:p>
        </w:tc>
        <w:tc>
          <w:tcPr>
            <w:tcW w:w="10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4B00242">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手孔</w:t>
            </w:r>
          </w:p>
        </w:tc>
        <w:tc>
          <w:tcPr>
            <w:tcW w:w="604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EADF103">
            <w:pPr>
              <w:spacing w:line="360" w:lineRule="auto"/>
              <w:jc w:val="both"/>
              <w:rPr>
                <w:rFonts w:hint="eastAsia" w:ascii="宋体" w:hAnsi="宋体" w:eastAsia="宋体" w:cs="宋体"/>
                <w:i w:val="0"/>
                <w:iCs w:val="0"/>
                <w:color w:val="auto"/>
                <w:sz w:val="20"/>
                <w:szCs w:val="20"/>
                <w:highlight w:val="none"/>
                <w:u w:val="none"/>
              </w:rPr>
            </w:pPr>
          </w:p>
        </w:tc>
        <w:tc>
          <w:tcPr>
            <w:tcW w:w="5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CF85E53">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个</w:t>
            </w:r>
          </w:p>
        </w:tc>
        <w:tc>
          <w:tcPr>
            <w:tcW w:w="7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BF54C6">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6385F5">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1000</w:t>
            </w:r>
          </w:p>
        </w:tc>
      </w:tr>
      <w:tr w14:paraId="7E1B08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jc w:val="center"/>
        </w:trPr>
        <w:tc>
          <w:tcPr>
            <w:tcW w:w="554"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13F0F16">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1.6</w:t>
            </w:r>
          </w:p>
        </w:tc>
        <w:tc>
          <w:tcPr>
            <w:tcW w:w="1029" w:type="dxa"/>
            <w:vMerge w:val="restart"/>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D775C45">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线缆</w:t>
            </w:r>
          </w:p>
        </w:tc>
        <w:tc>
          <w:tcPr>
            <w:tcW w:w="604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3F4FFA">
            <w:pPr>
              <w:keepNext w:val="0"/>
              <w:keepLines w:val="0"/>
              <w:widowControl/>
              <w:suppressLineNumbers w:val="0"/>
              <w:spacing w:line="360" w:lineRule="auto"/>
              <w:jc w:val="both"/>
              <w:textAlignment w:val="top"/>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RVV 3×1.5</w:t>
            </w:r>
          </w:p>
        </w:tc>
        <w:tc>
          <w:tcPr>
            <w:tcW w:w="5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D6019F7">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w:t>
            </w:r>
          </w:p>
        </w:tc>
        <w:tc>
          <w:tcPr>
            <w:tcW w:w="7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C332DB">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80</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44EA498">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w:t>
            </w:r>
          </w:p>
        </w:tc>
      </w:tr>
      <w:tr w14:paraId="60868A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jc w:val="center"/>
        </w:trPr>
        <w:tc>
          <w:tcPr>
            <w:tcW w:w="554"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878F83">
            <w:pPr>
              <w:spacing w:line="360" w:lineRule="auto"/>
              <w:jc w:val="center"/>
              <w:rPr>
                <w:rFonts w:hint="eastAsia" w:ascii="宋体" w:hAnsi="宋体" w:eastAsia="宋体" w:cs="宋体"/>
                <w:i w:val="0"/>
                <w:iCs w:val="0"/>
                <w:color w:val="auto"/>
                <w:sz w:val="20"/>
                <w:szCs w:val="20"/>
                <w:highlight w:val="none"/>
                <w:u w:val="none"/>
              </w:rPr>
            </w:pPr>
          </w:p>
        </w:tc>
        <w:tc>
          <w:tcPr>
            <w:tcW w:w="1029"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99EEDA0">
            <w:pPr>
              <w:spacing w:line="360" w:lineRule="auto"/>
              <w:jc w:val="center"/>
              <w:rPr>
                <w:rFonts w:hint="eastAsia" w:ascii="宋体" w:hAnsi="宋体" w:eastAsia="宋体" w:cs="宋体"/>
                <w:i w:val="0"/>
                <w:iCs w:val="0"/>
                <w:color w:val="auto"/>
                <w:sz w:val="20"/>
                <w:szCs w:val="20"/>
                <w:highlight w:val="none"/>
                <w:u w:val="none"/>
              </w:rPr>
            </w:pPr>
          </w:p>
        </w:tc>
        <w:tc>
          <w:tcPr>
            <w:tcW w:w="604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CC0C8FC">
            <w:pPr>
              <w:keepNext w:val="0"/>
              <w:keepLines w:val="0"/>
              <w:widowControl/>
              <w:suppressLineNumbers w:val="0"/>
              <w:spacing w:line="360" w:lineRule="auto"/>
              <w:jc w:val="both"/>
              <w:textAlignment w:val="top"/>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YJV22-1KV 3×10</w:t>
            </w:r>
          </w:p>
        </w:tc>
        <w:tc>
          <w:tcPr>
            <w:tcW w:w="5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F9346C">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w:t>
            </w:r>
          </w:p>
        </w:tc>
        <w:tc>
          <w:tcPr>
            <w:tcW w:w="7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E15095C">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900</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1AB94BD">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39</w:t>
            </w:r>
          </w:p>
        </w:tc>
      </w:tr>
      <w:tr w14:paraId="58612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jc w:val="center"/>
        </w:trPr>
        <w:tc>
          <w:tcPr>
            <w:tcW w:w="554"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7B4F67">
            <w:pPr>
              <w:spacing w:line="360" w:lineRule="auto"/>
              <w:jc w:val="center"/>
              <w:rPr>
                <w:rFonts w:hint="eastAsia" w:ascii="宋体" w:hAnsi="宋体" w:eastAsia="宋体" w:cs="宋体"/>
                <w:i w:val="0"/>
                <w:iCs w:val="0"/>
                <w:color w:val="auto"/>
                <w:sz w:val="20"/>
                <w:szCs w:val="20"/>
                <w:highlight w:val="none"/>
                <w:u w:val="none"/>
              </w:rPr>
            </w:pPr>
          </w:p>
        </w:tc>
        <w:tc>
          <w:tcPr>
            <w:tcW w:w="1029"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FC0189D">
            <w:pPr>
              <w:spacing w:line="360" w:lineRule="auto"/>
              <w:jc w:val="center"/>
              <w:rPr>
                <w:rFonts w:hint="eastAsia" w:ascii="宋体" w:hAnsi="宋体" w:eastAsia="宋体" w:cs="宋体"/>
                <w:i w:val="0"/>
                <w:iCs w:val="0"/>
                <w:color w:val="auto"/>
                <w:sz w:val="20"/>
                <w:szCs w:val="20"/>
                <w:highlight w:val="none"/>
                <w:u w:val="none"/>
              </w:rPr>
            </w:pPr>
          </w:p>
        </w:tc>
        <w:tc>
          <w:tcPr>
            <w:tcW w:w="604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B005026">
            <w:pPr>
              <w:keepNext w:val="0"/>
              <w:keepLines w:val="0"/>
              <w:widowControl/>
              <w:suppressLineNumbers w:val="0"/>
              <w:spacing w:line="360" w:lineRule="auto"/>
              <w:jc w:val="both"/>
              <w:textAlignment w:val="top"/>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 芯直埋单模光纤</w:t>
            </w:r>
          </w:p>
        </w:tc>
        <w:tc>
          <w:tcPr>
            <w:tcW w:w="5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A249928">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w:t>
            </w:r>
          </w:p>
        </w:tc>
        <w:tc>
          <w:tcPr>
            <w:tcW w:w="7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65F988C">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650</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8985B85">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w:t>
            </w:r>
          </w:p>
        </w:tc>
      </w:tr>
      <w:tr w14:paraId="5CFFDC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jc w:val="center"/>
        </w:trPr>
        <w:tc>
          <w:tcPr>
            <w:tcW w:w="554"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3778EFA">
            <w:pPr>
              <w:spacing w:line="360" w:lineRule="auto"/>
              <w:jc w:val="center"/>
              <w:rPr>
                <w:rFonts w:hint="eastAsia" w:ascii="宋体" w:hAnsi="宋体" w:eastAsia="宋体" w:cs="宋体"/>
                <w:i w:val="0"/>
                <w:iCs w:val="0"/>
                <w:color w:val="auto"/>
                <w:sz w:val="20"/>
                <w:szCs w:val="20"/>
                <w:highlight w:val="none"/>
                <w:u w:val="none"/>
              </w:rPr>
            </w:pPr>
          </w:p>
        </w:tc>
        <w:tc>
          <w:tcPr>
            <w:tcW w:w="1029" w:type="dxa"/>
            <w:vMerge w:val="continue"/>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BD9A167">
            <w:pPr>
              <w:spacing w:line="360" w:lineRule="auto"/>
              <w:jc w:val="center"/>
              <w:rPr>
                <w:rFonts w:hint="eastAsia" w:ascii="宋体" w:hAnsi="宋体" w:eastAsia="宋体" w:cs="宋体"/>
                <w:i w:val="0"/>
                <w:iCs w:val="0"/>
                <w:color w:val="auto"/>
                <w:sz w:val="20"/>
                <w:szCs w:val="20"/>
                <w:highlight w:val="none"/>
                <w:u w:val="none"/>
              </w:rPr>
            </w:pPr>
          </w:p>
        </w:tc>
        <w:tc>
          <w:tcPr>
            <w:tcW w:w="6045" w:type="dxa"/>
            <w:tcBorders>
              <w:top w:val="single" w:color="000000" w:sz="4" w:space="0"/>
              <w:left w:val="single" w:color="000000" w:sz="4" w:space="0"/>
              <w:bottom w:val="single" w:color="000000" w:sz="4" w:space="0"/>
              <w:right w:val="single" w:color="000000" w:sz="4" w:space="0"/>
            </w:tcBorders>
            <w:shd w:val="clear" w:color="auto" w:fill="FFFFFF" w:themeFill="background1"/>
            <w:vAlign w:val="top"/>
          </w:tcPr>
          <w:p w14:paraId="3A0161F3">
            <w:pPr>
              <w:keepNext w:val="0"/>
              <w:keepLines w:val="0"/>
              <w:widowControl/>
              <w:suppressLineNumbers w:val="0"/>
              <w:spacing w:line="360" w:lineRule="auto"/>
              <w:jc w:val="left"/>
              <w:textAlignment w:val="top"/>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UTP5</w:t>
            </w:r>
          </w:p>
        </w:tc>
        <w:tc>
          <w:tcPr>
            <w:tcW w:w="5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3FCE9DC">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m</w:t>
            </w:r>
          </w:p>
        </w:tc>
        <w:tc>
          <w:tcPr>
            <w:tcW w:w="7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1106422">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400</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DA5BDC">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w:t>
            </w:r>
          </w:p>
        </w:tc>
      </w:tr>
      <w:tr w14:paraId="6737A4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jc w:val="center"/>
        </w:trPr>
        <w:tc>
          <w:tcPr>
            <w:tcW w:w="55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6AC7DA9">
            <w:pPr>
              <w:keepNext w:val="0"/>
              <w:keepLines w:val="0"/>
              <w:widowControl/>
              <w:suppressLineNumbers w:val="0"/>
              <w:spacing w:line="360" w:lineRule="auto"/>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snapToGrid w:val="0"/>
                <w:color w:val="auto"/>
                <w:kern w:val="0"/>
                <w:sz w:val="20"/>
                <w:szCs w:val="20"/>
                <w:highlight w:val="none"/>
                <w:u w:val="none"/>
                <w:lang w:val="en-US" w:eastAsia="zh-CN" w:bidi="ar"/>
              </w:rPr>
              <w:t xml:space="preserve">三 </w:t>
            </w:r>
          </w:p>
        </w:tc>
        <w:tc>
          <w:tcPr>
            <w:tcW w:w="8368" w:type="dxa"/>
            <w:gridSpan w:val="4"/>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33D818B">
            <w:pPr>
              <w:keepNext w:val="0"/>
              <w:keepLines w:val="0"/>
              <w:widowControl/>
              <w:suppressLineNumbers w:val="0"/>
              <w:spacing w:line="360" w:lineRule="auto"/>
              <w:jc w:val="center"/>
              <w:textAlignment w:val="center"/>
              <w:rPr>
                <w:rFonts w:hint="eastAsia" w:ascii="宋体" w:hAnsi="宋体" w:eastAsia="宋体" w:cs="宋体"/>
                <w:b/>
                <w:bCs/>
                <w:i w:val="0"/>
                <w:iCs w:val="0"/>
                <w:color w:val="auto"/>
                <w:sz w:val="20"/>
                <w:szCs w:val="20"/>
                <w:highlight w:val="none"/>
                <w:u w:val="none"/>
              </w:rPr>
            </w:pPr>
            <w:r>
              <w:rPr>
                <w:rFonts w:hint="eastAsia" w:ascii="宋体" w:hAnsi="宋体" w:eastAsia="宋体" w:cs="宋体"/>
                <w:b/>
                <w:bCs/>
                <w:i w:val="0"/>
                <w:iCs w:val="0"/>
                <w:snapToGrid w:val="0"/>
                <w:color w:val="auto"/>
                <w:kern w:val="0"/>
                <w:sz w:val="20"/>
                <w:szCs w:val="20"/>
                <w:highlight w:val="none"/>
                <w:u w:val="none"/>
                <w:lang w:val="en-US" w:eastAsia="zh-CN" w:bidi="ar"/>
              </w:rPr>
              <w:t xml:space="preserve">其它 </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51B5FBE8">
            <w:pPr>
              <w:spacing w:line="360" w:lineRule="auto"/>
              <w:rPr>
                <w:rFonts w:hint="eastAsia" w:ascii="宋体" w:hAnsi="宋体" w:eastAsia="宋体" w:cs="宋体"/>
                <w:b/>
                <w:bCs/>
                <w:i w:val="0"/>
                <w:iCs w:val="0"/>
                <w:color w:val="auto"/>
                <w:sz w:val="20"/>
                <w:szCs w:val="20"/>
                <w:highlight w:val="none"/>
                <w:u w:val="none"/>
              </w:rPr>
            </w:pPr>
          </w:p>
        </w:tc>
      </w:tr>
      <w:tr w14:paraId="54A77F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jc w:val="center"/>
        </w:trPr>
        <w:tc>
          <w:tcPr>
            <w:tcW w:w="55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3B5EDAB">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1.1</w:t>
            </w:r>
          </w:p>
        </w:tc>
        <w:tc>
          <w:tcPr>
            <w:tcW w:w="10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4CF5AAE">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交通预告标志基础</w:t>
            </w:r>
          </w:p>
        </w:tc>
        <w:tc>
          <w:tcPr>
            <w:tcW w:w="604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9BC410B">
            <w:pPr>
              <w:keepNext w:val="0"/>
              <w:keepLines w:val="0"/>
              <w:widowControl/>
              <w:suppressLineNumbers w:val="0"/>
              <w:spacing w:line="360" w:lineRule="auto"/>
              <w:jc w:val="both"/>
              <w:textAlignment w:val="top"/>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1.4mx1.4mx1.8m。</w:t>
            </w:r>
          </w:p>
        </w:tc>
        <w:tc>
          <w:tcPr>
            <w:tcW w:w="5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FE405D6">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套</w:t>
            </w:r>
          </w:p>
        </w:tc>
        <w:tc>
          <w:tcPr>
            <w:tcW w:w="7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579D875">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2</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7B79D0F">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3500</w:t>
            </w:r>
          </w:p>
        </w:tc>
      </w:tr>
      <w:tr w14:paraId="138900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00" w:hRule="atLeast"/>
          <w:jc w:val="center"/>
        </w:trPr>
        <w:tc>
          <w:tcPr>
            <w:tcW w:w="55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66D6086">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1.2</w:t>
            </w:r>
          </w:p>
        </w:tc>
        <w:tc>
          <w:tcPr>
            <w:tcW w:w="10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2A195DE7">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交通禁止与解禁标志基础</w:t>
            </w:r>
          </w:p>
        </w:tc>
        <w:tc>
          <w:tcPr>
            <w:tcW w:w="604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29E71C">
            <w:pPr>
              <w:keepNext w:val="0"/>
              <w:keepLines w:val="0"/>
              <w:widowControl/>
              <w:suppressLineNumbers w:val="0"/>
              <w:spacing w:line="360" w:lineRule="auto"/>
              <w:jc w:val="both"/>
              <w:textAlignment w:val="top"/>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0.5m*0.5m*0.8m。</w:t>
            </w:r>
          </w:p>
        </w:tc>
        <w:tc>
          <w:tcPr>
            <w:tcW w:w="5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06FFD8">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项</w:t>
            </w:r>
          </w:p>
        </w:tc>
        <w:tc>
          <w:tcPr>
            <w:tcW w:w="7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246FFF0">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FE45210">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500</w:t>
            </w:r>
          </w:p>
        </w:tc>
      </w:tr>
      <w:tr w14:paraId="159698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2540" w:hRule="atLeast"/>
          <w:jc w:val="center"/>
        </w:trPr>
        <w:tc>
          <w:tcPr>
            <w:tcW w:w="55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009339CC">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1.3</w:t>
            </w:r>
          </w:p>
        </w:tc>
        <w:tc>
          <w:tcPr>
            <w:tcW w:w="10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92224CA">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户外 UPS 电源</w:t>
            </w:r>
          </w:p>
        </w:tc>
        <w:tc>
          <w:tcPr>
            <w:tcW w:w="6045" w:type="dxa"/>
            <w:tcBorders>
              <w:top w:val="single" w:color="000000" w:sz="4" w:space="0"/>
              <w:left w:val="single" w:color="000000" w:sz="4" w:space="0"/>
              <w:bottom w:val="single" w:color="000000" w:sz="4" w:space="0"/>
              <w:right w:val="single" w:color="000000" w:sz="4" w:space="0"/>
            </w:tcBorders>
            <w:shd w:val="clear" w:color="auto" w:fill="FFFFFF" w:themeFill="background1"/>
            <w:vAlign w:val="top"/>
          </w:tcPr>
          <w:p w14:paraId="0C437E2A">
            <w:pPr>
              <w:keepNext w:val="0"/>
              <w:keepLines w:val="0"/>
              <w:widowControl/>
              <w:suppressLineNumbers w:val="0"/>
              <w:spacing w:line="360" w:lineRule="auto"/>
              <w:jc w:val="left"/>
              <w:textAlignment w:val="top"/>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1、可装12V100Ah电池16节；</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2、1500W户外空调1台；</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3、10KVA/10KW机架式UPS 1台 ；，采用双向DC设计，充电电流1~12A可在面板上自由设置，最大充电电流12A；智能LCD面板，可根据现场使用情况自由设定12-20节电池；100VAC~300VAC超宽的输入电压，兼容恶劣电力环境，减少电池放电次数，提高电池使用寿命；自行设定输出电压200/208/220/230/240Vac，频率50Hz或60Hz；</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4、机架式智能配电盘：带二三级防雷，总输入*1，维修旁路*1，UPS总输出*1，UPS分输出*10个回路。</w:t>
            </w:r>
            <w:r>
              <w:rPr>
                <w:rFonts w:hint="eastAsia" w:ascii="宋体" w:hAnsi="宋体" w:eastAsia="宋体" w:cs="宋体"/>
                <w:i w:val="0"/>
                <w:iCs w:val="0"/>
                <w:snapToGrid w:val="0"/>
                <w:color w:val="auto"/>
                <w:kern w:val="0"/>
                <w:sz w:val="20"/>
                <w:szCs w:val="20"/>
                <w:highlight w:val="none"/>
                <w:u w:val="none"/>
                <w:lang w:val="en-US" w:eastAsia="zh-CN" w:bidi="ar"/>
              </w:rPr>
              <w:br w:type="textWrapping"/>
            </w:r>
            <w:r>
              <w:rPr>
                <w:rFonts w:hint="eastAsia" w:ascii="宋体" w:hAnsi="宋体" w:eastAsia="宋体" w:cs="宋体"/>
                <w:i w:val="0"/>
                <w:iCs w:val="0"/>
                <w:snapToGrid w:val="0"/>
                <w:color w:val="auto"/>
                <w:kern w:val="0"/>
                <w:sz w:val="20"/>
                <w:szCs w:val="20"/>
                <w:highlight w:val="none"/>
                <w:u w:val="none"/>
                <w:lang w:val="en-US" w:eastAsia="zh-CN" w:bidi="ar"/>
              </w:rPr>
              <w:t>5、户外机柜：深900*宽900*高2105mm机柜带隔热棉.</w:t>
            </w:r>
          </w:p>
        </w:tc>
        <w:tc>
          <w:tcPr>
            <w:tcW w:w="5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E348E59">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套</w:t>
            </w:r>
          </w:p>
        </w:tc>
        <w:tc>
          <w:tcPr>
            <w:tcW w:w="7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D15D18F">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3AE51D3D">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66000</w:t>
            </w:r>
          </w:p>
        </w:tc>
      </w:tr>
      <w:tr w14:paraId="6F130E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hemeFill="background1"/>
          <w:tblCellMar>
            <w:top w:w="0" w:type="dxa"/>
            <w:left w:w="108" w:type="dxa"/>
            <w:bottom w:w="0" w:type="dxa"/>
            <w:right w:w="108" w:type="dxa"/>
          </w:tblCellMar>
        </w:tblPrEx>
        <w:trPr>
          <w:trHeight w:val="700" w:hRule="atLeast"/>
          <w:jc w:val="center"/>
        </w:trPr>
        <w:tc>
          <w:tcPr>
            <w:tcW w:w="554"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A1C5911">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1.4</w:t>
            </w:r>
          </w:p>
        </w:tc>
        <w:tc>
          <w:tcPr>
            <w:tcW w:w="10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9CE63C1">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施工费</w:t>
            </w:r>
          </w:p>
        </w:tc>
        <w:tc>
          <w:tcPr>
            <w:tcW w:w="604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7231C2E7">
            <w:pPr>
              <w:keepNext w:val="0"/>
              <w:keepLines w:val="0"/>
              <w:widowControl/>
              <w:suppressLineNumbers w:val="0"/>
              <w:spacing w:line="360" w:lineRule="auto"/>
              <w:jc w:val="both"/>
              <w:textAlignment w:val="top"/>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含原有设备拆除，重新安装及临时交通管理费</w:t>
            </w:r>
          </w:p>
        </w:tc>
        <w:tc>
          <w:tcPr>
            <w:tcW w:w="529"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480C8355">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项</w:t>
            </w:r>
          </w:p>
        </w:tc>
        <w:tc>
          <w:tcPr>
            <w:tcW w:w="765"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10EF7E52">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1</w:t>
            </w:r>
          </w:p>
        </w:tc>
        <w:tc>
          <w:tcPr>
            <w:tcW w:w="1020" w:type="dxa"/>
            <w:tcBorders>
              <w:top w:val="single" w:color="000000" w:sz="4" w:space="0"/>
              <w:left w:val="single" w:color="000000" w:sz="4" w:space="0"/>
              <w:bottom w:val="single" w:color="000000" w:sz="4" w:space="0"/>
              <w:right w:val="single" w:color="000000" w:sz="4" w:space="0"/>
            </w:tcBorders>
            <w:shd w:val="clear" w:color="auto" w:fill="FFFFFF" w:themeFill="background1"/>
            <w:vAlign w:val="center"/>
          </w:tcPr>
          <w:p w14:paraId="6CAD6A3A">
            <w:pPr>
              <w:keepNext w:val="0"/>
              <w:keepLines w:val="0"/>
              <w:widowControl/>
              <w:suppressLineNumbers w:val="0"/>
              <w:spacing w:line="360" w:lineRule="auto"/>
              <w:jc w:val="center"/>
              <w:textAlignment w:val="center"/>
              <w:rPr>
                <w:rFonts w:hint="eastAsia" w:ascii="宋体" w:hAnsi="宋体" w:eastAsia="宋体" w:cs="宋体"/>
                <w:i w:val="0"/>
                <w:iCs w:val="0"/>
                <w:color w:val="auto"/>
                <w:sz w:val="20"/>
                <w:szCs w:val="20"/>
                <w:highlight w:val="none"/>
                <w:u w:val="none"/>
              </w:rPr>
            </w:pPr>
            <w:r>
              <w:rPr>
                <w:rFonts w:hint="eastAsia" w:ascii="宋体" w:hAnsi="宋体" w:eastAsia="宋体" w:cs="宋体"/>
                <w:i w:val="0"/>
                <w:iCs w:val="0"/>
                <w:snapToGrid w:val="0"/>
                <w:color w:val="auto"/>
                <w:kern w:val="0"/>
                <w:sz w:val="20"/>
                <w:szCs w:val="20"/>
                <w:highlight w:val="none"/>
                <w:u w:val="none"/>
                <w:lang w:val="en-US" w:eastAsia="zh-CN" w:bidi="ar"/>
              </w:rPr>
              <w:t>40000</w:t>
            </w:r>
          </w:p>
        </w:tc>
      </w:tr>
    </w:tbl>
    <w:p w14:paraId="78002A1B">
      <w:pPr>
        <w:pageBreakBefore w:val="0"/>
        <w:widowControl w:val="0"/>
        <w:wordWrap/>
        <w:overflowPunct/>
        <w:topLinePunct w:val="0"/>
        <w:bidi w:val="0"/>
        <w:spacing w:line="242" w:lineRule="auto"/>
        <w:rPr>
          <w:color w:val="auto"/>
          <w:spacing w:val="0"/>
          <w:w w:val="100"/>
          <w:position w:val="0"/>
          <w:highlight w:val="none"/>
        </w:rPr>
      </w:pPr>
    </w:p>
    <w:p w14:paraId="493EFD6D">
      <w:pPr>
        <w:pageBreakBefore w:val="0"/>
        <w:widowControl w:val="0"/>
        <w:wordWrap/>
        <w:overflowPunct/>
        <w:topLinePunct w:val="0"/>
        <w:bidi w:val="0"/>
        <w:spacing w:line="245" w:lineRule="auto"/>
        <w:rPr>
          <w:color w:val="auto"/>
          <w:spacing w:val="0"/>
          <w:w w:val="100"/>
          <w:position w:val="0"/>
          <w:highlight w:val="none"/>
          <w:lang w:eastAsia="zh-CN"/>
        </w:rPr>
      </w:pPr>
    </w:p>
    <w:p w14:paraId="6F29CA1A">
      <w:pPr>
        <w:pageBreakBefore w:val="0"/>
        <w:widowControl w:val="0"/>
        <w:wordWrap/>
        <w:overflowPunct/>
        <w:topLinePunct w:val="0"/>
        <w:bidi w:val="0"/>
        <w:spacing w:line="245" w:lineRule="auto"/>
        <w:rPr>
          <w:rFonts w:hint="eastAsia" w:ascii="宋体" w:hAnsi="宋体" w:eastAsia="宋体" w:cs="宋体"/>
          <w:b/>
          <w:bCs/>
          <w:color w:val="auto"/>
          <w:spacing w:val="0"/>
          <w:w w:val="100"/>
          <w:position w:val="0"/>
          <w:sz w:val="24"/>
          <w:szCs w:val="24"/>
          <w:highlight w:val="none"/>
          <w:lang w:eastAsia="zh-CN"/>
        </w:rPr>
      </w:pPr>
      <w:r>
        <w:rPr>
          <w:rFonts w:hint="eastAsia" w:ascii="仿宋" w:hAnsi="仿宋" w:eastAsia="仿宋" w:cs="仿宋"/>
          <w:b/>
          <w:bCs/>
          <w:color w:val="000000"/>
          <w:sz w:val="32"/>
          <w:szCs w:val="32"/>
          <w:highlight w:val="none"/>
          <w:lang w:val="en-US" w:eastAsia="zh-CN"/>
        </w:rPr>
        <w:t>注：</w:t>
      </w:r>
      <w:r>
        <w:rPr>
          <w:rFonts w:ascii="仿宋" w:hAnsi="仿宋" w:eastAsia="仿宋" w:cs="仿宋"/>
          <w:b/>
          <w:bCs/>
          <w:color w:val="000000"/>
          <w:sz w:val="32"/>
          <w:szCs w:val="32"/>
          <w:highlight w:val="none"/>
        </w:rPr>
        <w:t>以上技术参数需全部满足或优于，否则作无效标处理</w:t>
      </w:r>
      <w:r>
        <w:rPr>
          <w:rFonts w:hint="eastAsia" w:ascii="仿宋" w:hAnsi="仿宋" w:eastAsia="仿宋" w:cs="仿宋"/>
          <w:b/>
          <w:bCs/>
          <w:color w:val="000000"/>
          <w:sz w:val="32"/>
          <w:szCs w:val="32"/>
          <w:highlight w:val="none"/>
          <w:lang w:eastAsia="zh-CN"/>
        </w:rPr>
        <w:t>。</w:t>
      </w:r>
    </w:p>
    <w:p w14:paraId="4C872D60">
      <w:pPr>
        <w:keepNext w:val="0"/>
        <w:keepLines w:val="0"/>
        <w:pageBreakBefore w:val="0"/>
        <w:widowControl w:val="0"/>
        <w:kinsoku w:val="0"/>
        <w:wordWrap/>
        <w:overflowPunct/>
        <w:topLinePunct w:val="0"/>
        <w:autoSpaceDE w:val="0"/>
        <w:autoSpaceDN w:val="0"/>
        <w:bidi w:val="0"/>
        <w:adjustRightInd w:val="0"/>
        <w:snapToGrid w:val="0"/>
        <w:spacing w:before="78" w:line="360" w:lineRule="auto"/>
        <w:ind w:firstLine="482" w:firstLineChars="200"/>
        <w:jc w:val="left"/>
        <w:textAlignment w:val="baseline"/>
        <w:rPr>
          <w:rFonts w:ascii="宋体" w:hAnsi="宋体" w:eastAsia="宋体" w:cs="宋体"/>
          <w:b/>
          <w:bCs/>
          <w:color w:val="auto"/>
          <w:spacing w:val="0"/>
          <w:w w:val="100"/>
          <w:position w:val="0"/>
          <w:sz w:val="24"/>
          <w:szCs w:val="24"/>
          <w:highlight w:val="none"/>
          <w:lang w:eastAsia="zh-CN"/>
        </w:rPr>
      </w:pPr>
      <w:r>
        <w:rPr>
          <w:rFonts w:hint="eastAsia" w:ascii="宋体" w:hAnsi="宋体" w:eastAsia="宋体" w:cs="宋体"/>
          <w:b/>
          <w:bCs/>
          <w:color w:val="auto"/>
          <w:spacing w:val="0"/>
          <w:w w:val="100"/>
          <w:position w:val="0"/>
          <w:sz w:val="24"/>
          <w:szCs w:val="24"/>
          <w:highlight w:val="none"/>
          <w:lang w:eastAsia="zh-CN"/>
        </w:rPr>
        <w:t>（</w:t>
      </w:r>
      <w:r>
        <w:rPr>
          <w:rFonts w:hint="eastAsia" w:ascii="宋体" w:hAnsi="宋体" w:eastAsia="宋体" w:cs="宋体"/>
          <w:b/>
          <w:bCs/>
          <w:color w:val="auto"/>
          <w:spacing w:val="0"/>
          <w:w w:val="100"/>
          <w:position w:val="0"/>
          <w:sz w:val="24"/>
          <w:szCs w:val="24"/>
          <w:highlight w:val="none"/>
          <w:lang w:val="en-US" w:eastAsia="zh-CN"/>
        </w:rPr>
        <w:t>二</w:t>
      </w:r>
      <w:r>
        <w:rPr>
          <w:rFonts w:hint="eastAsia" w:ascii="宋体" w:hAnsi="宋体" w:eastAsia="宋体" w:cs="宋体"/>
          <w:b/>
          <w:bCs/>
          <w:color w:val="auto"/>
          <w:spacing w:val="0"/>
          <w:w w:val="100"/>
          <w:position w:val="0"/>
          <w:sz w:val="24"/>
          <w:szCs w:val="24"/>
          <w:highlight w:val="none"/>
          <w:lang w:eastAsia="zh-CN"/>
        </w:rPr>
        <w:t>）</w:t>
      </w:r>
      <w:r>
        <w:rPr>
          <w:rFonts w:ascii="宋体" w:hAnsi="宋体" w:eastAsia="宋体" w:cs="宋体"/>
          <w:b/>
          <w:bCs/>
          <w:color w:val="auto"/>
          <w:spacing w:val="0"/>
          <w:w w:val="100"/>
          <w:position w:val="0"/>
          <w:sz w:val="24"/>
          <w:szCs w:val="24"/>
          <w:highlight w:val="none"/>
          <w:lang w:eastAsia="zh-CN"/>
        </w:rPr>
        <w:t>商务条件</w:t>
      </w:r>
    </w:p>
    <w:p w14:paraId="51E54223">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color w:val="auto"/>
          <w:spacing w:val="0"/>
          <w:w w:val="100"/>
          <w:position w:val="0"/>
          <w:sz w:val="24"/>
          <w:szCs w:val="24"/>
          <w:highlight w:val="none"/>
          <w:lang w:val="en-US" w:eastAsia="zh-CN"/>
        </w:rPr>
      </w:pPr>
      <w:r>
        <w:rPr>
          <w:rFonts w:hint="eastAsia"/>
          <w:color w:val="auto"/>
          <w:spacing w:val="0"/>
          <w:w w:val="100"/>
          <w:position w:val="0"/>
          <w:sz w:val="24"/>
          <w:szCs w:val="24"/>
          <w:highlight w:val="none"/>
          <w:lang w:val="en-US" w:eastAsia="zh-CN"/>
        </w:rPr>
        <w:t>1.交货地点：采购人指定地点</w:t>
      </w:r>
    </w:p>
    <w:p w14:paraId="584F7D07">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default"/>
          <w:color w:val="auto"/>
          <w:spacing w:val="0"/>
          <w:w w:val="100"/>
          <w:position w:val="0"/>
          <w:sz w:val="24"/>
          <w:szCs w:val="24"/>
          <w:highlight w:val="none"/>
          <w:lang w:val="en-US" w:eastAsia="zh-CN"/>
        </w:rPr>
      </w:pPr>
      <w:r>
        <w:rPr>
          <w:rFonts w:hint="eastAsia"/>
          <w:color w:val="auto"/>
          <w:spacing w:val="0"/>
          <w:w w:val="100"/>
          <w:position w:val="0"/>
          <w:sz w:val="24"/>
          <w:szCs w:val="24"/>
          <w:highlight w:val="none"/>
          <w:lang w:val="en-US" w:eastAsia="zh-CN"/>
        </w:rPr>
        <w:t>2.交货期限：自合同生效之日起90日历天内完成供货、安装并投入使用。</w:t>
      </w:r>
    </w:p>
    <w:p w14:paraId="6CB0A209">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b w:val="0"/>
          <w:bCs w:val="0"/>
          <w:color w:val="auto"/>
          <w:sz w:val="24"/>
          <w:szCs w:val="24"/>
          <w:highlight w:val="none"/>
          <w:lang w:val="en-US" w:eastAsia="zh-CN"/>
        </w:rPr>
      </w:pPr>
      <w:r>
        <w:rPr>
          <w:rFonts w:hint="eastAsia"/>
          <w:color w:val="auto"/>
          <w:spacing w:val="0"/>
          <w:w w:val="100"/>
          <w:position w:val="0"/>
          <w:sz w:val="24"/>
          <w:szCs w:val="24"/>
          <w:highlight w:val="none"/>
          <w:lang w:val="en-US" w:eastAsia="zh-CN"/>
        </w:rPr>
        <w:t>3.付款方式：</w:t>
      </w:r>
      <w:r>
        <w:rPr>
          <w:rFonts w:hint="eastAsia" w:ascii="宋体" w:hAnsi="宋体" w:eastAsia="宋体" w:cs="宋体"/>
          <w:b w:val="0"/>
          <w:bCs w:val="0"/>
          <w:color w:val="auto"/>
          <w:sz w:val="24"/>
          <w:szCs w:val="24"/>
          <w:highlight w:val="none"/>
          <w:lang w:val="en-US" w:eastAsia="zh-CN"/>
        </w:rPr>
        <w:t>货物送至采购人指定地点安装完成后30个工作日内付至合同总价的 50%；竣工验收合格后30个工作日内支付至合同总价的90%，剩余10%在竣工验收合格并正常运行一年后支付。</w:t>
      </w:r>
    </w:p>
    <w:p w14:paraId="31A89A61">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color w:val="auto"/>
          <w:spacing w:val="0"/>
          <w:w w:val="100"/>
          <w:position w:val="0"/>
          <w:sz w:val="24"/>
          <w:szCs w:val="24"/>
          <w:highlight w:val="none"/>
          <w:lang w:eastAsia="zh-CN"/>
        </w:rPr>
      </w:pPr>
      <w:r>
        <w:rPr>
          <w:rFonts w:hint="eastAsia"/>
          <w:color w:val="auto"/>
          <w:spacing w:val="0"/>
          <w:w w:val="100"/>
          <w:position w:val="0"/>
          <w:sz w:val="24"/>
          <w:szCs w:val="24"/>
          <w:highlight w:val="none"/>
          <w:lang w:val="en-US" w:eastAsia="zh-CN"/>
        </w:rPr>
        <w:t>4.报价方式：</w:t>
      </w:r>
      <w:r>
        <w:rPr>
          <w:rFonts w:hint="eastAsia" w:ascii="宋体" w:hAnsi="宋体" w:eastAsia="宋体" w:cs="宋体"/>
          <w:b w:val="0"/>
          <w:bCs w:val="0"/>
          <w:color w:val="000000"/>
          <w:sz w:val="24"/>
          <w:szCs w:val="24"/>
          <w:highlight w:val="none"/>
        </w:rPr>
        <w:t>以人民币报价，</w:t>
      </w:r>
      <w:r>
        <w:rPr>
          <w:rFonts w:hint="eastAsia" w:ascii="宋体" w:hAnsi="宋体" w:eastAsia="宋体" w:cs="宋体"/>
          <w:b w:val="0"/>
          <w:bCs w:val="0"/>
          <w:color w:val="000000"/>
          <w:sz w:val="24"/>
          <w:szCs w:val="24"/>
          <w:highlight w:val="none"/>
          <w:lang w:val="en-US" w:eastAsia="zh-CN"/>
        </w:rPr>
        <w:t>所报单价不得超过采购清单中控制单价，</w:t>
      </w:r>
      <w:r>
        <w:rPr>
          <w:rFonts w:hint="eastAsia" w:ascii="宋体" w:hAnsi="宋体" w:eastAsia="宋体" w:cs="宋体"/>
          <w:b w:val="0"/>
          <w:bCs w:val="0"/>
          <w:color w:val="000000"/>
          <w:sz w:val="24"/>
          <w:szCs w:val="24"/>
          <w:highlight w:val="none"/>
        </w:rPr>
        <w:t>投标报价应包含货物及所需附件的购置费、 包装费、运输费、安装调试费、人工费、保险费、各种税费、 验收费、售后服务费及合同实施过程中的应预见和不可预见费用等完成合同规定责任和义务、达到合同目的的一切费用。</w:t>
      </w:r>
    </w:p>
    <w:p w14:paraId="659C5028">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textAlignment w:val="baseline"/>
        <w:rPr>
          <w:color w:val="auto"/>
          <w:spacing w:val="0"/>
          <w:w w:val="100"/>
          <w:position w:val="0"/>
          <w:sz w:val="24"/>
          <w:szCs w:val="24"/>
          <w:highlight w:val="none"/>
          <w:lang w:eastAsia="zh-CN"/>
        </w:rPr>
      </w:pPr>
      <w:r>
        <w:rPr>
          <w:rFonts w:hint="eastAsia" w:ascii="宋体" w:hAnsi="宋体" w:eastAsia="宋体" w:cs="宋体"/>
          <w:b w:val="0"/>
          <w:bCs w:val="0"/>
          <w:color w:val="000000"/>
          <w:sz w:val="24"/>
          <w:szCs w:val="24"/>
          <w:highlight w:val="none"/>
          <w:lang w:val="en-US" w:eastAsia="zh-CN"/>
        </w:rPr>
        <w:t>5.货物要求：</w:t>
      </w:r>
    </w:p>
    <w:p w14:paraId="027EE7DE">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b w:val="0"/>
          <w:bCs w:val="0"/>
          <w:color w:val="000000"/>
          <w:sz w:val="24"/>
          <w:szCs w:val="24"/>
          <w:highlight w:val="none"/>
        </w:rPr>
      </w:pPr>
      <w:r>
        <w:rPr>
          <w:rFonts w:hint="eastAsia" w:ascii="宋体" w:hAnsi="宋体" w:eastAsia="宋体" w:cs="宋体"/>
          <w:b w:val="0"/>
          <w:bCs w:val="0"/>
          <w:color w:val="000000"/>
          <w:sz w:val="24"/>
          <w:szCs w:val="24"/>
          <w:highlight w:val="none"/>
        </w:rPr>
        <w:t>5.1 中标供应商所提供的货物必须为原厂原装、全新产品，表面无划损、无任何缺陷隐患的、符合国家有关质量标准的。</w:t>
      </w:r>
    </w:p>
    <w:p w14:paraId="4AEB81DA">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b w:val="0"/>
          <w:bCs w:val="0"/>
          <w:color w:val="000000"/>
          <w:sz w:val="24"/>
          <w:szCs w:val="24"/>
          <w:highlight w:val="none"/>
        </w:rPr>
      </w:pPr>
      <w:r>
        <w:rPr>
          <w:rFonts w:hint="eastAsia" w:ascii="宋体" w:hAnsi="宋体" w:eastAsia="宋体" w:cs="宋体"/>
          <w:b w:val="0"/>
          <w:bCs w:val="0"/>
          <w:color w:val="000000"/>
          <w:sz w:val="24"/>
          <w:szCs w:val="24"/>
          <w:highlight w:val="none"/>
        </w:rPr>
        <w:t xml:space="preserve">5.2 中标供应商应保证，采购人在中华人民共和国使用成交供应商所提供的货物时，免受第三方提出的侵犯其专利权、 商标权或设计权的起诉。 </w:t>
      </w:r>
    </w:p>
    <w:p w14:paraId="793D3715">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b w:val="0"/>
          <w:bCs w:val="0"/>
          <w:color w:val="000000"/>
          <w:sz w:val="24"/>
          <w:szCs w:val="24"/>
          <w:highlight w:val="none"/>
        </w:rPr>
      </w:pPr>
      <w:r>
        <w:rPr>
          <w:rFonts w:hint="eastAsia" w:ascii="宋体" w:hAnsi="宋体" w:eastAsia="宋体" w:cs="宋体"/>
          <w:b w:val="0"/>
          <w:bCs w:val="0"/>
          <w:color w:val="000000"/>
          <w:sz w:val="24"/>
          <w:szCs w:val="24"/>
          <w:highlight w:val="none"/>
        </w:rPr>
        <w:t>5.3 中标供应商必须保证所提供的货物符合本项目规定的质量、规格。</w:t>
      </w:r>
    </w:p>
    <w:p w14:paraId="67FF5CBE">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b w:val="0"/>
          <w:bCs w:val="0"/>
          <w:color w:val="000000"/>
          <w:sz w:val="24"/>
          <w:szCs w:val="24"/>
          <w:highlight w:val="none"/>
          <w:lang w:val="en-US" w:eastAsia="zh-CN"/>
        </w:rPr>
      </w:pPr>
      <w:r>
        <w:rPr>
          <w:rFonts w:hint="eastAsia" w:ascii="宋体" w:hAnsi="宋体" w:eastAsia="宋体" w:cs="宋体"/>
          <w:b w:val="0"/>
          <w:bCs w:val="0"/>
          <w:color w:val="000000"/>
          <w:sz w:val="24"/>
          <w:szCs w:val="24"/>
          <w:highlight w:val="none"/>
          <w:lang w:val="en-US" w:eastAsia="zh-CN"/>
        </w:rPr>
        <w:t>6.验收</w:t>
      </w:r>
    </w:p>
    <w:p w14:paraId="68817053">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b w:val="0"/>
          <w:bCs w:val="0"/>
          <w:color w:val="000000"/>
          <w:sz w:val="24"/>
          <w:szCs w:val="24"/>
          <w:highlight w:val="none"/>
        </w:rPr>
      </w:pPr>
      <w:r>
        <w:rPr>
          <w:rFonts w:hint="eastAsia" w:ascii="宋体" w:hAnsi="宋体" w:eastAsia="宋体" w:cs="宋体"/>
          <w:b w:val="0"/>
          <w:bCs w:val="0"/>
          <w:color w:val="000000"/>
          <w:sz w:val="24"/>
          <w:szCs w:val="24"/>
          <w:highlight w:val="none"/>
        </w:rPr>
        <w:t>6.1 交付验收标准：依次序对照适用标准为：①符合中华人民共和国国家安全质量标准、环保标准或行业标准；②符合</w:t>
      </w:r>
      <w:r>
        <w:rPr>
          <w:rFonts w:hint="eastAsia" w:ascii="宋体" w:hAnsi="宋体" w:eastAsia="宋体" w:cs="宋体"/>
          <w:b w:val="0"/>
          <w:bCs w:val="0"/>
          <w:color w:val="000000"/>
          <w:sz w:val="24"/>
          <w:szCs w:val="24"/>
          <w:highlight w:val="none"/>
          <w:lang w:val="en-US" w:eastAsia="zh-CN"/>
        </w:rPr>
        <w:t>招标</w:t>
      </w:r>
      <w:r>
        <w:rPr>
          <w:rFonts w:hint="eastAsia" w:ascii="宋体" w:hAnsi="宋体" w:eastAsia="宋体" w:cs="宋体"/>
          <w:b w:val="0"/>
          <w:bCs w:val="0"/>
          <w:color w:val="000000"/>
          <w:sz w:val="24"/>
          <w:szCs w:val="24"/>
          <w:highlight w:val="none"/>
        </w:rPr>
        <w:t xml:space="preserve">文件和投标承诺中采购人认可的合理最佳配置、参数及各项要求；③货物来源国家官方标准。 </w:t>
      </w:r>
    </w:p>
    <w:p w14:paraId="091F4E6D">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b w:val="0"/>
          <w:bCs w:val="0"/>
          <w:color w:val="000000"/>
          <w:sz w:val="24"/>
          <w:szCs w:val="24"/>
          <w:highlight w:val="none"/>
        </w:rPr>
      </w:pPr>
      <w:r>
        <w:rPr>
          <w:rFonts w:hint="eastAsia" w:ascii="宋体" w:hAnsi="宋体" w:eastAsia="宋体" w:cs="宋体"/>
          <w:b w:val="0"/>
          <w:bCs w:val="0"/>
          <w:color w:val="000000"/>
          <w:sz w:val="24"/>
          <w:szCs w:val="24"/>
          <w:highlight w:val="none"/>
        </w:rPr>
        <w:t xml:space="preserve">6.2 中标供应商须为验收提供必需的设备、工具及其他便利条件。 </w:t>
      </w:r>
    </w:p>
    <w:p w14:paraId="4337A2D4">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b w:val="0"/>
          <w:bCs w:val="0"/>
          <w:color w:val="000000"/>
          <w:sz w:val="24"/>
          <w:szCs w:val="24"/>
          <w:highlight w:val="none"/>
        </w:rPr>
      </w:pPr>
      <w:r>
        <w:rPr>
          <w:rFonts w:hint="eastAsia" w:ascii="宋体" w:hAnsi="宋体" w:eastAsia="宋体" w:cs="宋体"/>
          <w:b w:val="0"/>
          <w:bCs w:val="0"/>
          <w:color w:val="000000"/>
          <w:sz w:val="24"/>
          <w:szCs w:val="24"/>
          <w:highlight w:val="none"/>
        </w:rPr>
        <w:t xml:space="preserve">6.3 在验收过程中发现数量不足或有质量、技术等问题，中标供应商应负责按照采购人的要求采取补足、更换或退货等 措施妥善处理，并承担由此发生的一切费用和损失。 </w:t>
      </w:r>
    </w:p>
    <w:p w14:paraId="279AC8B5">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b w:val="0"/>
          <w:bCs w:val="0"/>
          <w:color w:val="000000"/>
          <w:sz w:val="24"/>
          <w:szCs w:val="24"/>
          <w:highlight w:val="none"/>
        </w:rPr>
      </w:pPr>
      <w:r>
        <w:rPr>
          <w:rFonts w:hint="eastAsia" w:ascii="宋体" w:hAnsi="宋体" w:eastAsia="宋体" w:cs="宋体"/>
          <w:b w:val="0"/>
          <w:bCs w:val="0"/>
          <w:color w:val="000000"/>
          <w:sz w:val="24"/>
          <w:szCs w:val="24"/>
          <w:highlight w:val="none"/>
        </w:rPr>
        <w:t>6.4 对于不合格的设备，中标人必须在5天内及时完成更换</w:t>
      </w:r>
      <w:r>
        <w:rPr>
          <w:rFonts w:hint="eastAsia" w:ascii="宋体" w:hAnsi="宋体" w:eastAsia="宋体" w:cs="宋体"/>
          <w:b w:val="0"/>
          <w:bCs w:val="0"/>
          <w:color w:val="000000"/>
          <w:sz w:val="24"/>
          <w:szCs w:val="24"/>
          <w:highlight w:val="none"/>
          <w:lang w:eastAsia="zh-CN"/>
        </w:rPr>
        <w:t>，</w:t>
      </w:r>
      <w:r>
        <w:rPr>
          <w:rFonts w:hint="eastAsia" w:ascii="宋体" w:hAnsi="宋体" w:eastAsia="宋体" w:cs="宋体"/>
          <w:b w:val="0"/>
          <w:bCs w:val="0"/>
          <w:color w:val="000000"/>
          <w:sz w:val="24"/>
          <w:szCs w:val="24"/>
          <w:highlight w:val="none"/>
        </w:rPr>
        <w:t xml:space="preserve">并保证验收合格。5天内不能更换的或更换的验收不合格，按逾期交货处理。 </w:t>
      </w:r>
    </w:p>
    <w:p w14:paraId="4A2FD8C7">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textAlignment w:val="baseline"/>
        <w:rPr>
          <w:rFonts w:hint="default" w:ascii="宋体" w:hAnsi="宋体" w:eastAsia="宋体" w:cs="宋体"/>
          <w:b w:val="0"/>
          <w:bCs w:val="0"/>
          <w:color w:val="000000"/>
          <w:sz w:val="24"/>
          <w:szCs w:val="24"/>
          <w:highlight w:val="none"/>
          <w:lang w:val="en-US" w:eastAsia="zh-CN"/>
        </w:rPr>
      </w:pPr>
      <w:r>
        <w:rPr>
          <w:rFonts w:hint="eastAsia" w:ascii="宋体" w:hAnsi="宋体" w:eastAsia="宋体" w:cs="宋体"/>
          <w:b w:val="0"/>
          <w:bCs w:val="0"/>
          <w:color w:val="000000"/>
          <w:sz w:val="24"/>
          <w:szCs w:val="24"/>
          <w:highlight w:val="none"/>
        </w:rPr>
        <w:t>6.5 相关检验检测和验收费用</w:t>
      </w:r>
      <w:r>
        <w:rPr>
          <w:rFonts w:hint="eastAsia" w:ascii="宋体" w:hAnsi="宋体" w:eastAsia="宋体" w:cs="宋体"/>
          <w:b w:val="0"/>
          <w:bCs w:val="0"/>
          <w:color w:val="000000"/>
          <w:sz w:val="24"/>
          <w:szCs w:val="24"/>
          <w:highlight w:val="none"/>
          <w:lang w:eastAsia="zh-CN"/>
        </w:rPr>
        <w:t>（</w:t>
      </w:r>
      <w:r>
        <w:rPr>
          <w:rFonts w:hint="eastAsia" w:ascii="宋体" w:hAnsi="宋体" w:eastAsia="宋体" w:cs="宋体"/>
          <w:b w:val="0"/>
          <w:bCs w:val="0"/>
          <w:color w:val="000000"/>
          <w:sz w:val="24"/>
          <w:szCs w:val="24"/>
          <w:highlight w:val="none"/>
          <w:lang w:val="en-US" w:eastAsia="zh-CN"/>
        </w:rPr>
        <w:t>包含第三方验收</w:t>
      </w:r>
      <w:r>
        <w:rPr>
          <w:rFonts w:hint="eastAsia" w:ascii="宋体" w:hAnsi="宋体" w:eastAsia="宋体" w:cs="宋体"/>
          <w:b w:val="0"/>
          <w:bCs w:val="0"/>
          <w:color w:val="000000"/>
          <w:sz w:val="24"/>
          <w:szCs w:val="24"/>
          <w:highlight w:val="none"/>
          <w:lang w:eastAsia="zh-CN"/>
        </w:rPr>
        <w:t>）</w:t>
      </w:r>
      <w:r>
        <w:rPr>
          <w:rFonts w:hint="eastAsia" w:ascii="宋体" w:hAnsi="宋体" w:eastAsia="宋体" w:cs="宋体"/>
          <w:b w:val="0"/>
          <w:bCs w:val="0"/>
          <w:color w:val="000000"/>
          <w:sz w:val="24"/>
          <w:szCs w:val="24"/>
          <w:highlight w:val="none"/>
        </w:rPr>
        <w:t>全部由中标供应商承担。</w:t>
      </w:r>
    </w:p>
    <w:p w14:paraId="684FEEBB">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78" w:line="360" w:lineRule="auto"/>
        <w:ind w:firstLine="480" w:firstLineChars="200"/>
        <w:textAlignment w:val="baseline"/>
        <w:rPr>
          <w:rFonts w:hint="eastAsia" w:ascii="宋体" w:hAnsi="宋体" w:eastAsia="宋体" w:cs="宋体"/>
          <w:b w:val="0"/>
          <w:bCs w:val="0"/>
          <w:color w:val="000000"/>
          <w:sz w:val="24"/>
          <w:szCs w:val="24"/>
          <w:highlight w:val="none"/>
        </w:rPr>
      </w:pPr>
      <w:r>
        <w:rPr>
          <w:rFonts w:hint="eastAsia" w:ascii="宋体" w:hAnsi="宋体" w:eastAsia="宋体" w:cs="宋体"/>
          <w:b w:val="0"/>
          <w:bCs w:val="0"/>
          <w:color w:val="000000"/>
          <w:sz w:val="24"/>
          <w:szCs w:val="24"/>
          <w:highlight w:val="none"/>
          <w:lang w:val="en-US" w:eastAsia="zh-CN"/>
        </w:rPr>
        <w:t>7.</w:t>
      </w:r>
      <w:r>
        <w:rPr>
          <w:rFonts w:hint="eastAsia" w:ascii="宋体" w:hAnsi="宋体" w:eastAsia="宋体" w:cs="宋体"/>
          <w:b w:val="0"/>
          <w:bCs w:val="0"/>
          <w:color w:val="000000"/>
          <w:sz w:val="24"/>
          <w:szCs w:val="24"/>
          <w:highlight w:val="none"/>
        </w:rPr>
        <w:t>质保期：本项目货物质保期为自验收合格之日起</w:t>
      </w:r>
      <w:r>
        <w:rPr>
          <w:rFonts w:hint="eastAsia" w:ascii="宋体" w:hAnsi="宋体" w:eastAsia="宋体" w:cs="宋体"/>
          <w:b w:val="0"/>
          <w:bCs w:val="0"/>
          <w:color w:val="000000"/>
          <w:sz w:val="24"/>
          <w:szCs w:val="24"/>
          <w:highlight w:val="none"/>
          <w:lang w:val="en-US" w:eastAsia="zh-CN"/>
        </w:rPr>
        <w:t>一</w:t>
      </w:r>
      <w:r>
        <w:rPr>
          <w:rFonts w:hint="eastAsia" w:ascii="宋体" w:hAnsi="宋体" w:eastAsia="宋体" w:cs="宋体"/>
          <w:b w:val="0"/>
          <w:bCs w:val="0"/>
          <w:color w:val="000000"/>
          <w:sz w:val="24"/>
          <w:szCs w:val="24"/>
          <w:highlight w:val="none"/>
        </w:rPr>
        <w:t xml:space="preserve">年 。 </w:t>
      </w:r>
    </w:p>
    <w:p w14:paraId="5913B5EE">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78" w:line="360" w:lineRule="auto"/>
        <w:ind w:firstLine="480" w:firstLineChars="200"/>
        <w:textAlignment w:val="baseline"/>
        <w:rPr>
          <w:rFonts w:hint="eastAsia" w:ascii="宋体" w:hAnsi="宋体" w:eastAsia="宋体" w:cs="宋体"/>
          <w:b w:val="0"/>
          <w:bCs w:val="0"/>
          <w:color w:val="000000"/>
          <w:sz w:val="24"/>
          <w:szCs w:val="24"/>
          <w:highlight w:val="none"/>
          <w:lang w:val="en-US" w:eastAsia="zh-CN"/>
        </w:rPr>
      </w:pPr>
      <w:r>
        <w:rPr>
          <w:rFonts w:hint="eastAsia" w:ascii="宋体" w:hAnsi="宋体" w:eastAsia="宋体" w:cs="宋体"/>
          <w:b w:val="0"/>
          <w:bCs w:val="0"/>
          <w:color w:val="000000"/>
          <w:sz w:val="24"/>
          <w:szCs w:val="24"/>
          <w:highlight w:val="none"/>
          <w:lang w:val="en-US" w:eastAsia="zh-CN"/>
        </w:rPr>
        <w:t>8.售后服务：</w:t>
      </w:r>
    </w:p>
    <w:p w14:paraId="6E8F8516">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78" w:line="360" w:lineRule="auto"/>
        <w:ind w:firstLine="480" w:firstLineChars="200"/>
        <w:textAlignment w:val="baseline"/>
        <w:rPr>
          <w:rFonts w:hint="eastAsia" w:ascii="宋体" w:hAnsi="宋体" w:eastAsia="宋体" w:cs="宋体"/>
          <w:b w:val="0"/>
          <w:bCs w:val="0"/>
          <w:color w:val="000000"/>
          <w:sz w:val="24"/>
          <w:szCs w:val="24"/>
          <w:highlight w:val="none"/>
        </w:rPr>
      </w:pPr>
      <w:r>
        <w:rPr>
          <w:rFonts w:hint="eastAsia" w:ascii="宋体" w:hAnsi="宋体" w:eastAsia="宋体" w:cs="宋体"/>
          <w:b w:val="0"/>
          <w:bCs w:val="0"/>
          <w:color w:val="000000"/>
          <w:sz w:val="24"/>
          <w:szCs w:val="24"/>
          <w:highlight w:val="none"/>
          <w:lang w:val="en-US" w:eastAsia="zh-CN"/>
        </w:rPr>
        <w:t>8.1</w:t>
      </w:r>
      <w:r>
        <w:rPr>
          <w:rFonts w:hint="eastAsia" w:ascii="宋体" w:hAnsi="宋体" w:eastAsia="宋体" w:cs="宋体"/>
          <w:b w:val="0"/>
          <w:bCs w:val="0"/>
          <w:color w:val="000000"/>
          <w:sz w:val="24"/>
          <w:szCs w:val="24"/>
          <w:highlight w:val="none"/>
        </w:rPr>
        <w:t xml:space="preserve">中标供应商应设立专门的售后服务体系，提供优质、高效的故障申告受理、故障处理、系统运行监控、重要期间保障等服务，做到“一点响应，全程服务” 。 </w:t>
      </w:r>
    </w:p>
    <w:p w14:paraId="31F605F0">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78" w:line="360" w:lineRule="auto"/>
        <w:ind w:firstLine="480" w:firstLineChars="200"/>
        <w:textAlignment w:val="baseline"/>
        <w:rPr>
          <w:rFonts w:hint="eastAsia" w:ascii="宋体" w:hAnsi="宋体" w:eastAsia="宋体" w:cs="宋体"/>
          <w:b w:val="0"/>
          <w:bCs w:val="0"/>
          <w:color w:val="000000"/>
          <w:sz w:val="24"/>
          <w:szCs w:val="24"/>
          <w:highlight w:val="none"/>
        </w:rPr>
      </w:pPr>
      <w:r>
        <w:rPr>
          <w:rFonts w:hint="eastAsia" w:ascii="宋体" w:hAnsi="宋体" w:eastAsia="宋体" w:cs="宋体"/>
          <w:b w:val="0"/>
          <w:bCs w:val="0"/>
          <w:color w:val="000000"/>
          <w:sz w:val="24"/>
          <w:szCs w:val="24"/>
          <w:highlight w:val="none"/>
          <w:lang w:val="en-US" w:eastAsia="zh-CN"/>
        </w:rPr>
        <w:t>8.2</w:t>
      </w:r>
      <w:r>
        <w:rPr>
          <w:rFonts w:hint="eastAsia" w:ascii="宋体" w:hAnsi="宋体" w:eastAsia="宋体" w:cs="宋体"/>
          <w:b w:val="0"/>
          <w:bCs w:val="0"/>
          <w:color w:val="000000"/>
          <w:sz w:val="24"/>
          <w:szCs w:val="24"/>
          <w:highlight w:val="none"/>
        </w:rPr>
        <w:t xml:space="preserve">不在“三包”范围内的零配件更换按成本价提供。 </w:t>
      </w:r>
    </w:p>
    <w:p w14:paraId="78E3B07F">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before="78" w:line="360" w:lineRule="auto"/>
        <w:ind w:firstLine="480" w:firstLineChars="200"/>
        <w:textAlignment w:val="baseline"/>
        <w:rPr>
          <w:rFonts w:hint="eastAsia" w:ascii="宋体" w:hAnsi="宋体" w:eastAsia="宋体" w:cs="宋体"/>
          <w:b w:val="0"/>
          <w:bCs w:val="0"/>
          <w:color w:val="000000"/>
          <w:sz w:val="24"/>
          <w:szCs w:val="24"/>
          <w:highlight w:val="none"/>
          <w:lang w:val="en-US" w:eastAsia="zh-CN"/>
        </w:rPr>
      </w:pPr>
      <w:r>
        <w:rPr>
          <w:rFonts w:hint="eastAsia" w:ascii="宋体" w:hAnsi="宋体" w:eastAsia="宋体" w:cs="宋体"/>
          <w:b w:val="0"/>
          <w:bCs w:val="0"/>
          <w:color w:val="000000"/>
          <w:sz w:val="24"/>
          <w:szCs w:val="24"/>
          <w:highlight w:val="none"/>
          <w:lang w:val="en-US" w:eastAsia="zh-CN"/>
        </w:rPr>
        <w:t>8.3</w:t>
      </w:r>
      <w:r>
        <w:rPr>
          <w:rFonts w:hint="eastAsia" w:ascii="宋体" w:hAnsi="宋体" w:eastAsia="宋体" w:cs="宋体"/>
          <w:b w:val="0"/>
          <w:bCs w:val="0"/>
          <w:color w:val="000000"/>
          <w:sz w:val="24"/>
          <w:szCs w:val="24"/>
          <w:highlight w:val="none"/>
        </w:rPr>
        <w:t>质保期内所有货物保修服务方式均为上门保修，即由成交供应商派员到采购人使用现场维修，由此产生的一切费用均由中标供应商承担</w:t>
      </w:r>
      <w:r>
        <w:rPr>
          <w:rFonts w:hint="eastAsia" w:ascii="宋体" w:hAnsi="宋体" w:eastAsia="宋体" w:cs="宋体"/>
          <w:b w:val="0"/>
          <w:bCs w:val="0"/>
          <w:color w:val="000000"/>
          <w:sz w:val="24"/>
          <w:szCs w:val="24"/>
          <w:highlight w:val="none"/>
          <w:lang w:eastAsia="zh-CN"/>
        </w:rPr>
        <w:t>。</w:t>
      </w:r>
    </w:p>
    <w:p w14:paraId="517F0353">
      <w:pPr>
        <w:pageBreakBefore w:val="0"/>
        <w:widowControl w:val="0"/>
        <w:wordWrap/>
        <w:overflowPunct/>
        <w:topLinePunct w:val="0"/>
        <w:bidi w:val="0"/>
        <w:spacing w:line="360" w:lineRule="auto"/>
        <w:rPr>
          <w:rFonts w:hint="eastAsia" w:eastAsia="仿宋"/>
          <w:color w:val="auto"/>
          <w:spacing w:val="0"/>
          <w:w w:val="100"/>
          <w:position w:val="0"/>
          <w:sz w:val="24"/>
          <w:szCs w:val="24"/>
          <w:highlight w:val="none"/>
          <w:lang w:eastAsia="zh-CN"/>
        </w:rPr>
      </w:pPr>
      <w:r>
        <w:rPr>
          <w:rFonts w:hint="eastAsia" w:ascii="仿宋" w:hAnsi="仿宋" w:eastAsia="仿宋" w:cs="仿宋"/>
          <w:b/>
          <w:bCs/>
          <w:color w:val="000000"/>
          <w:sz w:val="32"/>
          <w:szCs w:val="32"/>
          <w:highlight w:val="none"/>
          <w:lang w:val="en-US" w:eastAsia="zh-CN"/>
        </w:rPr>
        <w:t>注：</w:t>
      </w:r>
      <w:r>
        <w:rPr>
          <w:rFonts w:ascii="仿宋" w:hAnsi="仿宋" w:eastAsia="仿宋" w:cs="仿宋"/>
          <w:b/>
          <w:bCs/>
          <w:color w:val="000000"/>
          <w:sz w:val="32"/>
          <w:szCs w:val="32"/>
          <w:highlight w:val="none"/>
        </w:rPr>
        <w:t>以上</w:t>
      </w:r>
      <w:r>
        <w:rPr>
          <w:rFonts w:hint="eastAsia" w:ascii="仿宋" w:hAnsi="仿宋" w:eastAsia="仿宋" w:cs="仿宋"/>
          <w:b/>
          <w:bCs/>
          <w:color w:val="000000"/>
          <w:sz w:val="32"/>
          <w:szCs w:val="32"/>
          <w:highlight w:val="none"/>
          <w:lang w:val="en-US" w:eastAsia="zh-CN"/>
        </w:rPr>
        <w:t>商务条款</w:t>
      </w:r>
      <w:r>
        <w:rPr>
          <w:rFonts w:ascii="仿宋" w:hAnsi="仿宋" w:eastAsia="仿宋" w:cs="仿宋"/>
          <w:b/>
          <w:bCs/>
          <w:color w:val="000000"/>
          <w:sz w:val="32"/>
          <w:szCs w:val="32"/>
          <w:highlight w:val="none"/>
        </w:rPr>
        <w:t>需全部满足或优于，否则作无效标处理</w:t>
      </w:r>
      <w:r>
        <w:rPr>
          <w:rFonts w:hint="eastAsia" w:ascii="仿宋" w:hAnsi="仿宋" w:eastAsia="仿宋" w:cs="仿宋"/>
          <w:b/>
          <w:bCs/>
          <w:color w:val="000000"/>
          <w:sz w:val="32"/>
          <w:szCs w:val="32"/>
          <w:highlight w:val="none"/>
          <w:lang w:eastAsia="zh-CN"/>
        </w:rPr>
        <w:t>。</w:t>
      </w:r>
    </w:p>
    <w:p w14:paraId="21365716"/>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F21376">
    <w:pPr>
      <w:pStyle w:val="2"/>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2F7105">
                          <w:pPr>
                            <w:pStyle w:val="2"/>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L2AA3MzAgAAYwQAAA4AAAAAAAAAAQAgAAAAHwEAAGRycy9lMm9Eb2MueG1sUEsF&#10;BgAAAAAGAAYAWQEAAMQFAAAAAA==&#10;">
              <v:fill on="f" focussize="0,0"/>
              <v:stroke on="f" weight="0.5pt"/>
              <v:imagedata o:title=""/>
              <o:lock v:ext="edit" aspectratio="f"/>
              <v:textbox inset="0mm,0mm,0mm,0mm" style="mso-fit-shape-to-text:t;">
                <w:txbxContent>
                  <w:p w14:paraId="6E2F7105">
                    <w:pPr>
                      <w:pStyle w:val="2"/>
                    </w:pPr>
                    <w:r>
                      <w:fldChar w:fldCharType="begin"/>
                    </w:r>
                    <w:r>
                      <w:instrText xml:space="preserve"> PAGE  \* MERGEFORMAT </w:instrText>
                    </w:r>
                    <w:r>
                      <w:fldChar w:fldCharType="separate"/>
                    </w:r>
                    <w:r>
                      <w:t>59</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B60432B"/>
    <w:rsid w:val="4B6043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2026-06-12T06:16:00Z</dcterms:created>
  <dc:creator>Administrator</dc:creator>
  <cp:lastModifiedBy>Administrator</cp:lastModifiedBy>
  <dcterms:modified xsi:type="dcterms:W3CDTF">2026-06-12T06:17:20Z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A9067341806A42E2B42312A314873C1B_11</vt:lpwstr>
  </property>
  <property fmtid="{D5CDD505-2E9C-101B-9397-08002B2CF9AE}" pid="4" name="KSOTemplateDocerSaveRecord">
    <vt:lpwstr>eyJoZGlkIjoiYzg2ODgwNDNjOTAwODkwYTkzNTBmMmQzY2ZmYWRhYmMiLCJ1c2VySWQiOiI3NTE3MDExMzUifQ==</vt:lpwstr>
  </property>
</Properties>
</file>