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99B81E">
      <w:pPr>
        <w:spacing w:before="101" w:line="225" w:lineRule="auto"/>
        <w:jc w:val="center"/>
        <w:outlineLvl w:val="0"/>
        <w:rPr>
          <w:rFonts w:hint="eastAsia" w:ascii="宋体" w:hAnsi="宋体" w:eastAsia="宋体" w:cs="宋体"/>
          <w:b/>
          <w:bCs/>
          <w:color w:val="auto"/>
          <w:spacing w:val="6"/>
          <w:sz w:val="32"/>
          <w:szCs w:val="32"/>
          <w:highlight w:val="none"/>
          <w:lang w:val="en-US" w:eastAsia="zh-CN"/>
        </w:rPr>
      </w:pPr>
      <w:bookmarkStart w:id="0" w:name="_Toc31615"/>
      <w:r>
        <w:rPr>
          <w:rFonts w:hint="eastAsia" w:ascii="宋体" w:hAnsi="宋体" w:eastAsia="宋体" w:cs="宋体"/>
          <w:b/>
          <w:bCs/>
          <w:color w:val="auto"/>
          <w:spacing w:val="6"/>
          <w:sz w:val="32"/>
          <w:szCs w:val="32"/>
          <w:highlight w:val="none"/>
          <w:lang w:val="en-US" w:eastAsia="zh-CN"/>
        </w:rPr>
        <w:t>第五章  采购需求</w:t>
      </w:r>
      <w:bookmarkEnd w:id="0"/>
    </w:p>
    <w:p w14:paraId="08F34CA5">
      <w:pPr>
        <w:pageBreakBefore w:val="0"/>
        <w:widowControl w:val="0"/>
        <w:wordWrap/>
        <w:overflowPunct/>
        <w:topLinePunct w:val="0"/>
        <w:bidi w:val="0"/>
        <w:spacing w:line="257" w:lineRule="auto"/>
        <w:rPr>
          <w:color w:val="auto"/>
          <w:highlight w:val="none"/>
        </w:rPr>
      </w:pPr>
      <w:bookmarkStart w:id="1" w:name="bookmark81"/>
      <w:bookmarkEnd w:id="1"/>
    </w:p>
    <w:p w14:paraId="77D21B48">
      <w:pPr>
        <w:pageBreakBefore w:val="0"/>
        <w:widowControl w:val="0"/>
        <w:numPr>
          <w:ilvl w:val="0"/>
          <w:numId w:val="1"/>
        </w:numPr>
        <w:wordWrap/>
        <w:overflowPunct/>
        <w:topLinePunct w:val="0"/>
        <w:bidi w:val="0"/>
        <w:spacing w:before="78" w:line="219" w:lineRule="auto"/>
        <w:jc w:val="center"/>
        <w:rPr>
          <w:rFonts w:hint="eastAsia" w:ascii="宋体" w:hAnsi="宋体" w:eastAsia="宋体" w:cs="宋体"/>
          <w:b/>
          <w:bCs/>
          <w:color w:val="auto"/>
          <w:spacing w:val="-5"/>
          <w:sz w:val="28"/>
          <w:szCs w:val="28"/>
          <w:highlight w:val="none"/>
          <w:lang w:val="en-US" w:eastAsia="zh-CN"/>
        </w:rPr>
      </w:pPr>
      <w:r>
        <w:rPr>
          <w:rFonts w:ascii="宋体" w:hAnsi="宋体" w:eastAsia="宋体" w:cs="宋体"/>
          <w:b/>
          <w:bCs/>
          <w:color w:val="auto"/>
          <w:spacing w:val="-5"/>
          <w:sz w:val="28"/>
          <w:szCs w:val="28"/>
          <w:highlight w:val="none"/>
        </w:rPr>
        <w:t>技术</w:t>
      </w:r>
      <w:r>
        <w:rPr>
          <w:rFonts w:hint="eastAsia" w:ascii="宋体" w:hAnsi="宋体" w:eastAsia="宋体" w:cs="宋体"/>
          <w:b/>
          <w:bCs/>
          <w:color w:val="auto"/>
          <w:spacing w:val="-5"/>
          <w:sz w:val="28"/>
          <w:szCs w:val="28"/>
          <w:highlight w:val="none"/>
          <w:lang w:val="en-US" w:eastAsia="zh-CN"/>
        </w:rPr>
        <w:t>要求</w:t>
      </w:r>
    </w:p>
    <w:p w14:paraId="118B3567">
      <w:pPr>
        <w:pStyle w:val="3"/>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textAlignment w:val="baseline"/>
        <w:rPr>
          <w:rFonts w:hint="eastAsia" w:asciiTheme="minorEastAsia" w:hAnsiTheme="minorEastAsia" w:eastAsiaTheme="minorEastAsia" w:cstheme="minorEastAsia"/>
          <w:b/>
          <w:bCs/>
          <w:sz w:val="24"/>
          <w:szCs w:val="24"/>
          <w:highlight w:val="none"/>
          <w:lang w:val="en-US" w:eastAsia="zh-CN"/>
        </w:rPr>
      </w:pPr>
      <w:r>
        <w:rPr>
          <w:rFonts w:hint="eastAsia" w:asciiTheme="minorEastAsia" w:hAnsiTheme="minorEastAsia" w:eastAsiaTheme="minorEastAsia" w:cstheme="minorEastAsia"/>
          <w:b/>
          <w:bCs/>
          <w:sz w:val="24"/>
          <w:szCs w:val="24"/>
          <w:highlight w:val="none"/>
          <w:lang w:val="en-US" w:eastAsia="zh-CN"/>
        </w:rPr>
        <w:t>项目概况</w:t>
      </w:r>
    </w:p>
    <w:p w14:paraId="2F9D7040">
      <w:pPr>
        <w:pStyle w:val="3"/>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rPr>
        <w:t>安全利用区任务面积：14706.5亩，涉及东升镇、芙蓉墩镇、芙蓉农场、黄岭乡、浪溪镇、上十岭、天红镇、杨梓镇等8个乡镇17个行政村。其中水田面积7837.79亩（早稻716.30亩、中稻6826.49亩、晚稻653.80亩），旱地面积6868.71亩</w:t>
      </w:r>
      <w:r>
        <w:rPr>
          <w:rFonts w:hint="eastAsia" w:asciiTheme="minorEastAsia" w:hAnsiTheme="minorEastAsia" w:eastAsiaTheme="minorEastAsia" w:cstheme="minorEastAsia"/>
          <w:sz w:val="24"/>
          <w:szCs w:val="24"/>
          <w:highlight w:val="none"/>
          <w:lang w:val="en-US" w:eastAsia="zh-CN"/>
        </w:rPr>
        <w:t>。</w:t>
      </w:r>
      <w:r>
        <w:rPr>
          <w:rFonts w:hint="eastAsia" w:asciiTheme="minorEastAsia" w:hAnsiTheme="minorEastAsia" w:eastAsiaTheme="minorEastAsia" w:cstheme="minorEastAsia"/>
          <w:sz w:val="24"/>
          <w:szCs w:val="24"/>
          <w:highlight w:val="none"/>
          <w:lang w:val="en-US"/>
        </w:rPr>
        <w:t>安全利用区中水稻镉低积累品种共需种子490</w:t>
      </w:r>
      <w:r>
        <w:rPr>
          <w:rFonts w:hint="eastAsia" w:asciiTheme="minorEastAsia" w:hAnsiTheme="minorEastAsia" w:eastAsiaTheme="minorEastAsia" w:cstheme="minorEastAsia"/>
          <w:sz w:val="24"/>
          <w:szCs w:val="24"/>
          <w:highlight w:val="none"/>
          <w:lang w:val="en-US" w:eastAsia="zh-CN"/>
        </w:rPr>
        <w:t>8</w:t>
      </w:r>
      <w:r>
        <w:rPr>
          <w:rFonts w:hint="eastAsia" w:asciiTheme="minorEastAsia" w:hAnsiTheme="minorEastAsia" w:eastAsiaTheme="minorEastAsia" w:cstheme="minorEastAsia"/>
          <w:sz w:val="24"/>
          <w:szCs w:val="24"/>
          <w:highlight w:val="none"/>
          <w:lang w:val="en-US"/>
        </w:rPr>
        <w:t>kg。安全利用类主要采取镉低积累水稻品种、原位钝化、叶面阻控、水分调控、种植结构调整</w:t>
      </w:r>
      <w:r>
        <w:rPr>
          <w:rFonts w:hint="eastAsia" w:asciiTheme="minorEastAsia" w:hAnsiTheme="minorEastAsia" w:eastAsiaTheme="minorEastAsia" w:cstheme="minorEastAsia"/>
          <w:sz w:val="24"/>
          <w:szCs w:val="24"/>
          <w:highlight w:val="none"/>
          <w:lang w:val="en-US" w:eastAsia="zh-CN"/>
        </w:rPr>
        <w:t>等措施。</w:t>
      </w:r>
      <w:r>
        <w:rPr>
          <w:rFonts w:hint="eastAsia" w:asciiTheme="minorEastAsia" w:hAnsiTheme="minorEastAsia" w:eastAsiaTheme="minorEastAsia" w:cstheme="minorEastAsia"/>
          <w:sz w:val="24"/>
          <w:szCs w:val="24"/>
          <w:highlight w:val="none"/>
          <w:lang w:val="en-US"/>
        </w:rPr>
        <w:t>严格管控类耕地536.8亩，主要采取种植结构调整等措施。</w:t>
      </w:r>
      <w:r>
        <w:rPr>
          <w:rFonts w:hint="eastAsia" w:asciiTheme="minorEastAsia" w:hAnsiTheme="minorEastAsia" w:eastAsiaTheme="minorEastAsia" w:cstheme="minorEastAsia"/>
          <w:sz w:val="24"/>
          <w:szCs w:val="24"/>
          <w:highlight w:val="none"/>
          <w:lang w:val="en-US" w:eastAsia="zh-CN"/>
        </w:rPr>
        <w:t>具体流程和要求按《彭泽县2026年受污染耕地安全利用与严格管控项目实施方案》进行。</w:t>
      </w:r>
    </w:p>
    <w:p w14:paraId="722F59D6">
      <w:pPr>
        <w:keepNext w:val="0"/>
        <w:keepLines w:val="0"/>
        <w:pageBreakBefore w:val="0"/>
        <w:widowControl/>
        <w:numPr>
          <w:ilvl w:val="0"/>
          <w:numId w:val="2"/>
        </w:numPr>
        <w:kinsoku w:val="0"/>
        <w:wordWrap/>
        <w:overflowPunct/>
        <w:topLinePunct w:val="0"/>
        <w:autoSpaceDE w:val="0"/>
        <w:autoSpaceDN w:val="0"/>
        <w:bidi w:val="0"/>
        <w:adjustRightInd w:val="0"/>
        <w:snapToGrid w:val="0"/>
        <w:spacing w:line="360" w:lineRule="auto"/>
        <w:ind w:left="0" w:leftChars="0" w:firstLine="0" w:firstLineChars="0"/>
        <w:textAlignment w:val="baseline"/>
        <w:rPr>
          <w:rFonts w:hint="default"/>
          <w:b/>
          <w:bCs/>
          <w:highlight w:val="none"/>
          <w:vertAlign w:val="baseline"/>
          <w:lang w:val="en-US" w:eastAsia="zh-CN"/>
        </w:rPr>
      </w:pPr>
      <w:r>
        <w:rPr>
          <w:rFonts w:hint="eastAsia" w:asciiTheme="minorEastAsia" w:hAnsiTheme="minorEastAsia" w:eastAsiaTheme="minorEastAsia" w:cstheme="minorEastAsia"/>
          <w:b/>
          <w:bCs/>
          <w:sz w:val="24"/>
          <w:szCs w:val="24"/>
          <w:highlight w:val="none"/>
          <w:lang w:val="en-US" w:eastAsia="zh-CN"/>
        </w:rPr>
        <w:t>采购需求清单</w:t>
      </w:r>
    </w:p>
    <w:tbl>
      <w:tblPr>
        <w:tblStyle w:val="6"/>
        <w:tblW w:w="9420" w:type="dxa"/>
        <w:tblInd w:w="3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0"/>
        <w:gridCol w:w="3510"/>
        <w:gridCol w:w="1260"/>
        <w:gridCol w:w="1455"/>
        <w:gridCol w:w="2355"/>
      </w:tblGrid>
      <w:tr w14:paraId="47551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bottom"/>
          </w:tcPr>
          <w:p w14:paraId="6F5CBD2B">
            <w:pPr>
              <w:widowControl w:val="0"/>
              <w:spacing w:line="360" w:lineRule="exact"/>
              <w:jc w:val="center"/>
              <w:rPr>
                <w:rFonts w:hint="default" w:ascii="宋体" w:hAnsi="宋体" w:eastAsia="宋体" w:cs="Times New Roman"/>
                <w:b/>
                <w:bCs w:val="0"/>
                <w:color w:val="auto"/>
                <w:sz w:val="24"/>
                <w:szCs w:val="24"/>
                <w:highlight w:val="none"/>
                <w:lang w:val="en-US" w:eastAsia="zh-CN"/>
              </w:rPr>
            </w:pPr>
            <w:r>
              <w:rPr>
                <w:rFonts w:hint="eastAsia" w:ascii="宋体" w:hAnsi="宋体" w:eastAsia="宋体" w:cs="Times New Roman"/>
                <w:b/>
                <w:bCs w:val="0"/>
                <w:color w:val="auto"/>
                <w:sz w:val="24"/>
                <w:szCs w:val="24"/>
                <w:highlight w:val="none"/>
                <w:lang w:val="en-US" w:eastAsia="zh-CN"/>
              </w:rPr>
              <w:t>序号</w:t>
            </w:r>
          </w:p>
        </w:tc>
        <w:tc>
          <w:tcPr>
            <w:tcW w:w="3510" w:type="dxa"/>
            <w:shd w:val="clear" w:color="auto" w:fill="auto"/>
            <w:vAlign w:val="bottom"/>
          </w:tcPr>
          <w:p w14:paraId="50178819">
            <w:pPr>
              <w:widowControl w:val="0"/>
              <w:spacing w:line="360" w:lineRule="exact"/>
              <w:jc w:val="center"/>
              <w:rPr>
                <w:rFonts w:hint="default" w:ascii="宋体" w:hAnsi="宋体" w:eastAsia="宋体" w:cs="Times New Roman"/>
                <w:b/>
                <w:bCs w:val="0"/>
                <w:color w:val="auto"/>
                <w:sz w:val="24"/>
                <w:szCs w:val="24"/>
                <w:highlight w:val="none"/>
                <w:lang w:val="en-US" w:eastAsia="zh-CN"/>
              </w:rPr>
            </w:pPr>
            <w:r>
              <w:rPr>
                <w:rFonts w:hint="eastAsia" w:ascii="宋体" w:hAnsi="宋体" w:eastAsia="宋体" w:cs="Times New Roman"/>
                <w:b/>
                <w:bCs w:val="0"/>
                <w:color w:val="auto"/>
                <w:sz w:val="24"/>
                <w:szCs w:val="24"/>
                <w:highlight w:val="none"/>
                <w:lang w:val="en-US" w:eastAsia="zh-CN"/>
              </w:rPr>
              <w:t>项  目</w:t>
            </w:r>
          </w:p>
        </w:tc>
        <w:tc>
          <w:tcPr>
            <w:tcW w:w="1260" w:type="dxa"/>
            <w:shd w:val="clear" w:color="auto" w:fill="auto"/>
            <w:vAlign w:val="bottom"/>
          </w:tcPr>
          <w:p w14:paraId="0BA7B85E">
            <w:pPr>
              <w:widowControl w:val="0"/>
              <w:spacing w:line="360" w:lineRule="exact"/>
              <w:jc w:val="center"/>
              <w:rPr>
                <w:rFonts w:hint="default" w:ascii="宋体" w:hAnsi="宋体" w:eastAsia="宋体" w:cs="Times New Roman"/>
                <w:b/>
                <w:bCs w:val="0"/>
                <w:color w:val="auto"/>
                <w:sz w:val="24"/>
                <w:szCs w:val="24"/>
                <w:highlight w:val="none"/>
                <w:lang w:val="en-US" w:eastAsia="zh-CN"/>
              </w:rPr>
            </w:pPr>
            <w:r>
              <w:rPr>
                <w:rFonts w:hint="eastAsia" w:ascii="宋体" w:hAnsi="宋体" w:eastAsia="宋体" w:cs="Times New Roman"/>
                <w:b/>
                <w:bCs w:val="0"/>
                <w:color w:val="auto"/>
                <w:sz w:val="24"/>
                <w:szCs w:val="24"/>
                <w:highlight w:val="none"/>
                <w:lang w:val="en-US" w:eastAsia="zh-CN"/>
              </w:rPr>
              <w:t>单位</w:t>
            </w:r>
          </w:p>
        </w:tc>
        <w:tc>
          <w:tcPr>
            <w:tcW w:w="1455" w:type="dxa"/>
            <w:shd w:val="clear" w:color="auto" w:fill="auto"/>
            <w:vAlign w:val="bottom"/>
          </w:tcPr>
          <w:p w14:paraId="14DDBC64">
            <w:pPr>
              <w:widowControl w:val="0"/>
              <w:spacing w:line="360" w:lineRule="exact"/>
              <w:jc w:val="center"/>
              <w:rPr>
                <w:rFonts w:hint="default" w:ascii="宋体" w:hAnsi="宋体" w:eastAsia="宋体" w:cs="Times New Roman"/>
                <w:b/>
                <w:bCs w:val="0"/>
                <w:color w:val="auto"/>
                <w:sz w:val="24"/>
                <w:szCs w:val="24"/>
                <w:highlight w:val="none"/>
                <w:lang w:val="en-US" w:eastAsia="zh-CN"/>
              </w:rPr>
            </w:pPr>
            <w:r>
              <w:rPr>
                <w:rFonts w:hint="eastAsia" w:ascii="宋体" w:hAnsi="宋体" w:eastAsia="宋体" w:cs="Times New Roman"/>
                <w:b/>
                <w:bCs w:val="0"/>
                <w:color w:val="auto"/>
                <w:sz w:val="24"/>
                <w:szCs w:val="24"/>
                <w:highlight w:val="none"/>
                <w:lang w:val="en-US" w:eastAsia="zh-CN"/>
              </w:rPr>
              <w:t>数量</w:t>
            </w:r>
          </w:p>
        </w:tc>
        <w:tc>
          <w:tcPr>
            <w:tcW w:w="2355" w:type="dxa"/>
            <w:shd w:val="clear" w:color="auto" w:fill="auto"/>
            <w:vAlign w:val="bottom"/>
          </w:tcPr>
          <w:p w14:paraId="56904FEB">
            <w:pPr>
              <w:widowControl w:val="0"/>
              <w:spacing w:line="360" w:lineRule="exact"/>
              <w:jc w:val="center"/>
              <w:rPr>
                <w:rFonts w:hint="default" w:ascii="宋体" w:hAnsi="宋体" w:eastAsia="宋体" w:cs="Times New Roman"/>
                <w:b/>
                <w:bCs w:val="0"/>
                <w:color w:val="auto"/>
                <w:sz w:val="24"/>
                <w:szCs w:val="24"/>
                <w:highlight w:val="none"/>
                <w:lang w:val="en-US" w:eastAsia="zh-CN"/>
              </w:rPr>
            </w:pPr>
            <w:r>
              <w:rPr>
                <w:rFonts w:hint="eastAsia" w:ascii="宋体" w:hAnsi="宋体" w:eastAsia="宋体" w:cs="Times New Roman"/>
                <w:b/>
                <w:bCs w:val="0"/>
                <w:color w:val="auto"/>
                <w:sz w:val="24"/>
                <w:szCs w:val="24"/>
                <w:highlight w:val="none"/>
                <w:lang w:val="en-US" w:eastAsia="zh-CN"/>
              </w:rPr>
              <w:t>备注</w:t>
            </w:r>
          </w:p>
        </w:tc>
      </w:tr>
      <w:tr w14:paraId="6F188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840" w:type="dxa"/>
            <w:shd w:val="clear" w:color="auto" w:fill="auto"/>
            <w:vAlign w:val="center"/>
          </w:tcPr>
          <w:p w14:paraId="004DE2F5">
            <w:pPr>
              <w:widowControl w:val="0"/>
              <w:spacing w:line="360" w:lineRule="exact"/>
              <w:jc w:val="center"/>
              <w:rPr>
                <w:rFonts w:hint="eastAsia" w:ascii="宋体" w:hAnsi="宋体" w:eastAsia="宋体" w:cs="Times New Roman"/>
                <w:b/>
                <w:bCs w:val="0"/>
                <w:snapToGrid w:val="0"/>
                <w:color w:val="auto"/>
                <w:sz w:val="24"/>
                <w:szCs w:val="24"/>
                <w:highlight w:val="none"/>
                <w:lang w:val="en-US" w:eastAsia="zh-CN" w:bidi="ar-SA"/>
              </w:rPr>
            </w:pPr>
            <w:r>
              <w:rPr>
                <w:rFonts w:hint="eastAsia" w:ascii="宋体" w:hAnsi="宋体" w:eastAsia="宋体" w:cs="Times New Roman"/>
                <w:b/>
                <w:bCs w:val="0"/>
                <w:color w:val="auto"/>
                <w:sz w:val="24"/>
                <w:szCs w:val="24"/>
                <w:highlight w:val="none"/>
                <w:lang w:val="en-US" w:eastAsia="zh-CN"/>
              </w:rPr>
              <w:t>一</w:t>
            </w:r>
          </w:p>
        </w:tc>
        <w:tc>
          <w:tcPr>
            <w:tcW w:w="3510" w:type="dxa"/>
            <w:shd w:val="clear" w:color="auto" w:fill="auto"/>
            <w:vAlign w:val="center"/>
          </w:tcPr>
          <w:p w14:paraId="334A710F">
            <w:pPr>
              <w:widowControl w:val="0"/>
              <w:spacing w:line="360" w:lineRule="exact"/>
              <w:jc w:val="center"/>
              <w:rPr>
                <w:rFonts w:hint="eastAsia" w:ascii="宋体" w:hAnsi="宋体" w:eastAsia="宋体" w:cs="Times New Roman"/>
                <w:b/>
                <w:bCs w:val="0"/>
                <w:snapToGrid w:val="0"/>
                <w:color w:val="auto"/>
                <w:sz w:val="24"/>
                <w:szCs w:val="24"/>
                <w:highlight w:val="none"/>
                <w:lang w:val="en-US" w:eastAsia="zh-CN" w:bidi="ar-SA"/>
              </w:rPr>
            </w:pPr>
            <w:r>
              <w:rPr>
                <w:rFonts w:hint="eastAsia" w:ascii="宋体" w:hAnsi="宋体" w:eastAsia="宋体" w:cs="Times New Roman"/>
                <w:b/>
                <w:bCs w:val="0"/>
                <w:color w:val="auto"/>
                <w:sz w:val="24"/>
                <w:szCs w:val="24"/>
                <w:highlight w:val="none"/>
                <w:lang w:val="en-US" w:eastAsia="zh-CN"/>
              </w:rPr>
              <w:t>实施方案</w:t>
            </w:r>
          </w:p>
        </w:tc>
        <w:tc>
          <w:tcPr>
            <w:tcW w:w="1260" w:type="dxa"/>
            <w:shd w:val="clear" w:color="auto" w:fill="auto"/>
            <w:vAlign w:val="center"/>
          </w:tcPr>
          <w:p w14:paraId="16BA3349">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c>
          <w:tcPr>
            <w:tcW w:w="1455" w:type="dxa"/>
            <w:shd w:val="clear" w:color="auto" w:fill="auto"/>
            <w:vAlign w:val="center"/>
          </w:tcPr>
          <w:p w14:paraId="506864DA">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c>
          <w:tcPr>
            <w:tcW w:w="2355" w:type="dxa"/>
            <w:shd w:val="clear" w:color="auto" w:fill="auto"/>
            <w:vAlign w:val="center"/>
          </w:tcPr>
          <w:p w14:paraId="1CF7F3DF">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r>
      <w:tr w14:paraId="1CB308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center"/>
          </w:tcPr>
          <w:p w14:paraId="4A014BB5">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(一)</w:t>
            </w:r>
          </w:p>
        </w:tc>
        <w:tc>
          <w:tcPr>
            <w:tcW w:w="3510" w:type="dxa"/>
            <w:shd w:val="clear" w:color="auto" w:fill="auto"/>
            <w:vAlign w:val="center"/>
          </w:tcPr>
          <w:p w14:paraId="23A0CBFA">
            <w:pPr>
              <w:widowControl w:val="0"/>
              <w:spacing w:line="360" w:lineRule="exact"/>
              <w:jc w:val="center"/>
              <w:rPr>
                <w:rFonts w:hint="default"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实施方案</w:t>
            </w:r>
          </w:p>
        </w:tc>
        <w:tc>
          <w:tcPr>
            <w:tcW w:w="1260" w:type="dxa"/>
            <w:shd w:val="clear" w:color="auto" w:fill="auto"/>
            <w:vAlign w:val="center"/>
          </w:tcPr>
          <w:p w14:paraId="4718BD54">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项</w:t>
            </w:r>
          </w:p>
        </w:tc>
        <w:tc>
          <w:tcPr>
            <w:tcW w:w="1455" w:type="dxa"/>
            <w:shd w:val="clear" w:color="auto" w:fill="auto"/>
            <w:vAlign w:val="center"/>
          </w:tcPr>
          <w:p w14:paraId="58F12B81">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1</w:t>
            </w:r>
          </w:p>
        </w:tc>
        <w:tc>
          <w:tcPr>
            <w:tcW w:w="2355" w:type="dxa"/>
            <w:shd w:val="clear" w:color="auto" w:fill="auto"/>
            <w:vAlign w:val="center"/>
          </w:tcPr>
          <w:p w14:paraId="42C2D46A">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r>
      <w:tr w14:paraId="220C66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center"/>
          </w:tcPr>
          <w:p w14:paraId="41272FA5">
            <w:pPr>
              <w:widowControl w:val="0"/>
              <w:spacing w:line="360" w:lineRule="exact"/>
              <w:jc w:val="center"/>
              <w:rPr>
                <w:rFonts w:hint="eastAsia" w:ascii="宋体" w:hAnsi="宋体" w:eastAsia="宋体" w:cs="Times New Roman"/>
                <w:b/>
                <w:bCs w:val="0"/>
                <w:snapToGrid w:val="0"/>
                <w:color w:val="auto"/>
                <w:sz w:val="24"/>
                <w:szCs w:val="24"/>
                <w:highlight w:val="none"/>
                <w:lang w:val="en-US" w:eastAsia="zh-CN" w:bidi="ar-SA"/>
              </w:rPr>
            </w:pPr>
            <w:r>
              <w:rPr>
                <w:rFonts w:hint="eastAsia" w:ascii="宋体" w:hAnsi="宋体" w:eastAsia="宋体" w:cs="Times New Roman"/>
                <w:b/>
                <w:bCs w:val="0"/>
                <w:color w:val="auto"/>
                <w:sz w:val="24"/>
                <w:szCs w:val="24"/>
                <w:highlight w:val="none"/>
                <w:lang w:val="en-US" w:eastAsia="zh-CN"/>
              </w:rPr>
              <w:t>二</w:t>
            </w:r>
          </w:p>
        </w:tc>
        <w:tc>
          <w:tcPr>
            <w:tcW w:w="3510" w:type="dxa"/>
            <w:shd w:val="clear" w:color="auto" w:fill="auto"/>
            <w:vAlign w:val="center"/>
          </w:tcPr>
          <w:p w14:paraId="46833E67">
            <w:pPr>
              <w:widowControl w:val="0"/>
              <w:spacing w:line="360" w:lineRule="exact"/>
              <w:jc w:val="center"/>
              <w:rPr>
                <w:rFonts w:hint="eastAsia" w:ascii="宋体" w:hAnsi="宋体" w:eastAsia="宋体" w:cs="Times New Roman"/>
                <w:b/>
                <w:bCs w:val="0"/>
                <w:snapToGrid w:val="0"/>
                <w:color w:val="auto"/>
                <w:sz w:val="24"/>
                <w:szCs w:val="24"/>
                <w:highlight w:val="none"/>
                <w:lang w:val="en-US" w:eastAsia="zh-CN" w:bidi="ar-SA"/>
              </w:rPr>
            </w:pPr>
            <w:r>
              <w:rPr>
                <w:rFonts w:hint="eastAsia" w:ascii="宋体" w:hAnsi="宋体" w:eastAsia="宋体" w:cs="Times New Roman"/>
                <w:b/>
                <w:bCs w:val="0"/>
                <w:color w:val="auto"/>
                <w:sz w:val="24"/>
                <w:szCs w:val="24"/>
                <w:highlight w:val="none"/>
                <w:lang w:val="en-US" w:eastAsia="zh-CN"/>
              </w:rPr>
              <w:t>项目实施</w:t>
            </w:r>
          </w:p>
        </w:tc>
        <w:tc>
          <w:tcPr>
            <w:tcW w:w="1260" w:type="dxa"/>
            <w:shd w:val="clear" w:color="auto" w:fill="auto"/>
            <w:vAlign w:val="center"/>
          </w:tcPr>
          <w:p w14:paraId="699203D7">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c>
          <w:tcPr>
            <w:tcW w:w="1455" w:type="dxa"/>
            <w:shd w:val="clear" w:color="auto" w:fill="auto"/>
            <w:vAlign w:val="center"/>
          </w:tcPr>
          <w:p w14:paraId="7582B046">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c>
          <w:tcPr>
            <w:tcW w:w="2355" w:type="dxa"/>
            <w:shd w:val="clear" w:color="auto" w:fill="auto"/>
            <w:vAlign w:val="center"/>
          </w:tcPr>
          <w:p w14:paraId="034F8239">
            <w:pPr>
              <w:widowControl w:val="0"/>
              <w:spacing w:line="360" w:lineRule="exact"/>
              <w:jc w:val="center"/>
              <w:rPr>
                <w:rFonts w:hint="eastAsia" w:ascii="宋体" w:hAnsi="宋体" w:eastAsia="宋体" w:cs="Times New Roman"/>
                <w:b w:val="0"/>
                <w:bCs/>
                <w:snapToGrid w:val="0"/>
                <w:color w:val="auto"/>
                <w:sz w:val="24"/>
                <w:szCs w:val="24"/>
                <w:highlight w:val="none"/>
                <w:lang w:val="en-US" w:eastAsia="zh-CN" w:bidi="ar-SA"/>
              </w:rPr>
            </w:pPr>
            <w:r>
              <w:rPr>
                <w:rFonts w:hint="eastAsia" w:ascii="宋体" w:hAnsi="宋体" w:eastAsia="宋体" w:cs="Times New Roman"/>
                <w:b w:val="0"/>
                <w:bCs/>
                <w:color w:val="auto"/>
                <w:sz w:val="24"/>
                <w:szCs w:val="24"/>
                <w:highlight w:val="none"/>
                <w:lang w:val="en-US" w:eastAsia="zh-CN"/>
              </w:rPr>
              <w:t>/</w:t>
            </w:r>
          </w:p>
        </w:tc>
      </w:tr>
      <w:tr w14:paraId="5CEA4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center"/>
          </w:tcPr>
          <w:p w14:paraId="03B7AC71">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(一)</w:t>
            </w:r>
          </w:p>
        </w:tc>
        <w:tc>
          <w:tcPr>
            <w:tcW w:w="3510" w:type="dxa"/>
            <w:shd w:val="clear" w:color="auto" w:fill="auto"/>
            <w:vAlign w:val="center"/>
          </w:tcPr>
          <w:p w14:paraId="336EB919">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硅类叶面阻控剂采购</w:t>
            </w:r>
          </w:p>
        </w:tc>
        <w:tc>
          <w:tcPr>
            <w:tcW w:w="1260" w:type="dxa"/>
            <w:shd w:val="clear" w:color="auto" w:fill="auto"/>
            <w:vAlign w:val="center"/>
          </w:tcPr>
          <w:p w14:paraId="795FBF26">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L</w:t>
            </w:r>
          </w:p>
        </w:tc>
        <w:tc>
          <w:tcPr>
            <w:tcW w:w="1455" w:type="dxa"/>
            <w:shd w:val="clear" w:color="auto" w:fill="auto"/>
            <w:vAlign w:val="center"/>
          </w:tcPr>
          <w:p w14:paraId="1C84AB20">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3382.02</w:t>
            </w:r>
          </w:p>
        </w:tc>
        <w:tc>
          <w:tcPr>
            <w:tcW w:w="2355" w:type="dxa"/>
            <w:shd w:val="clear" w:color="auto" w:fill="auto"/>
            <w:vAlign w:val="center"/>
          </w:tcPr>
          <w:p w14:paraId="44C5F8BE">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w:t>
            </w:r>
          </w:p>
        </w:tc>
      </w:tr>
      <w:tr w14:paraId="03E4A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center"/>
          </w:tcPr>
          <w:p w14:paraId="44511E1A">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(二)</w:t>
            </w:r>
          </w:p>
        </w:tc>
        <w:tc>
          <w:tcPr>
            <w:tcW w:w="3510" w:type="dxa"/>
            <w:shd w:val="clear" w:color="auto" w:fill="auto"/>
            <w:vAlign w:val="center"/>
          </w:tcPr>
          <w:p w14:paraId="6B9BCBC5">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碱基土壤调理剂采购</w:t>
            </w:r>
          </w:p>
        </w:tc>
        <w:tc>
          <w:tcPr>
            <w:tcW w:w="1260" w:type="dxa"/>
            <w:shd w:val="clear" w:color="auto" w:fill="auto"/>
            <w:vAlign w:val="center"/>
          </w:tcPr>
          <w:p w14:paraId="1802D04F">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吨</w:t>
            </w:r>
          </w:p>
        </w:tc>
        <w:tc>
          <w:tcPr>
            <w:tcW w:w="1455" w:type="dxa"/>
            <w:shd w:val="clear" w:color="auto" w:fill="auto"/>
            <w:vAlign w:val="center"/>
          </w:tcPr>
          <w:p w14:paraId="419D4584">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62.1</w:t>
            </w:r>
          </w:p>
        </w:tc>
        <w:tc>
          <w:tcPr>
            <w:tcW w:w="2355" w:type="dxa"/>
            <w:shd w:val="clear" w:color="auto" w:fill="auto"/>
            <w:vAlign w:val="center"/>
          </w:tcPr>
          <w:p w14:paraId="4C0C9B0E">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颗粒</w:t>
            </w:r>
          </w:p>
        </w:tc>
      </w:tr>
      <w:tr w14:paraId="37D0E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center"/>
          </w:tcPr>
          <w:p w14:paraId="32F61645">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(三)</w:t>
            </w:r>
          </w:p>
        </w:tc>
        <w:tc>
          <w:tcPr>
            <w:tcW w:w="3510" w:type="dxa"/>
            <w:shd w:val="clear" w:color="auto" w:fill="auto"/>
            <w:vAlign w:val="center"/>
          </w:tcPr>
          <w:p w14:paraId="38C5641D">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吸附型土壤调理剂采购</w:t>
            </w:r>
          </w:p>
        </w:tc>
        <w:tc>
          <w:tcPr>
            <w:tcW w:w="1260" w:type="dxa"/>
            <w:shd w:val="clear" w:color="auto" w:fill="auto"/>
            <w:vAlign w:val="center"/>
          </w:tcPr>
          <w:p w14:paraId="1A4662E4">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吨</w:t>
            </w:r>
          </w:p>
        </w:tc>
        <w:tc>
          <w:tcPr>
            <w:tcW w:w="1455" w:type="dxa"/>
            <w:shd w:val="clear" w:color="auto" w:fill="auto"/>
            <w:vAlign w:val="center"/>
          </w:tcPr>
          <w:p w14:paraId="57555968">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21</w:t>
            </w:r>
          </w:p>
        </w:tc>
        <w:tc>
          <w:tcPr>
            <w:tcW w:w="2355" w:type="dxa"/>
            <w:shd w:val="clear" w:color="auto" w:fill="auto"/>
            <w:vAlign w:val="center"/>
          </w:tcPr>
          <w:p w14:paraId="7614F27D">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颗粒</w:t>
            </w:r>
          </w:p>
        </w:tc>
      </w:tr>
      <w:tr w14:paraId="4286C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shd w:val="clear" w:color="auto" w:fill="auto"/>
            <w:vAlign w:val="center"/>
          </w:tcPr>
          <w:p w14:paraId="3E1FFF02">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(四)</w:t>
            </w:r>
          </w:p>
        </w:tc>
        <w:tc>
          <w:tcPr>
            <w:tcW w:w="3510" w:type="dxa"/>
            <w:shd w:val="clear" w:color="auto" w:fill="auto"/>
            <w:vAlign w:val="center"/>
          </w:tcPr>
          <w:p w14:paraId="24415C98">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水稻镉低积累品种</w:t>
            </w:r>
          </w:p>
        </w:tc>
        <w:tc>
          <w:tcPr>
            <w:tcW w:w="1260" w:type="dxa"/>
            <w:shd w:val="clear" w:color="auto" w:fill="auto"/>
            <w:vAlign w:val="center"/>
          </w:tcPr>
          <w:p w14:paraId="1D40AE40">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kg</w:t>
            </w:r>
          </w:p>
        </w:tc>
        <w:tc>
          <w:tcPr>
            <w:tcW w:w="1455" w:type="dxa"/>
            <w:shd w:val="clear" w:color="auto" w:fill="auto"/>
            <w:vAlign w:val="center"/>
          </w:tcPr>
          <w:p w14:paraId="6B5F8CC1">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4908</w:t>
            </w:r>
          </w:p>
        </w:tc>
        <w:tc>
          <w:tcPr>
            <w:tcW w:w="2355" w:type="dxa"/>
            <w:shd w:val="clear" w:color="auto" w:fill="auto"/>
            <w:vAlign w:val="center"/>
          </w:tcPr>
          <w:p w14:paraId="26CBE675">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分发</w:t>
            </w:r>
          </w:p>
        </w:tc>
      </w:tr>
      <w:tr w14:paraId="012EA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vMerge w:val="restart"/>
            <w:shd w:val="clear" w:color="auto" w:fill="auto"/>
            <w:vAlign w:val="center"/>
          </w:tcPr>
          <w:p w14:paraId="291E9EB2">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(五)</w:t>
            </w:r>
          </w:p>
        </w:tc>
        <w:tc>
          <w:tcPr>
            <w:tcW w:w="3510" w:type="dxa"/>
            <w:vMerge w:val="restart"/>
            <w:shd w:val="clear" w:color="auto" w:fill="auto"/>
            <w:vAlign w:val="center"/>
          </w:tcPr>
          <w:p w14:paraId="79AF21D0">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叶面阻控剂转运及喷施</w:t>
            </w:r>
          </w:p>
        </w:tc>
        <w:tc>
          <w:tcPr>
            <w:tcW w:w="1260" w:type="dxa"/>
            <w:shd w:val="clear" w:color="auto" w:fill="auto"/>
            <w:vAlign w:val="center"/>
          </w:tcPr>
          <w:p w14:paraId="5963695D">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亩</w:t>
            </w:r>
          </w:p>
        </w:tc>
        <w:tc>
          <w:tcPr>
            <w:tcW w:w="1455" w:type="dxa"/>
            <w:shd w:val="clear" w:color="auto" w:fill="auto"/>
            <w:vAlign w:val="center"/>
          </w:tcPr>
          <w:p w14:paraId="7C6C6D08">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716.3</w:t>
            </w:r>
          </w:p>
        </w:tc>
        <w:tc>
          <w:tcPr>
            <w:tcW w:w="2355" w:type="dxa"/>
            <w:shd w:val="clear" w:color="auto" w:fill="auto"/>
            <w:vAlign w:val="center"/>
          </w:tcPr>
          <w:p w14:paraId="6B03E84E">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每亩喷施1次</w:t>
            </w:r>
          </w:p>
        </w:tc>
      </w:tr>
      <w:tr w14:paraId="0EEDB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vMerge w:val="continue"/>
            <w:vAlign w:val="center"/>
          </w:tcPr>
          <w:p w14:paraId="72CEBC72">
            <w:pPr>
              <w:widowControl w:val="0"/>
              <w:spacing w:line="360" w:lineRule="exact"/>
              <w:jc w:val="center"/>
              <w:rPr>
                <w:rFonts w:hint="default" w:ascii="宋体" w:hAnsi="宋体" w:eastAsia="宋体" w:cs="Times New Roman"/>
                <w:b w:val="0"/>
                <w:bCs/>
                <w:color w:val="auto"/>
                <w:sz w:val="24"/>
                <w:szCs w:val="24"/>
                <w:highlight w:val="none"/>
                <w:lang w:val="en-US" w:eastAsia="zh-CN"/>
              </w:rPr>
            </w:pPr>
          </w:p>
        </w:tc>
        <w:tc>
          <w:tcPr>
            <w:tcW w:w="3510" w:type="dxa"/>
            <w:vMerge w:val="continue"/>
            <w:vAlign w:val="center"/>
          </w:tcPr>
          <w:p w14:paraId="47233D8B">
            <w:pPr>
              <w:widowControl w:val="0"/>
              <w:spacing w:line="360" w:lineRule="exact"/>
              <w:jc w:val="center"/>
              <w:rPr>
                <w:rFonts w:hint="default" w:ascii="宋体" w:hAnsi="宋体" w:eastAsia="宋体" w:cs="Times New Roman"/>
                <w:b w:val="0"/>
                <w:bCs/>
                <w:color w:val="auto"/>
                <w:sz w:val="24"/>
                <w:szCs w:val="24"/>
                <w:highlight w:val="none"/>
                <w:lang w:val="en-US" w:eastAsia="zh-CN"/>
              </w:rPr>
            </w:pPr>
          </w:p>
        </w:tc>
        <w:tc>
          <w:tcPr>
            <w:tcW w:w="1260" w:type="dxa"/>
            <w:shd w:val="clear" w:color="auto" w:fill="auto"/>
            <w:vAlign w:val="center"/>
          </w:tcPr>
          <w:p w14:paraId="5DA4F71F">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亩</w:t>
            </w:r>
          </w:p>
        </w:tc>
        <w:tc>
          <w:tcPr>
            <w:tcW w:w="1455" w:type="dxa"/>
            <w:shd w:val="clear" w:color="auto" w:fill="auto"/>
            <w:vAlign w:val="center"/>
          </w:tcPr>
          <w:p w14:paraId="41108239">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4480.29</w:t>
            </w:r>
          </w:p>
        </w:tc>
        <w:tc>
          <w:tcPr>
            <w:tcW w:w="2355" w:type="dxa"/>
            <w:shd w:val="clear" w:color="auto" w:fill="auto"/>
            <w:vAlign w:val="center"/>
          </w:tcPr>
          <w:p w14:paraId="04F15CFC">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每亩喷施2次</w:t>
            </w:r>
          </w:p>
        </w:tc>
      </w:tr>
      <w:tr w14:paraId="72495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vMerge w:val="restart"/>
            <w:shd w:val="clear" w:color="auto" w:fill="auto"/>
            <w:vAlign w:val="center"/>
          </w:tcPr>
          <w:p w14:paraId="47A26E90">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(六)</w:t>
            </w:r>
          </w:p>
        </w:tc>
        <w:tc>
          <w:tcPr>
            <w:tcW w:w="3510" w:type="dxa"/>
            <w:vMerge w:val="restart"/>
            <w:shd w:val="clear" w:color="auto" w:fill="auto"/>
            <w:vAlign w:val="center"/>
          </w:tcPr>
          <w:p w14:paraId="3A7FD7D6">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土壤调理剂转运及撒施</w:t>
            </w:r>
          </w:p>
        </w:tc>
        <w:tc>
          <w:tcPr>
            <w:tcW w:w="1260" w:type="dxa"/>
            <w:shd w:val="clear" w:color="auto" w:fill="auto"/>
            <w:vAlign w:val="center"/>
          </w:tcPr>
          <w:p w14:paraId="420F2465">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亩</w:t>
            </w:r>
          </w:p>
        </w:tc>
        <w:tc>
          <w:tcPr>
            <w:tcW w:w="1455" w:type="dxa"/>
            <w:shd w:val="clear" w:color="auto" w:fill="auto"/>
            <w:vAlign w:val="center"/>
          </w:tcPr>
          <w:p w14:paraId="7260BA6D">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126</w:t>
            </w:r>
          </w:p>
        </w:tc>
        <w:tc>
          <w:tcPr>
            <w:tcW w:w="2355" w:type="dxa"/>
            <w:shd w:val="clear" w:color="auto" w:fill="auto"/>
            <w:vAlign w:val="center"/>
          </w:tcPr>
          <w:p w14:paraId="7228BC7A">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每亩150kg</w:t>
            </w:r>
          </w:p>
        </w:tc>
      </w:tr>
      <w:tr w14:paraId="4E530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9" w:hRule="atLeast"/>
        </w:trPr>
        <w:tc>
          <w:tcPr>
            <w:tcW w:w="840" w:type="dxa"/>
            <w:vMerge w:val="continue"/>
            <w:shd w:val="clear" w:color="auto" w:fill="auto"/>
            <w:vAlign w:val="center"/>
          </w:tcPr>
          <w:p w14:paraId="2C6FDA0B">
            <w:pPr>
              <w:widowControl w:val="0"/>
              <w:spacing w:line="360" w:lineRule="exact"/>
              <w:jc w:val="center"/>
              <w:rPr>
                <w:rFonts w:hint="default" w:ascii="宋体" w:hAnsi="宋体" w:eastAsia="宋体" w:cs="Times New Roman"/>
                <w:b w:val="0"/>
                <w:bCs/>
                <w:color w:val="auto"/>
                <w:sz w:val="24"/>
                <w:szCs w:val="24"/>
                <w:highlight w:val="none"/>
                <w:lang w:val="en-US" w:eastAsia="zh-CN"/>
              </w:rPr>
            </w:pPr>
          </w:p>
        </w:tc>
        <w:tc>
          <w:tcPr>
            <w:tcW w:w="3510" w:type="dxa"/>
            <w:vMerge w:val="continue"/>
            <w:vAlign w:val="center"/>
          </w:tcPr>
          <w:p w14:paraId="2A768000">
            <w:pPr>
              <w:widowControl w:val="0"/>
              <w:spacing w:line="360" w:lineRule="exact"/>
              <w:jc w:val="center"/>
              <w:rPr>
                <w:rFonts w:hint="default" w:ascii="宋体" w:hAnsi="宋体" w:eastAsia="宋体" w:cs="Times New Roman"/>
                <w:b w:val="0"/>
                <w:bCs/>
                <w:color w:val="auto"/>
                <w:sz w:val="24"/>
                <w:szCs w:val="24"/>
                <w:highlight w:val="none"/>
                <w:lang w:val="en-US" w:eastAsia="zh-CN"/>
              </w:rPr>
            </w:pPr>
          </w:p>
        </w:tc>
        <w:tc>
          <w:tcPr>
            <w:tcW w:w="1260" w:type="dxa"/>
            <w:shd w:val="clear" w:color="auto" w:fill="auto"/>
            <w:vAlign w:val="center"/>
          </w:tcPr>
          <w:p w14:paraId="79271C7F">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亩</w:t>
            </w:r>
          </w:p>
        </w:tc>
        <w:tc>
          <w:tcPr>
            <w:tcW w:w="1455" w:type="dxa"/>
            <w:shd w:val="clear" w:color="auto" w:fill="auto"/>
            <w:vAlign w:val="center"/>
          </w:tcPr>
          <w:p w14:paraId="210722D9">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642</w:t>
            </w:r>
          </w:p>
        </w:tc>
        <w:tc>
          <w:tcPr>
            <w:tcW w:w="2355" w:type="dxa"/>
            <w:shd w:val="clear" w:color="auto" w:fill="auto"/>
            <w:vAlign w:val="center"/>
          </w:tcPr>
          <w:p w14:paraId="629EDE70">
            <w:pPr>
              <w:widowControl w:val="0"/>
              <w:spacing w:line="360" w:lineRule="exact"/>
              <w:jc w:val="center"/>
              <w:rPr>
                <w:rFonts w:hint="default" w:ascii="宋体" w:hAnsi="宋体" w:eastAsia="宋体" w:cs="Times New Roman"/>
                <w:b w:val="0"/>
                <w:bCs/>
                <w:color w:val="auto"/>
                <w:sz w:val="24"/>
                <w:szCs w:val="24"/>
                <w:highlight w:val="none"/>
                <w:lang w:val="en-US" w:eastAsia="zh-CN"/>
              </w:rPr>
            </w:pPr>
            <w:r>
              <w:rPr>
                <w:rFonts w:hint="eastAsia" w:ascii="宋体" w:hAnsi="宋体" w:eastAsia="宋体" w:cs="Times New Roman"/>
                <w:b w:val="0"/>
                <w:bCs/>
                <w:color w:val="auto"/>
                <w:sz w:val="24"/>
                <w:szCs w:val="24"/>
                <w:highlight w:val="none"/>
                <w:lang w:val="en-US" w:eastAsia="zh-CN"/>
              </w:rPr>
              <w:t>每亩100kg</w:t>
            </w:r>
          </w:p>
        </w:tc>
      </w:tr>
    </w:tbl>
    <w:p w14:paraId="4732297B">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highlight w:val="none"/>
          <w:lang w:val="en-US" w:eastAsia="zh-CN" w:bidi="ar"/>
        </w:rPr>
      </w:pPr>
    </w:p>
    <w:p w14:paraId="6F5ED7B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highlight w:val="none"/>
          <w:lang w:val="en-US" w:eastAsia="zh-CN" w:bidi="ar"/>
        </w:rPr>
      </w:pPr>
    </w:p>
    <w:p w14:paraId="1B37B698">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highlight w:val="none"/>
          <w:lang w:val="en-US" w:eastAsia="zh-CN" w:bidi="ar"/>
        </w:rPr>
      </w:pPr>
    </w:p>
    <w:p w14:paraId="5ABD5583">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b/>
          <w:bCs/>
          <w:snapToGrid w:val="0"/>
          <w:color w:val="000000"/>
          <w:kern w:val="0"/>
          <w:sz w:val="24"/>
          <w:szCs w:val="24"/>
          <w:highlight w:val="none"/>
          <w:lang w:val="en-US" w:eastAsia="zh-CN" w:bidi="ar"/>
        </w:rPr>
      </w:pPr>
    </w:p>
    <w:p w14:paraId="4B2EA67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b/>
          <w:bCs/>
          <w:highlight w:val="none"/>
        </w:rPr>
      </w:pPr>
      <w:r>
        <w:rPr>
          <w:rFonts w:hint="eastAsia" w:ascii="宋体" w:hAnsi="宋体" w:eastAsia="宋体" w:cs="宋体"/>
          <w:b/>
          <w:bCs/>
          <w:snapToGrid w:val="0"/>
          <w:color w:val="000000"/>
          <w:kern w:val="0"/>
          <w:sz w:val="24"/>
          <w:szCs w:val="24"/>
          <w:highlight w:val="none"/>
          <w:lang w:val="en-US" w:eastAsia="zh-CN" w:bidi="ar"/>
        </w:rPr>
        <w:t xml:space="preserve">（三）技术参数要求 </w:t>
      </w:r>
    </w:p>
    <w:p w14:paraId="7FB216A5">
      <w:pPr>
        <w:keepNext w:val="0"/>
        <w:keepLines w:val="0"/>
        <w:pageBreakBefore w:val="0"/>
        <w:widowControl/>
        <w:numPr>
          <w:ilvl w:val="0"/>
          <w:numId w:val="0"/>
        </w:numPr>
        <w:suppressLineNumbers w:val="0"/>
        <w:kinsoku w:val="0"/>
        <w:wordWrap/>
        <w:overflowPunct/>
        <w:topLinePunct w:val="0"/>
        <w:autoSpaceDE w:val="0"/>
        <w:autoSpaceDN w:val="0"/>
        <w:bidi w:val="0"/>
        <w:adjustRightInd w:val="0"/>
        <w:snapToGrid w:val="0"/>
        <w:spacing w:line="360" w:lineRule="auto"/>
        <w:jc w:val="left"/>
        <w:textAlignment w:val="baseline"/>
        <w:rPr>
          <w:highlight w:val="none"/>
        </w:rPr>
      </w:pPr>
      <w:r>
        <w:rPr>
          <w:rFonts w:hint="eastAsia" w:ascii="宋体" w:hAnsi="宋体" w:eastAsia="宋体" w:cs="宋体"/>
          <w:b w:val="0"/>
          <w:bCs w:val="0"/>
          <w:snapToGrid w:val="0"/>
          <w:color w:val="000000"/>
          <w:kern w:val="0"/>
          <w:sz w:val="24"/>
          <w:szCs w:val="24"/>
          <w:highlight w:val="none"/>
          <w:lang w:val="en-US" w:eastAsia="zh-CN" w:bidi="ar"/>
        </w:rPr>
        <w:t>（1）</w:t>
      </w:r>
      <w:r>
        <w:rPr>
          <w:rFonts w:hint="eastAsia" w:ascii="宋体" w:hAnsi="宋体" w:eastAsia="宋体" w:cs="Times New Roman"/>
          <w:b w:val="0"/>
          <w:bCs/>
          <w:color w:val="auto"/>
          <w:sz w:val="24"/>
          <w:szCs w:val="24"/>
          <w:highlight w:val="none"/>
          <w:lang w:val="en-US" w:eastAsia="zh-CN"/>
        </w:rPr>
        <w:t>硅类</w:t>
      </w:r>
      <w:r>
        <w:rPr>
          <w:rFonts w:hint="eastAsia" w:ascii="宋体" w:hAnsi="宋体" w:eastAsia="宋体" w:cs="宋体"/>
          <w:snapToGrid w:val="0"/>
          <w:color w:val="000000"/>
          <w:kern w:val="0"/>
          <w:sz w:val="24"/>
          <w:szCs w:val="24"/>
          <w:highlight w:val="none"/>
          <w:lang w:val="en-US" w:eastAsia="zh-CN" w:bidi="ar"/>
        </w:rPr>
        <w:t>叶面阻控剂技术要求：采取硅类叶面阻控剂，Si≥85g/L，叶面阻控剂中微量元素水溶肥作为水稻叶面喷施阻控其重金属镉砷吸收的水稻营养拮抗材料，叶面阻控剂要求剂型为水剂，适用作物须包含水稻。</w:t>
      </w:r>
    </w:p>
    <w:p w14:paraId="4F4C3689">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jc w:val="left"/>
        <w:textAlignment w:val="baseline"/>
        <w:rPr>
          <w:rFonts w:hint="eastAsia" w:ascii="宋体" w:hAnsi="宋体" w:eastAsia="宋体" w:cs="宋体"/>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（2）</w:t>
      </w:r>
      <w:r>
        <w:rPr>
          <w:rFonts w:hint="eastAsia" w:ascii="宋体" w:hAnsi="宋体" w:eastAsia="宋体" w:cs="Times New Roman"/>
          <w:b w:val="0"/>
          <w:bCs/>
          <w:color w:val="auto"/>
          <w:sz w:val="24"/>
          <w:szCs w:val="24"/>
          <w:highlight w:val="none"/>
          <w:lang w:val="en-US" w:eastAsia="zh-CN"/>
        </w:rPr>
        <w:t>碱基</w:t>
      </w:r>
      <w:r>
        <w:rPr>
          <w:rFonts w:hint="eastAsia" w:ascii="宋体" w:hAnsi="宋体" w:eastAsia="宋体" w:cs="宋体"/>
          <w:b w:val="0"/>
          <w:bCs w:val="0"/>
          <w:snapToGrid w:val="0"/>
          <w:color w:val="000000"/>
          <w:kern w:val="0"/>
          <w:sz w:val="24"/>
          <w:szCs w:val="24"/>
          <w:highlight w:val="none"/>
          <w:lang w:val="en-US" w:eastAsia="zh-CN" w:bidi="ar"/>
        </w:rPr>
        <w:t>土壤调理剂技术要求</w:t>
      </w:r>
      <w:r>
        <w:rPr>
          <w:rFonts w:hint="eastAsia" w:ascii="宋体" w:hAnsi="宋体" w:eastAsia="宋体" w:cs="宋体"/>
          <w:snapToGrid w:val="0"/>
          <w:color w:val="000000"/>
          <w:kern w:val="0"/>
          <w:sz w:val="24"/>
          <w:szCs w:val="24"/>
          <w:highlight w:val="none"/>
          <w:lang w:val="en-US" w:eastAsia="zh-CN" w:bidi="ar"/>
        </w:rPr>
        <w:t>：拟选择碱基钝化剂，CaO≥45%，颗粒状。</w:t>
      </w:r>
    </w:p>
    <w:p w14:paraId="5080E6AB">
      <w:pPr>
        <w:pStyle w:val="8"/>
        <w:ind w:left="0" w:leftChars="0" w:firstLine="0" w:firstLineChars="0"/>
        <w:rPr>
          <w:rFonts w:hint="eastAsia" w:ascii="宋体" w:hAnsi="宋体" w:eastAsia="宋体" w:cs="宋体"/>
          <w:snapToGrid w:val="0"/>
          <w:color w:val="000000"/>
          <w:kern w:val="0"/>
          <w:sz w:val="24"/>
          <w:szCs w:val="24"/>
          <w:highlight w:val="none"/>
          <w:lang w:val="en-US" w:eastAsia="zh-CN" w:bidi="ar"/>
        </w:rPr>
      </w:pPr>
      <w:r>
        <w:rPr>
          <w:rFonts w:hint="eastAsia" w:ascii="宋体" w:hAnsi="宋体" w:cs="宋体"/>
          <w:snapToGrid w:val="0"/>
          <w:color w:val="000000"/>
          <w:kern w:val="0"/>
          <w:sz w:val="24"/>
          <w:szCs w:val="24"/>
          <w:highlight w:val="none"/>
          <w:lang w:val="en-US" w:eastAsia="zh-CN" w:bidi="ar"/>
        </w:rPr>
        <w:t>（3）</w:t>
      </w:r>
      <w:r>
        <w:rPr>
          <w:rFonts w:hint="eastAsia" w:ascii="宋体" w:hAnsi="宋体" w:eastAsia="宋体" w:cs="宋体"/>
          <w:snapToGrid w:val="0"/>
          <w:color w:val="000000"/>
          <w:kern w:val="0"/>
          <w:sz w:val="24"/>
          <w:szCs w:val="24"/>
          <w:highlight w:val="none"/>
          <w:lang w:val="en-US" w:eastAsia="zh-CN" w:bidi="ar"/>
        </w:rPr>
        <w:t>吸附型土壤调理剂</w:t>
      </w:r>
      <w:r>
        <w:rPr>
          <w:rFonts w:hint="eastAsia" w:ascii="宋体" w:hAnsi="宋体" w:cs="宋体"/>
          <w:snapToGrid w:val="0"/>
          <w:color w:val="000000"/>
          <w:kern w:val="0"/>
          <w:sz w:val="24"/>
          <w:szCs w:val="24"/>
          <w:highlight w:val="none"/>
          <w:lang w:val="en-US" w:eastAsia="zh-CN" w:bidi="ar"/>
        </w:rPr>
        <w:t>技术要求：</w:t>
      </w:r>
      <w:r>
        <w:rPr>
          <w:rFonts w:hint="eastAsia" w:ascii="宋体" w:hAnsi="宋体" w:eastAsia="宋体" w:cs="宋体"/>
          <w:snapToGrid w:val="0"/>
          <w:color w:val="000000"/>
          <w:kern w:val="0"/>
          <w:sz w:val="24"/>
          <w:szCs w:val="24"/>
          <w:highlight w:val="none"/>
          <w:lang w:val="en-US" w:eastAsia="zh-CN" w:bidi="ar"/>
        </w:rPr>
        <w:t>主要原料为海泡石，颗粒状。</w:t>
      </w:r>
    </w:p>
    <w:p w14:paraId="1EF4B131">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highlight w:val="none"/>
        </w:rPr>
      </w:pPr>
      <w:r>
        <w:rPr>
          <w:rFonts w:hint="eastAsia" w:ascii="宋体" w:hAnsi="宋体" w:eastAsia="宋体" w:cs="宋体"/>
          <w:snapToGrid w:val="0"/>
          <w:color w:val="000000"/>
          <w:kern w:val="0"/>
          <w:sz w:val="24"/>
          <w:szCs w:val="24"/>
          <w:highlight w:val="none"/>
          <w:lang w:val="en-US" w:eastAsia="zh-CN" w:bidi="ar"/>
        </w:rPr>
        <w:t xml:space="preserve">（1）-（3）产品必须获得农业农村部颁布的《肥料登记证》，技术参数以登记证上的为准。重金属含量要求以检测报告上的为准，投标文件中提供产品肥料登记证及有相应资质的第三方检验(检测)机构出具有效的具有CMA标识的检验(检测)报告原件扫描件并加盖投标人公章。以上条件必须满足要求，否则投标无效。 </w:t>
      </w:r>
    </w:p>
    <w:p w14:paraId="4473843E">
      <w:pPr>
        <w:pStyle w:val="9"/>
        <w:ind w:left="0" w:leftChars="0" w:firstLine="0" w:firstLineChars="0"/>
        <w:rPr>
          <w:rFonts w:hint="default"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（4）水稻镉低积累品种技术要求：</w:t>
      </w:r>
    </w:p>
    <w:p w14:paraId="718E9877">
      <w:pPr>
        <w:pStyle w:val="10"/>
        <w:ind w:firstLine="560"/>
        <w:rPr>
          <w:rFonts w:hint="eastAsia"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不同作物对污染物的吸收积累不同，同一作物的不同品种对污染物的吸收积累也不同，在作物生长和产量基本不受影响的前提下，安全利用类耕地上种植镉低积累品种，可减少重金属进入可食部位，有效降低农产品超标风险。种植镉低积累农作物品种既不影响农作物产量且可食部分重金属含量在安全食用范围内。</w:t>
      </w:r>
    </w:p>
    <w:p w14:paraId="34454394">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宋体" w:hAnsi="宋体" w:eastAsia="宋体" w:cs="宋体"/>
          <w:b w:val="0"/>
          <w:bCs w:val="0"/>
          <w:snapToGrid w:val="0"/>
          <w:color w:val="000000"/>
          <w:kern w:val="0"/>
          <w:sz w:val="24"/>
          <w:szCs w:val="24"/>
          <w:highlight w:val="none"/>
          <w:lang w:val="en-US" w:eastAsia="zh-CN" w:bidi="ar"/>
        </w:rPr>
      </w:pPr>
      <w:r>
        <w:rPr>
          <w:rFonts w:hint="eastAsia" w:ascii="宋体" w:hAnsi="宋体" w:eastAsia="宋体" w:cs="宋体"/>
          <w:b w:val="0"/>
          <w:bCs w:val="0"/>
          <w:snapToGrid w:val="0"/>
          <w:color w:val="000000"/>
          <w:kern w:val="0"/>
          <w:sz w:val="24"/>
          <w:szCs w:val="24"/>
          <w:highlight w:val="none"/>
          <w:lang w:val="en-US" w:eastAsia="zh-CN" w:bidi="ar"/>
        </w:rPr>
        <w:t>水稻种子：根据市农业农村局镉低积累水稻品种推广协议，以及去年的臻两优8612种植情况，今年继续采用臻两优8612，每亩2kg。</w:t>
      </w:r>
    </w:p>
    <w:p w14:paraId="7EA87B7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b/>
          <w:bCs/>
          <w:color w:val="auto"/>
          <w:sz w:val="24"/>
          <w:szCs w:val="24"/>
          <w:highlight w:val="none"/>
          <w:lang w:eastAsia="zh-CN"/>
        </w:rPr>
      </w:pPr>
    </w:p>
    <w:p w14:paraId="472E648F">
      <w:pPr>
        <w:pStyle w:val="2"/>
        <w:rPr>
          <w:rFonts w:hint="eastAsia"/>
          <w:highlight w:val="none"/>
          <w:lang w:eastAsia="zh-CN"/>
        </w:rPr>
      </w:pPr>
    </w:p>
    <w:p w14:paraId="09DB33A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ascii="宋体" w:hAnsi="宋体" w:eastAsia="宋体" w:cs="宋体"/>
          <w:b/>
          <w:bCs/>
          <w:color w:val="auto"/>
          <w:spacing w:val="-5"/>
          <w:sz w:val="28"/>
          <w:szCs w:val="28"/>
          <w:highlight w:val="none"/>
          <w:lang w:eastAsia="zh-CN"/>
        </w:rPr>
      </w:pPr>
      <w:r>
        <w:rPr>
          <w:rFonts w:hint="eastAsia" w:ascii="宋体" w:hAnsi="宋体" w:eastAsia="宋体" w:cs="宋体"/>
          <w:b/>
          <w:bCs/>
          <w:color w:val="auto"/>
          <w:sz w:val="24"/>
          <w:szCs w:val="24"/>
          <w:highlight w:val="none"/>
          <w:lang w:eastAsia="zh-CN"/>
        </w:rPr>
        <w:t>注：</w:t>
      </w:r>
      <w:r>
        <w:rPr>
          <w:rFonts w:hint="eastAsia" w:ascii="宋体" w:hAnsi="宋体" w:eastAsia="宋体" w:cs="宋体"/>
          <w:b/>
          <w:bCs/>
          <w:color w:val="auto"/>
          <w:spacing w:val="-6"/>
          <w:sz w:val="24"/>
          <w:szCs w:val="24"/>
          <w:highlight w:val="none"/>
          <w:lang w:eastAsia="zh-CN"/>
        </w:rPr>
        <w:t>以上</w:t>
      </w:r>
      <w:r>
        <w:rPr>
          <w:rFonts w:hint="eastAsia" w:ascii="宋体" w:hAnsi="宋体" w:eastAsia="宋体" w:cs="宋体"/>
          <w:b/>
          <w:bCs/>
          <w:color w:val="auto"/>
          <w:spacing w:val="-6"/>
          <w:sz w:val="24"/>
          <w:szCs w:val="24"/>
          <w:highlight w:val="none"/>
          <w:lang w:val="en-US" w:eastAsia="zh-CN"/>
        </w:rPr>
        <w:t>技术</w:t>
      </w:r>
      <w:r>
        <w:rPr>
          <w:rFonts w:hint="eastAsia" w:ascii="宋体" w:hAnsi="宋体" w:eastAsia="宋体" w:cs="宋体"/>
          <w:b/>
          <w:bCs/>
          <w:color w:val="auto"/>
          <w:spacing w:val="-6"/>
          <w:sz w:val="24"/>
          <w:szCs w:val="24"/>
          <w:highlight w:val="none"/>
          <w:lang w:eastAsia="zh-CN"/>
        </w:rPr>
        <w:t>要求必须完全响应，</w:t>
      </w:r>
      <w:r>
        <w:rPr>
          <w:rFonts w:hint="eastAsia" w:ascii="宋体" w:hAnsi="宋体" w:eastAsia="宋体" w:cs="宋体"/>
          <w:b/>
          <w:bCs/>
          <w:color w:val="auto"/>
          <w:spacing w:val="5"/>
          <w:sz w:val="24"/>
          <w:szCs w:val="24"/>
          <w:highlight w:val="none"/>
          <w:lang w:eastAsia="zh-CN"/>
        </w:rPr>
        <w:t>任意一项不满足视为</w:t>
      </w:r>
      <w:r>
        <w:rPr>
          <w:rFonts w:hint="eastAsia" w:ascii="宋体" w:hAnsi="宋体" w:eastAsia="宋体" w:cs="宋体"/>
          <w:b/>
          <w:bCs/>
          <w:color w:val="auto"/>
          <w:spacing w:val="-6"/>
          <w:sz w:val="24"/>
          <w:szCs w:val="24"/>
          <w:highlight w:val="none"/>
          <w:lang w:eastAsia="zh-CN"/>
        </w:rPr>
        <w:t>投标无效。</w:t>
      </w:r>
    </w:p>
    <w:p w14:paraId="1B2B97D3">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D2F8C4B"/>
    <w:multiLevelType w:val="singleLevel"/>
    <w:tmpl w:val="0D2F8C4B"/>
    <w:lvl w:ilvl="0" w:tentative="0">
      <w:start w:val="1"/>
      <w:numFmt w:val="chineseCounting"/>
      <w:suff w:val="nothing"/>
      <w:lvlText w:val="（%1）"/>
      <w:lvlJc w:val="left"/>
      <w:rPr>
        <w:rFonts w:hint="eastAsia"/>
      </w:rPr>
    </w:lvl>
  </w:abstractNum>
  <w:abstractNum w:abstractNumId="1">
    <w:nsid w:val="17B3B557"/>
    <w:multiLevelType w:val="singleLevel"/>
    <w:tmpl w:val="17B3B557"/>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81410E7"/>
    <w:rsid w:val="081410E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First Indent"/>
    <w:basedOn w:val="3"/>
    <w:qFormat/>
    <w:uiPriority w:val="0"/>
    <w:pPr>
      <w:ind w:firstLine="420" w:firstLineChars="100"/>
    </w:pPr>
  </w:style>
  <w:style w:type="paragraph" w:styleId="3">
    <w:name w:val="Body Text"/>
    <w:basedOn w:val="1"/>
    <w:next w:val="1"/>
    <w:qFormat/>
    <w:uiPriority w:val="0"/>
    <w:rPr>
      <w:rFonts w:ascii="仿宋" w:hAnsi="仿宋" w:eastAsia="仿宋" w:cs="仿宋"/>
      <w:sz w:val="30"/>
      <w:szCs w:val="30"/>
    </w:rPr>
  </w:style>
  <w:style w:type="paragraph" w:styleId="4">
    <w:name w:val="footer"/>
    <w:basedOn w:val="1"/>
    <w:qFormat/>
    <w:uiPriority w:val="0"/>
    <w:pPr>
      <w:tabs>
        <w:tab w:val="center" w:pos="4153"/>
        <w:tab w:val="right" w:pos="8306"/>
      </w:tabs>
    </w:pPr>
    <w:rPr>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标书正文"/>
    <w:qFormat/>
    <w:uiPriority w:val="0"/>
    <w:pPr>
      <w:widowControl w:val="0"/>
      <w:spacing w:line="360" w:lineRule="auto"/>
      <w:ind w:firstLine="200" w:firstLineChars="200"/>
      <w:jc w:val="both"/>
    </w:pPr>
    <w:rPr>
      <w:rFonts w:ascii="Times New Roman" w:hAnsi="Times New Roman" w:eastAsia="宋体" w:cs="Times New Roman"/>
      <w:kern w:val="2"/>
      <w:sz w:val="28"/>
      <w:szCs w:val="28"/>
      <w:lang w:val="en-US" w:eastAsia="zh-CN" w:bidi="ar-SA"/>
    </w:rPr>
  </w:style>
  <w:style w:type="paragraph" w:customStyle="1" w:styleId="9">
    <w:name w:val="标题3"/>
    <w:basedOn w:val="1"/>
    <w:qFormat/>
    <w:uiPriority w:val="0"/>
    <w:pPr>
      <w:spacing w:line="360" w:lineRule="auto"/>
      <w:ind w:firstLine="200" w:firstLineChars="200"/>
      <w:outlineLvl w:val="2"/>
    </w:pPr>
    <w:rPr>
      <w:rFonts w:ascii="Times New Roman" w:hAnsi="Times New Roman" w:eastAsia="楷体" w:cs="Times New Roman"/>
      <w:b/>
      <w:bCs/>
      <w:kern w:val="0"/>
      <w:sz w:val="30"/>
      <w:szCs w:val="30"/>
      <w:lang w:val="zh-CN"/>
    </w:rPr>
  </w:style>
  <w:style w:type="paragraph" w:customStyle="1" w:styleId="10">
    <w:name w:val="报告正文"/>
    <w:basedOn w:val="1"/>
    <w:qFormat/>
    <w:uiPriority w:val="0"/>
    <w:pPr>
      <w:spacing w:line="360" w:lineRule="auto"/>
      <w:ind w:firstLine="200" w:firstLineChars="200"/>
    </w:pPr>
    <w:rPr>
      <w:rFonts w:ascii="Times New Roman" w:hAnsi="Times New Roman" w:eastAsia="宋体" w:cs="Times New Roman"/>
      <w:sz w:val="28"/>
      <w:szCs w:val="28"/>
      <w:lang w:val="zh-CN"/>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2026-06-01T07:00:00Z</dcterms:created>
  <dc:creator>1</dc:creator>
  <cp:lastModifiedBy>1</cp:lastModifiedBy>
  <dcterms:modified xsi:type="dcterms:W3CDTF">2026-06-01T07:00:21Z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0BB53971765E4B0B8BF92BAA8F6996A2_11</vt:lpwstr>
  </property>
  <property fmtid="{D5CDD505-2E9C-101B-9397-08002B2CF9AE}" pid="4" name="KSOTemplateDocerSaveRecord">
    <vt:lpwstr>eyJoZGlkIjoiYjVmMWY1OWMxMjM2MDBhMzNiY2YxNjZjNzJlMzU1OWQiLCJ1c2VySWQiOiI5MTIxMDM0MjgifQ==</vt:lpwstr>
  </property>
</Properties>
</file>