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8AD6EB5">
      <w:pPr>
        <w:keepNext w:val="0"/>
        <w:keepLines w:val="0"/>
        <w:pageBreakBefore w:val="0"/>
        <w:widowControl w:val="0"/>
        <w:kinsoku/>
        <w:wordWrap/>
        <w:overflowPunct w:val="0"/>
        <w:topLinePunct w:val="0"/>
        <w:bidi w:val="0"/>
        <w:spacing w:before="78" w:line="219" w:lineRule="auto"/>
        <w:rPr>
          <w:color w:val="auto"/>
          <w:highlight w:val="none"/>
        </w:rPr>
      </w:pPr>
      <w:r>
        <w:rPr>
          <w:rFonts w:ascii="宋体" w:hAnsi="宋体" w:eastAsia="宋体" w:cs="宋体"/>
          <w:color w:val="auto"/>
          <w:spacing w:val="-5"/>
          <w:sz w:val="24"/>
          <w:szCs w:val="24"/>
          <w:highlight w:val="none"/>
        </w:rPr>
        <w:t>一</w:t>
      </w:r>
      <w:r>
        <w:rPr>
          <w:rFonts w:hint="eastAsia" w:ascii="宋体" w:hAnsi="宋体" w:eastAsia="宋体" w:cs="宋体"/>
          <w:color w:val="auto"/>
          <w:spacing w:val="-5"/>
          <w:sz w:val="24"/>
          <w:szCs w:val="24"/>
          <w:highlight w:val="none"/>
          <w:lang w:eastAsia="zh-CN"/>
        </w:rPr>
        <w:t>、</w:t>
      </w:r>
      <w:r>
        <w:rPr>
          <w:rFonts w:hint="eastAsia" w:ascii="宋体" w:hAnsi="宋体" w:eastAsia="宋体" w:cs="宋体"/>
          <w:color w:val="auto"/>
          <w:spacing w:val="-5"/>
          <w:sz w:val="24"/>
          <w:szCs w:val="24"/>
          <w:highlight w:val="none"/>
          <w:lang w:val="en-US" w:eastAsia="zh-CN"/>
        </w:rPr>
        <w:t>服务</w:t>
      </w:r>
      <w:r>
        <w:rPr>
          <w:rFonts w:ascii="宋体" w:hAnsi="宋体" w:eastAsia="宋体" w:cs="宋体"/>
          <w:color w:val="auto"/>
          <w:spacing w:val="-5"/>
          <w:sz w:val="24"/>
          <w:szCs w:val="24"/>
          <w:highlight w:val="none"/>
        </w:rPr>
        <w:t>需求</w:t>
      </w:r>
    </w:p>
    <w:p w14:paraId="3AEB85A1">
      <w:pPr>
        <w:keepNext w:val="0"/>
        <w:keepLines w:val="0"/>
        <w:pageBreakBefore w:val="0"/>
        <w:kinsoku/>
        <w:wordWrap/>
        <w:overflowPunct w:val="0"/>
        <w:topLinePunct w:val="0"/>
        <w:bidi w:val="0"/>
        <w:spacing w:line="360" w:lineRule="auto"/>
        <w:rPr>
          <w:rFonts w:hint="eastAsia" w:asciiTheme="minorEastAsia" w:hAnsiTheme="minorEastAsia" w:eastAsiaTheme="minorEastAsia" w:cstheme="minorEastAsia"/>
          <w:b/>
          <w:bCs w:val="0"/>
          <w:color w:val="auto"/>
          <w:sz w:val="24"/>
          <w:szCs w:val="24"/>
        </w:rPr>
      </w:pPr>
      <w:r>
        <w:rPr>
          <w:rFonts w:hint="eastAsia" w:asciiTheme="minorEastAsia" w:hAnsiTheme="minorEastAsia" w:eastAsiaTheme="minorEastAsia" w:cstheme="minorEastAsia"/>
          <w:b/>
          <w:bCs w:val="0"/>
          <w:color w:val="auto"/>
          <w:sz w:val="24"/>
          <w:szCs w:val="24"/>
          <w:lang w:val="en-US" w:eastAsia="zh-CN"/>
        </w:rPr>
        <w:t>1、</w:t>
      </w:r>
      <w:r>
        <w:rPr>
          <w:rFonts w:hint="eastAsia" w:asciiTheme="minorEastAsia" w:hAnsiTheme="minorEastAsia" w:eastAsiaTheme="minorEastAsia" w:cstheme="minorEastAsia"/>
          <w:b/>
          <w:bCs w:val="0"/>
          <w:color w:val="auto"/>
          <w:sz w:val="24"/>
          <w:szCs w:val="24"/>
        </w:rPr>
        <w:t>基本原则</w:t>
      </w:r>
    </w:p>
    <w:p w14:paraId="5D05BE32">
      <w:pPr>
        <w:keepNext w:val="0"/>
        <w:keepLines w:val="0"/>
        <w:pageBreakBefore w:val="0"/>
        <w:kinsoku/>
        <w:wordWrap/>
        <w:overflowPunct w:val="0"/>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甲方主导防贫政策，乙方做好相关服务，并严格执行“精准防贫”的各项制度和规定。</w:t>
      </w:r>
    </w:p>
    <w:p w14:paraId="69444A57">
      <w:pPr>
        <w:keepNext w:val="0"/>
        <w:keepLines w:val="0"/>
        <w:pageBreakBefore w:val="0"/>
        <w:kinsoku/>
        <w:wordWrap/>
        <w:overflowPunct w:val="0"/>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乙方受甲方的委托，负责资溪县农村人口的防贫核查和防贫保险金的支付等经办服务;乙方将落实各项服务措施，加强服务团队建设和衔接，本着公平、公正、公开的原则开展经办服务。</w:t>
      </w:r>
    </w:p>
    <w:p w14:paraId="35D12501">
      <w:pPr>
        <w:keepNext w:val="0"/>
        <w:keepLines w:val="0"/>
        <w:pageBreakBefore w:val="0"/>
        <w:kinsoku/>
        <w:wordWrap/>
        <w:overflowPunct w:val="0"/>
        <w:topLinePunct w:val="0"/>
        <w:bidi w:val="0"/>
        <w:spacing w:line="360" w:lineRule="auto"/>
        <w:rPr>
          <w:rFonts w:hint="eastAsia" w:asciiTheme="minorEastAsia" w:hAnsiTheme="minorEastAsia" w:eastAsiaTheme="minorEastAsia" w:cstheme="minorEastAsia"/>
          <w:b/>
          <w:bCs w:val="0"/>
          <w:color w:val="auto"/>
          <w:sz w:val="24"/>
          <w:szCs w:val="24"/>
        </w:rPr>
      </w:pPr>
      <w:r>
        <w:rPr>
          <w:rFonts w:hint="eastAsia" w:asciiTheme="minorEastAsia" w:hAnsiTheme="minorEastAsia" w:eastAsiaTheme="minorEastAsia" w:cstheme="minorEastAsia"/>
          <w:b/>
          <w:bCs w:val="0"/>
          <w:color w:val="auto"/>
          <w:sz w:val="24"/>
          <w:szCs w:val="24"/>
          <w:lang w:val="en-US" w:eastAsia="zh-CN"/>
        </w:rPr>
        <w:t>2、</w:t>
      </w:r>
      <w:r>
        <w:rPr>
          <w:rFonts w:hint="eastAsia" w:asciiTheme="minorEastAsia" w:hAnsiTheme="minorEastAsia" w:eastAsiaTheme="minorEastAsia" w:cstheme="minorEastAsia"/>
          <w:b/>
          <w:bCs w:val="0"/>
          <w:color w:val="auto"/>
          <w:sz w:val="24"/>
          <w:szCs w:val="24"/>
        </w:rPr>
        <w:t>投保人、被保险人、保险人与服务对象</w:t>
      </w:r>
    </w:p>
    <w:p w14:paraId="32D14849">
      <w:pPr>
        <w:keepNext w:val="0"/>
        <w:keepLines w:val="0"/>
        <w:pageBreakBefore w:val="0"/>
        <w:kinsoku/>
        <w:wordWrap/>
        <w:overflowPunct w:val="0"/>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本防贫保险对象为资溪县脱贫户、边缘易致贫户、突发严重困难户及其他农村低收入人群。</w:t>
      </w:r>
    </w:p>
    <w:p w14:paraId="67FEA54D">
      <w:pPr>
        <w:keepNext w:val="0"/>
        <w:keepLines w:val="0"/>
        <w:pageBreakBefore w:val="0"/>
        <w:kinsoku/>
        <w:wordWrap/>
        <w:overflowPunct w:val="0"/>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甲方为投保人，乙方为保险人，防贫对象为被保险人，由甲方统一向乙方进行投保。</w:t>
      </w:r>
    </w:p>
    <w:p w14:paraId="66F5C88A">
      <w:pPr>
        <w:keepNext w:val="0"/>
        <w:keepLines w:val="0"/>
        <w:pageBreakBefore w:val="0"/>
        <w:kinsoku/>
        <w:wordWrap/>
        <w:overflowPunct w:val="0"/>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防贫对象不事前确定，不事先识别，出险和理赔时，以防贫对象所辖乡(镇)审核是否有存在致贫和返贫风险为原则标准。</w:t>
      </w:r>
    </w:p>
    <w:p w14:paraId="5B1D4248">
      <w:pPr>
        <w:keepNext w:val="0"/>
        <w:keepLines w:val="0"/>
        <w:pageBreakBefore w:val="0"/>
        <w:kinsoku/>
        <w:wordWrap/>
        <w:overflowPunct w:val="0"/>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甲方负责督促防贫对象所辖乡(镇)向乙方提供需赔偿对象的个人核查信息(电子档案)，个人核查信息包括服务对象的姓名、性别、身份证号、家庭住址等信息。乙方对服务对象的信息负有保密义务。</w:t>
      </w:r>
    </w:p>
    <w:p w14:paraId="57B9A110">
      <w:pPr>
        <w:keepNext w:val="0"/>
        <w:keepLines w:val="0"/>
        <w:pageBreakBefore w:val="0"/>
        <w:kinsoku/>
        <w:wordWrap/>
        <w:overflowPunct w:val="0"/>
        <w:topLinePunct w:val="0"/>
        <w:bidi w:val="0"/>
        <w:spacing w:line="360" w:lineRule="auto"/>
        <w:rPr>
          <w:rFonts w:hint="eastAsia" w:asciiTheme="minorEastAsia" w:hAnsiTheme="minorEastAsia" w:eastAsiaTheme="minorEastAsia" w:cstheme="minorEastAsia"/>
          <w:b/>
          <w:bCs w:val="0"/>
          <w:color w:val="auto"/>
          <w:sz w:val="24"/>
          <w:szCs w:val="24"/>
        </w:rPr>
      </w:pPr>
      <w:r>
        <w:rPr>
          <w:rFonts w:hint="eastAsia" w:asciiTheme="minorEastAsia" w:hAnsiTheme="minorEastAsia" w:eastAsiaTheme="minorEastAsia" w:cstheme="minorEastAsia"/>
          <w:b/>
          <w:bCs w:val="0"/>
          <w:color w:val="auto"/>
          <w:sz w:val="24"/>
          <w:szCs w:val="24"/>
          <w:lang w:val="en-US" w:eastAsia="zh-CN"/>
        </w:rPr>
        <w:t>3、</w:t>
      </w:r>
      <w:r>
        <w:rPr>
          <w:rFonts w:hint="eastAsia" w:asciiTheme="minorEastAsia" w:hAnsiTheme="minorEastAsia" w:eastAsiaTheme="minorEastAsia" w:cstheme="minorEastAsia"/>
          <w:b/>
          <w:bCs w:val="0"/>
          <w:color w:val="auto"/>
          <w:sz w:val="24"/>
          <w:szCs w:val="24"/>
        </w:rPr>
        <w:t>保险费测算标准及支付方式</w:t>
      </w:r>
    </w:p>
    <w:p w14:paraId="75995BBE">
      <w:pPr>
        <w:keepNext w:val="0"/>
        <w:keepLines w:val="0"/>
        <w:pageBreakBefore w:val="0"/>
        <w:kinsoku/>
        <w:wordWrap/>
        <w:overflowPunct w:val="0"/>
        <w:topLinePunct w:val="0"/>
        <w:bidi w:val="0"/>
        <w:spacing w:line="360" w:lineRule="auto"/>
        <w:ind w:firstLine="480" w:firstLineChars="200"/>
        <w:rPr>
          <w:rFonts w:hint="eastAsia" w:asciiTheme="minorEastAsia" w:hAnsiTheme="minorEastAsia" w:eastAsiaTheme="minorEastAsia" w:cstheme="minorEastAsia"/>
          <w:bCs/>
          <w:color w:val="auto"/>
          <w:sz w:val="24"/>
          <w:szCs w:val="24"/>
          <w:lang w:eastAsia="zh-CN"/>
        </w:rPr>
      </w:pPr>
      <w:r>
        <w:rPr>
          <w:rFonts w:hint="eastAsia" w:asciiTheme="minorEastAsia" w:hAnsiTheme="minorEastAsia" w:eastAsiaTheme="minorEastAsia" w:cstheme="minorEastAsia"/>
          <w:bCs/>
          <w:color w:val="auto"/>
          <w:sz w:val="24"/>
          <w:szCs w:val="24"/>
        </w:rPr>
        <w:t>202</w:t>
      </w:r>
      <w:r>
        <w:rPr>
          <w:rFonts w:hint="eastAsia" w:asciiTheme="minorEastAsia" w:hAnsiTheme="minorEastAsia" w:eastAsiaTheme="minorEastAsia" w:cstheme="minorEastAsia"/>
          <w:bCs/>
          <w:color w:val="auto"/>
          <w:sz w:val="24"/>
          <w:szCs w:val="24"/>
          <w:lang w:val="en-US" w:eastAsia="zh-CN"/>
        </w:rPr>
        <w:t>6-2028</w:t>
      </w:r>
      <w:r>
        <w:rPr>
          <w:rFonts w:hint="eastAsia" w:asciiTheme="minorEastAsia" w:hAnsiTheme="minorEastAsia" w:eastAsiaTheme="minorEastAsia" w:cstheme="minorEastAsia"/>
          <w:bCs/>
          <w:color w:val="auto"/>
          <w:sz w:val="24"/>
          <w:szCs w:val="24"/>
        </w:rPr>
        <w:t>年度以资溪县农村人口</w:t>
      </w:r>
      <w:r>
        <w:rPr>
          <w:rFonts w:hint="eastAsia" w:asciiTheme="minorEastAsia" w:hAnsiTheme="minorEastAsia" w:eastAsiaTheme="minorEastAsia" w:cstheme="minorEastAsia"/>
          <w:bCs/>
          <w:color w:val="auto"/>
          <w:sz w:val="24"/>
          <w:szCs w:val="24"/>
          <w:lang w:eastAsia="zh-CN"/>
        </w:rPr>
        <w:t>（以</w:t>
      </w:r>
      <w:r>
        <w:rPr>
          <w:rFonts w:hint="eastAsia" w:asciiTheme="minorEastAsia" w:hAnsiTheme="minorEastAsia" w:eastAsiaTheme="minorEastAsia" w:cstheme="minorEastAsia"/>
          <w:bCs/>
          <w:color w:val="auto"/>
          <w:sz w:val="24"/>
          <w:szCs w:val="24"/>
          <w:lang w:val="en-US" w:eastAsia="zh-CN"/>
        </w:rPr>
        <w:t>62064人为基数</w:t>
      </w:r>
      <w:r>
        <w:rPr>
          <w:rFonts w:hint="eastAsia" w:asciiTheme="minorEastAsia" w:hAnsiTheme="minorEastAsia" w:eastAsiaTheme="minorEastAsia" w:cstheme="minorEastAsia"/>
          <w:bCs/>
          <w:color w:val="auto"/>
          <w:sz w:val="24"/>
          <w:szCs w:val="24"/>
          <w:lang w:eastAsia="zh-CN"/>
        </w:rPr>
        <w:t>）</w:t>
      </w:r>
      <w:r>
        <w:rPr>
          <w:rFonts w:hint="eastAsia" w:asciiTheme="minorEastAsia" w:hAnsiTheme="minorEastAsia" w:eastAsiaTheme="minorEastAsia" w:cstheme="minorEastAsia"/>
          <w:bCs/>
          <w:color w:val="auto"/>
          <w:sz w:val="24"/>
          <w:szCs w:val="24"/>
        </w:rPr>
        <w:t>的10%作为防贫保险的参保比例，主要承接</w:t>
      </w:r>
      <w:r>
        <w:rPr>
          <w:rFonts w:hint="eastAsia" w:asciiTheme="minorEastAsia" w:hAnsiTheme="minorEastAsia" w:eastAsiaTheme="minorEastAsia" w:cstheme="minorEastAsia"/>
          <w:bCs/>
          <w:color w:val="auto"/>
          <w:sz w:val="24"/>
          <w:szCs w:val="24"/>
          <w:lang w:eastAsia="zh-CN"/>
        </w:rPr>
        <w:t>鹤城镇、</w:t>
      </w:r>
      <w:r>
        <w:rPr>
          <w:rFonts w:hint="eastAsia" w:asciiTheme="minorEastAsia" w:hAnsiTheme="minorEastAsia" w:eastAsiaTheme="minorEastAsia" w:cstheme="minorEastAsia"/>
          <w:bCs/>
          <w:color w:val="auto"/>
          <w:sz w:val="24"/>
          <w:szCs w:val="24"/>
        </w:rPr>
        <w:t>高阜镇、嵩市镇、</w:t>
      </w:r>
      <w:r>
        <w:rPr>
          <w:rFonts w:hint="eastAsia" w:asciiTheme="minorEastAsia" w:hAnsiTheme="minorEastAsia" w:eastAsiaTheme="minorEastAsia" w:cstheme="minorEastAsia"/>
          <w:bCs/>
          <w:color w:val="auto"/>
          <w:sz w:val="24"/>
          <w:szCs w:val="24"/>
          <w:lang w:eastAsia="zh-CN"/>
        </w:rPr>
        <w:t>乌石镇、马头山镇、</w:t>
      </w:r>
      <w:r>
        <w:rPr>
          <w:rFonts w:hint="eastAsia" w:asciiTheme="minorEastAsia" w:hAnsiTheme="minorEastAsia" w:eastAsiaTheme="minorEastAsia" w:cstheme="minorEastAsia"/>
          <w:bCs/>
          <w:color w:val="auto"/>
          <w:sz w:val="24"/>
          <w:szCs w:val="24"/>
        </w:rPr>
        <w:t>高田乡、高阜林场</w:t>
      </w:r>
      <w:r>
        <w:rPr>
          <w:rFonts w:hint="eastAsia" w:asciiTheme="minorEastAsia" w:hAnsiTheme="minorEastAsia" w:eastAsiaTheme="minorEastAsia" w:cstheme="minorEastAsia"/>
          <w:bCs/>
          <w:color w:val="auto"/>
          <w:sz w:val="24"/>
          <w:szCs w:val="24"/>
          <w:lang w:eastAsia="zh-CN"/>
        </w:rPr>
        <w:t>、</w:t>
      </w:r>
      <w:r>
        <w:rPr>
          <w:rFonts w:hint="eastAsia" w:asciiTheme="minorEastAsia" w:hAnsiTheme="minorEastAsia" w:eastAsiaTheme="minorEastAsia" w:cstheme="minorEastAsia"/>
          <w:bCs/>
          <w:color w:val="auto"/>
          <w:sz w:val="24"/>
          <w:szCs w:val="24"/>
          <w:lang w:val="en-US" w:eastAsia="zh-CN"/>
        </w:rPr>
        <w:t>泸阳街道、</w:t>
      </w:r>
      <w:r>
        <w:rPr>
          <w:rFonts w:hint="eastAsia" w:asciiTheme="minorEastAsia" w:hAnsiTheme="minorEastAsia" w:eastAsiaTheme="minorEastAsia" w:cstheme="minorEastAsia"/>
          <w:bCs/>
          <w:color w:val="auto"/>
          <w:sz w:val="24"/>
          <w:szCs w:val="24"/>
          <w:lang w:eastAsia="zh-CN"/>
        </w:rPr>
        <w:t>株溪林场九</w:t>
      </w:r>
      <w:r>
        <w:rPr>
          <w:rFonts w:hint="eastAsia" w:asciiTheme="minorEastAsia" w:hAnsiTheme="minorEastAsia" w:eastAsiaTheme="minorEastAsia" w:cstheme="minorEastAsia"/>
          <w:bCs/>
          <w:color w:val="auto"/>
          <w:sz w:val="24"/>
          <w:szCs w:val="24"/>
        </w:rPr>
        <w:t>个</w:t>
      </w:r>
      <w:r>
        <w:rPr>
          <w:rFonts w:hint="eastAsia" w:asciiTheme="minorEastAsia" w:hAnsiTheme="minorEastAsia" w:eastAsiaTheme="minorEastAsia" w:cstheme="minorEastAsia"/>
          <w:bCs/>
          <w:color w:val="auto"/>
          <w:sz w:val="24"/>
          <w:szCs w:val="24"/>
          <w:lang w:eastAsia="zh-CN"/>
        </w:rPr>
        <w:t>乡（镇、场）</w:t>
      </w:r>
      <w:r>
        <w:rPr>
          <w:rFonts w:hint="eastAsia" w:asciiTheme="minorEastAsia" w:hAnsiTheme="minorEastAsia" w:eastAsiaTheme="minorEastAsia" w:cstheme="minorEastAsia"/>
          <w:bCs/>
          <w:color w:val="auto"/>
          <w:sz w:val="24"/>
          <w:szCs w:val="24"/>
        </w:rPr>
        <w:t>精准防贫业务，按照每人每年</w:t>
      </w:r>
      <w:r>
        <w:rPr>
          <w:rFonts w:hint="eastAsia" w:asciiTheme="minorEastAsia" w:hAnsiTheme="minorEastAsia" w:eastAsiaTheme="minorEastAsia" w:cstheme="minorEastAsia"/>
          <w:bCs/>
          <w:color w:val="auto"/>
          <w:sz w:val="24"/>
          <w:szCs w:val="24"/>
          <w:lang w:val="en-US" w:eastAsia="zh-CN"/>
        </w:rPr>
        <w:t>100</w:t>
      </w:r>
      <w:r>
        <w:rPr>
          <w:rFonts w:hint="eastAsia" w:asciiTheme="minorEastAsia" w:hAnsiTheme="minorEastAsia" w:eastAsiaTheme="minorEastAsia" w:cstheme="minorEastAsia"/>
          <w:bCs/>
          <w:color w:val="auto"/>
          <w:sz w:val="24"/>
          <w:szCs w:val="24"/>
        </w:rPr>
        <w:t>元标准</w:t>
      </w:r>
      <w:r>
        <w:rPr>
          <w:rFonts w:hint="eastAsia" w:asciiTheme="minorEastAsia" w:hAnsiTheme="minorEastAsia" w:eastAsiaTheme="minorEastAsia" w:cstheme="minorEastAsia"/>
          <w:bCs/>
          <w:color w:val="auto"/>
          <w:sz w:val="24"/>
          <w:szCs w:val="24"/>
          <w:lang w:eastAsia="zh-CN"/>
        </w:rPr>
        <w:t>支付保费</w:t>
      </w:r>
      <w:r>
        <w:rPr>
          <w:rFonts w:hint="eastAsia" w:asciiTheme="minorEastAsia" w:hAnsiTheme="minorEastAsia" w:eastAsiaTheme="minorEastAsia" w:cstheme="minorEastAsia"/>
          <w:bCs/>
          <w:color w:val="auto"/>
          <w:sz w:val="24"/>
          <w:szCs w:val="24"/>
        </w:rPr>
        <w:t>，202</w:t>
      </w:r>
      <w:r>
        <w:rPr>
          <w:rFonts w:hint="eastAsia" w:asciiTheme="minorEastAsia" w:hAnsiTheme="minorEastAsia" w:eastAsiaTheme="minorEastAsia" w:cstheme="minorEastAsia"/>
          <w:bCs/>
          <w:color w:val="auto"/>
          <w:sz w:val="24"/>
          <w:szCs w:val="24"/>
          <w:lang w:val="en-US" w:eastAsia="zh-CN"/>
        </w:rPr>
        <w:t>6-2028</w:t>
      </w:r>
      <w:r>
        <w:rPr>
          <w:rFonts w:hint="eastAsia" w:asciiTheme="minorEastAsia" w:hAnsiTheme="minorEastAsia" w:eastAsiaTheme="minorEastAsia" w:cstheme="minorEastAsia"/>
          <w:bCs/>
          <w:color w:val="auto"/>
          <w:sz w:val="24"/>
          <w:szCs w:val="24"/>
        </w:rPr>
        <w:t>年度保费为:</w:t>
      </w:r>
      <w:r>
        <w:rPr>
          <w:rFonts w:hint="eastAsia" w:asciiTheme="minorEastAsia" w:hAnsiTheme="minorEastAsia" w:eastAsiaTheme="minorEastAsia" w:cstheme="minorEastAsia"/>
          <w:bCs/>
          <w:color w:val="auto"/>
          <w:sz w:val="24"/>
          <w:szCs w:val="24"/>
          <w:lang w:val="en-US" w:eastAsia="zh-CN"/>
        </w:rPr>
        <w:t>1861920</w:t>
      </w:r>
      <w:r>
        <w:rPr>
          <w:rFonts w:hint="eastAsia" w:asciiTheme="minorEastAsia" w:hAnsiTheme="minorEastAsia" w:eastAsiaTheme="minorEastAsia" w:cstheme="minorEastAsia"/>
          <w:bCs/>
          <w:color w:val="auto"/>
          <w:sz w:val="24"/>
          <w:szCs w:val="24"/>
        </w:rPr>
        <w:t>元。</w:t>
      </w:r>
      <w:r>
        <w:rPr>
          <w:rFonts w:hint="eastAsia" w:asciiTheme="minorEastAsia" w:hAnsiTheme="minorEastAsia" w:eastAsiaTheme="minorEastAsia" w:cstheme="minorEastAsia"/>
          <w:bCs/>
          <w:color w:val="auto"/>
          <w:sz w:val="24"/>
          <w:szCs w:val="24"/>
          <w:lang w:eastAsia="zh-CN"/>
        </w:rPr>
        <w:t>（</w:t>
      </w:r>
      <w:r>
        <w:rPr>
          <w:rFonts w:hint="eastAsia" w:asciiTheme="minorEastAsia" w:hAnsiTheme="minorEastAsia" w:eastAsiaTheme="minorEastAsia" w:cstheme="minorEastAsia"/>
          <w:bCs/>
          <w:color w:val="auto"/>
          <w:sz w:val="24"/>
          <w:szCs w:val="24"/>
          <w:lang w:val="en-US" w:eastAsia="zh-CN"/>
        </w:rPr>
        <w:t>最终以实际投保人数为准</w:t>
      </w:r>
      <w:r>
        <w:rPr>
          <w:rFonts w:hint="eastAsia" w:asciiTheme="minorEastAsia" w:hAnsiTheme="minorEastAsia" w:eastAsiaTheme="minorEastAsia" w:cstheme="minorEastAsia"/>
          <w:bCs/>
          <w:color w:val="auto"/>
          <w:sz w:val="24"/>
          <w:szCs w:val="24"/>
          <w:lang w:eastAsia="zh-CN"/>
        </w:rPr>
        <w:t>）</w:t>
      </w:r>
    </w:p>
    <w:p w14:paraId="59311FB2">
      <w:pPr>
        <w:keepNext w:val="0"/>
        <w:keepLines w:val="0"/>
        <w:pageBreakBefore w:val="0"/>
        <w:kinsoku/>
        <w:wordWrap/>
        <w:overflowPunct w:val="0"/>
        <w:topLinePunct w:val="0"/>
        <w:bidi w:val="0"/>
        <w:spacing w:line="360" w:lineRule="auto"/>
        <w:rPr>
          <w:rFonts w:hint="eastAsia" w:asciiTheme="minorEastAsia" w:hAnsiTheme="minorEastAsia" w:eastAsiaTheme="minorEastAsia" w:cstheme="minorEastAsia"/>
          <w:b/>
          <w:bCs w:val="0"/>
          <w:color w:val="auto"/>
          <w:sz w:val="24"/>
          <w:szCs w:val="24"/>
          <w:lang w:val="en-US" w:eastAsia="zh-CN"/>
        </w:rPr>
      </w:pPr>
      <w:r>
        <w:rPr>
          <w:rFonts w:hint="eastAsia" w:asciiTheme="minorEastAsia" w:hAnsiTheme="minorEastAsia" w:eastAsiaTheme="minorEastAsia" w:cstheme="minorEastAsia"/>
          <w:b/>
          <w:bCs w:val="0"/>
          <w:color w:val="auto"/>
          <w:sz w:val="24"/>
          <w:szCs w:val="24"/>
          <w:lang w:val="en-US" w:eastAsia="zh-CN"/>
        </w:rPr>
        <w:t>4、保障责任、保险金额及给付标准</w:t>
      </w:r>
    </w:p>
    <w:p w14:paraId="59890F83">
      <w:pPr>
        <w:keepNext w:val="0"/>
        <w:keepLines w:val="0"/>
        <w:pageBreakBefore w:val="0"/>
        <w:kinsoku/>
        <w:wordWrap/>
        <w:overflowPunct w:val="0"/>
        <w:topLinePunct w:val="0"/>
        <w:bidi w:val="0"/>
        <w:spacing w:line="360" w:lineRule="auto"/>
        <w:ind w:firstLine="480" w:firstLineChars="200"/>
        <w:rPr>
          <w:rFonts w:hint="eastAsia" w:asciiTheme="minorEastAsia" w:hAnsiTheme="minorEastAsia" w:eastAsiaTheme="minorEastAsia" w:cstheme="minorEastAsia"/>
          <w:bCs/>
          <w:color w:val="auto"/>
          <w:sz w:val="24"/>
          <w:szCs w:val="24"/>
          <w:lang w:val="en-US" w:eastAsia="zh-CN"/>
        </w:rPr>
      </w:pPr>
      <w:r>
        <w:rPr>
          <w:rFonts w:hint="eastAsia" w:asciiTheme="minorEastAsia" w:hAnsiTheme="minorEastAsia" w:eastAsiaTheme="minorEastAsia" w:cstheme="minorEastAsia"/>
          <w:bCs/>
          <w:color w:val="auto"/>
          <w:sz w:val="24"/>
          <w:szCs w:val="24"/>
          <w:lang w:val="en-US" w:eastAsia="zh-CN"/>
        </w:rPr>
        <w:t>本协议所指的“防贫”是指为防止脱贫户、边缘易致贫户、突发严重困难户、其他农村低收入人群因病、因学、因灾(含意外事故)、因赔偿责任损失、因生产资料损失五大因素产生的自担损失，有致贫或返贫风险，而开展的事先预防行为。</w:t>
      </w:r>
    </w:p>
    <w:p w14:paraId="6787840F">
      <w:pPr>
        <w:keepNext w:val="0"/>
        <w:keepLines w:val="0"/>
        <w:pageBreakBefore w:val="0"/>
        <w:kinsoku/>
        <w:wordWrap/>
        <w:overflowPunct w:val="0"/>
        <w:topLinePunct w:val="0"/>
        <w:bidi w:val="0"/>
        <w:spacing w:line="360" w:lineRule="auto"/>
        <w:ind w:firstLine="480" w:firstLineChars="200"/>
        <w:rPr>
          <w:rFonts w:hint="eastAsia" w:asciiTheme="minorEastAsia" w:hAnsiTheme="minorEastAsia" w:eastAsiaTheme="minorEastAsia" w:cstheme="minorEastAsia"/>
          <w:bCs/>
          <w:color w:val="auto"/>
          <w:sz w:val="24"/>
          <w:szCs w:val="24"/>
          <w:lang w:val="en-US" w:eastAsia="zh-CN"/>
        </w:rPr>
      </w:pPr>
      <w:r>
        <w:rPr>
          <w:rFonts w:hint="eastAsia" w:asciiTheme="minorEastAsia" w:hAnsiTheme="minorEastAsia" w:eastAsiaTheme="minorEastAsia" w:cstheme="minorEastAsia"/>
          <w:bCs/>
          <w:color w:val="auto"/>
          <w:sz w:val="24"/>
          <w:szCs w:val="24"/>
          <w:lang w:val="en-US" w:eastAsia="zh-CN"/>
        </w:rPr>
        <w:t>本防贫保险为每个防贫人员累计每人每年提供</w:t>
      </w:r>
      <w:r>
        <w:rPr>
          <w:rFonts w:hint="eastAsia" w:asciiTheme="minorEastAsia" w:hAnsiTheme="minorEastAsia" w:eastAsiaTheme="minorEastAsia" w:cstheme="minorEastAsia"/>
          <w:b w:val="0"/>
          <w:bCs/>
          <w:color w:val="auto"/>
          <w:sz w:val="24"/>
          <w:szCs w:val="24"/>
          <w:lang w:val="en-US" w:eastAsia="zh-CN"/>
        </w:rPr>
        <w:t>最高20万元</w:t>
      </w:r>
      <w:r>
        <w:rPr>
          <w:rFonts w:hint="eastAsia" w:asciiTheme="minorEastAsia" w:hAnsiTheme="minorEastAsia" w:eastAsiaTheme="minorEastAsia" w:cstheme="minorEastAsia"/>
          <w:bCs/>
          <w:color w:val="auto"/>
          <w:sz w:val="24"/>
          <w:szCs w:val="24"/>
          <w:lang w:val="en-US" w:eastAsia="zh-CN"/>
        </w:rPr>
        <w:t>的防贫保障金额。</w:t>
      </w:r>
    </w:p>
    <w:p w14:paraId="4112E6FC">
      <w:pPr>
        <w:keepNext w:val="0"/>
        <w:keepLines w:val="0"/>
        <w:pageBreakBefore w:val="0"/>
        <w:kinsoku/>
        <w:wordWrap/>
        <w:overflowPunct w:val="0"/>
        <w:topLinePunct w:val="0"/>
        <w:bidi w:val="0"/>
        <w:spacing w:line="360" w:lineRule="auto"/>
        <w:rPr>
          <w:rFonts w:hint="eastAsia" w:asciiTheme="minorEastAsia" w:hAnsiTheme="minorEastAsia" w:eastAsiaTheme="minorEastAsia" w:cstheme="minorEastAsia"/>
          <w:b/>
          <w:bCs w:val="0"/>
          <w:color w:val="auto"/>
          <w:sz w:val="24"/>
          <w:szCs w:val="24"/>
          <w:lang w:val="en-US" w:eastAsia="zh-CN"/>
        </w:rPr>
      </w:pPr>
      <w:r>
        <w:rPr>
          <w:rFonts w:hint="eastAsia" w:asciiTheme="minorEastAsia" w:hAnsiTheme="minorEastAsia" w:eastAsiaTheme="minorEastAsia" w:cstheme="minorEastAsia"/>
          <w:b/>
          <w:bCs w:val="0"/>
          <w:color w:val="auto"/>
          <w:sz w:val="24"/>
          <w:szCs w:val="24"/>
          <w:lang w:val="en-US" w:eastAsia="zh-CN"/>
        </w:rPr>
        <w:t>5、保障责任</w:t>
      </w:r>
    </w:p>
    <w:p w14:paraId="0705AB1A">
      <w:pPr>
        <w:keepNext w:val="0"/>
        <w:keepLines w:val="0"/>
        <w:pageBreakBefore w:val="0"/>
        <w:kinsoku/>
        <w:wordWrap/>
        <w:overflowPunct w:val="0"/>
        <w:topLinePunct w:val="0"/>
        <w:bidi w:val="0"/>
        <w:spacing w:line="360" w:lineRule="auto"/>
        <w:ind w:firstLine="480" w:firstLineChars="200"/>
        <w:rPr>
          <w:rFonts w:hint="eastAsia" w:asciiTheme="minorEastAsia" w:hAnsiTheme="minorEastAsia" w:eastAsiaTheme="minorEastAsia" w:cstheme="minorEastAsia"/>
          <w:bCs/>
          <w:color w:val="auto"/>
          <w:sz w:val="24"/>
          <w:szCs w:val="24"/>
          <w:lang w:val="en-US" w:eastAsia="zh-CN"/>
        </w:rPr>
      </w:pPr>
      <w:r>
        <w:rPr>
          <w:rFonts w:hint="eastAsia" w:asciiTheme="minorEastAsia" w:hAnsiTheme="minorEastAsia" w:eastAsiaTheme="minorEastAsia" w:cstheme="minorEastAsia"/>
          <w:bCs/>
          <w:color w:val="auto"/>
          <w:sz w:val="24"/>
          <w:szCs w:val="24"/>
          <w:lang w:val="en-US" w:eastAsia="zh-CN"/>
        </w:rPr>
        <w:t>对符合下列五种情况的，经核实后，由乙方按照协议约定进行防贫保险金的发放。</w:t>
      </w:r>
    </w:p>
    <w:p w14:paraId="6D2553B2">
      <w:pPr>
        <w:keepNext w:val="0"/>
        <w:keepLines w:val="0"/>
        <w:pageBreakBefore w:val="0"/>
        <w:kinsoku/>
        <w:wordWrap/>
        <w:overflowPunct w:val="0"/>
        <w:topLinePunct w:val="0"/>
        <w:bidi w:val="0"/>
        <w:spacing w:line="360" w:lineRule="auto"/>
        <w:ind w:firstLine="482" w:firstLineChars="200"/>
        <w:rPr>
          <w:rFonts w:hint="eastAsia" w:asciiTheme="minorEastAsia" w:hAnsiTheme="minorEastAsia" w:eastAsiaTheme="minorEastAsia" w:cstheme="minorEastAsia"/>
          <w:b/>
          <w:bCs w:val="0"/>
          <w:color w:val="auto"/>
          <w:sz w:val="24"/>
          <w:szCs w:val="24"/>
          <w:lang w:val="en-US" w:eastAsia="zh-CN"/>
        </w:rPr>
      </w:pPr>
      <w:r>
        <w:rPr>
          <w:rFonts w:hint="eastAsia" w:asciiTheme="minorEastAsia" w:hAnsiTheme="minorEastAsia" w:eastAsiaTheme="minorEastAsia" w:cstheme="minorEastAsia"/>
          <w:b/>
          <w:bCs w:val="0"/>
          <w:color w:val="auto"/>
          <w:sz w:val="24"/>
          <w:szCs w:val="24"/>
          <w:lang w:val="en-US" w:eastAsia="zh-CN"/>
        </w:rPr>
        <w:t>(一)因病防贫保险金发放</w:t>
      </w:r>
    </w:p>
    <w:p w14:paraId="1E08F248">
      <w:pPr>
        <w:keepNext w:val="0"/>
        <w:keepLines w:val="0"/>
        <w:pageBreakBefore w:val="0"/>
        <w:kinsoku/>
        <w:wordWrap/>
        <w:overflowPunct w:val="0"/>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lang w:val="en-US" w:eastAsia="zh-CN"/>
        </w:rPr>
        <w:t>属于返贫致贫风险未消除的“脱贫不稳定户、边缘易致贫户、突发严重困难户”(以下简称“三类人员”)且为低保户的，按照保险期限内自付医疗费用0.5万元设置预警线，纳入监测范围，经查勘认定符合条件的，自付费用扣除0.5万元起付线，剩余费用在1万元以下的，按照50%比例发放防贫保险金;1万元(含)至3万元的，按照60%比例发放防贫保险金;3万元及以上的，按照70%比例发放防贫保险金。</w:t>
      </w:r>
      <w:r>
        <w:rPr>
          <w:rFonts w:hint="eastAsia" w:asciiTheme="minorEastAsia" w:hAnsiTheme="minorEastAsia" w:eastAsiaTheme="minorEastAsia" w:cstheme="minorEastAsia"/>
          <w:color w:val="auto"/>
          <w:sz w:val="24"/>
          <w:szCs w:val="24"/>
        </w:rPr>
        <w:t>因疾病发放精准防贫保险金</w:t>
      </w:r>
      <w:r>
        <w:rPr>
          <w:rFonts w:hint="eastAsia" w:asciiTheme="minorEastAsia" w:hAnsiTheme="minorEastAsia" w:eastAsiaTheme="minorEastAsia" w:cstheme="minorEastAsia"/>
          <w:color w:val="auto"/>
          <w:sz w:val="24"/>
          <w:szCs w:val="24"/>
          <w:lang w:val="en-US" w:eastAsia="zh-CN"/>
        </w:rPr>
        <w:t>采用分段式赔偿计算（举例：若个人自付金额为5万的，扣减预警线5000后，剩余金额为45000元，其赔偿计算方式为10000×50%+20000×60%+15000×70%=27500元）</w:t>
      </w:r>
    </w:p>
    <w:p w14:paraId="79442A6A">
      <w:pPr>
        <w:keepNext w:val="0"/>
        <w:keepLines w:val="0"/>
        <w:pageBreakBefore w:val="0"/>
        <w:kinsoku/>
        <w:wordWrap/>
        <w:overflowPunct w:val="0"/>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属于非低保户的“三类人员”、脱贫户及其他农村低收入人群”的，按照自付医疗费用2万元设置预警线，纳入监测范围，经查勘认定符合条件的，自付费用扣除2万元起付线，剩余费用在5万元以下的，按照50%比例发放防贫保险金;5万元(含)至10万元的，按照60%比例发放防贫保险金;10万元及以上的，按照70%比例发放防贫保险金。</w:t>
      </w:r>
      <w:r>
        <w:rPr>
          <w:rFonts w:hint="eastAsia" w:asciiTheme="minorEastAsia" w:hAnsiTheme="minorEastAsia" w:eastAsiaTheme="minorEastAsia" w:cstheme="minorEastAsia"/>
          <w:color w:val="auto"/>
          <w:sz w:val="24"/>
          <w:szCs w:val="24"/>
        </w:rPr>
        <w:t>因疾病发放精准防贫保险金</w:t>
      </w:r>
      <w:r>
        <w:rPr>
          <w:rFonts w:hint="eastAsia" w:asciiTheme="minorEastAsia" w:hAnsiTheme="minorEastAsia" w:eastAsiaTheme="minorEastAsia" w:cstheme="minorEastAsia"/>
          <w:color w:val="auto"/>
          <w:sz w:val="24"/>
          <w:szCs w:val="24"/>
          <w:lang w:val="en-US" w:eastAsia="zh-CN"/>
        </w:rPr>
        <w:t>采用分段式赔偿计算，赔偿计算方式与三类人员且为低保户的一致。</w:t>
      </w:r>
    </w:p>
    <w:p w14:paraId="490AFD4C">
      <w:pPr>
        <w:keepNext w:val="0"/>
        <w:keepLines w:val="0"/>
        <w:pageBreakBefore w:val="0"/>
        <w:kinsoku/>
        <w:wordWrap/>
        <w:overflowPunct w:val="0"/>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lang w:val="en-US" w:eastAsia="zh-CN"/>
        </w:rPr>
        <w:t>个人</w:t>
      </w:r>
      <w:r>
        <w:rPr>
          <w:rFonts w:hint="eastAsia" w:asciiTheme="minorEastAsia" w:hAnsiTheme="minorEastAsia" w:eastAsiaTheme="minorEastAsia" w:cstheme="minorEastAsia"/>
          <w:bCs/>
          <w:color w:val="auto"/>
          <w:sz w:val="24"/>
          <w:szCs w:val="24"/>
        </w:rPr>
        <w:t>自付医疗费用为通过城乡居民基本医疗保险、大病保险、疾病商业补充保险、民政医疗救助、众筹等各类补偿后仍需个人支付的费用。</w:t>
      </w:r>
    </w:p>
    <w:p w14:paraId="6D02487D">
      <w:pPr>
        <w:keepNext w:val="0"/>
        <w:keepLines w:val="0"/>
        <w:pageBreakBefore w:val="0"/>
        <w:kinsoku/>
        <w:wordWrap/>
        <w:overflowPunct w:val="0"/>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color w:val="auto"/>
          <w:sz w:val="24"/>
          <w:szCs w:val="24"/>
        </w:rPr>
        <w:t>因疾病发放精准防贫保险金每</w:t>
      </w:r>
      <w:r>
        <w:rPr>
          <w:rFonts w:hint="eastAsia" w:asciiTheme="minorEastAsia" w:hAnsiTheme="minorEastAsia" w:eastAsiaTheme="minorEastAsia" w:cstheme="minorEastAsia"/>
          <w:color w:val="auto"/>
          <w:sz w:val="24"/>
          <w:szCs w:val="24"/>
          <w:lang w:val="en-US" w:eastAsia="zh-CN"/>
        </w:rPr>
        <w:t>人每年最高</w:t>
      </w:r>
      <w:r>
        <w:rPr>
          <w:rFonts w:hint="eastAsia" w:asciiTheme="minorEastAsia" w:hAnsiTheme="minorEastAsia" w:eastAsiaTheme="minorEastAsia" w:cstheme="minorEastAsia"/>
          <w:color w:val="auto"/>
          <w:sz w:val="24"/>
          <w:szCs w:val="24"/>
        </w:rPr>
        <w:t>限额</w:t>
      </w:r>
      <w:r>
        <w:rPr>
          <w:rFonts w:hint="eastAsia" w:asciiTheme="minorEastAsia" w:hAnsiTheme="minorEastAsia" w:eastAsiaTheme="minorEastAsia" w:cstheme="minorEastAsia"/>
          <w:color w:val="auto"/>
          <w:sz w:val="24"/>
          <w:szCs w:val="24"/>
          <w:lang w:val="en-US" w:eastAsia="zh-CN"/>
        </w:rPr>
        <w:t>为3</w:t>
      </w:r>
      <w:r>
        <w:rPr>
          <w:rFonts w:hint="eastAsia" w:asciiTheme="minorEastAsia" w:hAnsiTheme="minorEastAsia" w:eastAsiaTheme="minorEastAsia" w:cstheme="minorEastAsia"/>
          <w:color w:val="auto"/>
          <w:sz w:val="24"/>
          <w:szCs w:val="24"/>
        </w:rPr>
        <w:t>万元</w:t>
      </w:r>
      <w:r>
        <w:rPr>
          <w:rFonts w:hint="eastAsia" w:asciiTheme="minorEastAsia" w:hAnsiTheme="minorEastAsia" w:eastAsiaTheme="minorEastAsia" w:cstheme="minorEastAsia"/>
          <w:color w:val="auto"/>
          <w:sz w:val="32"/>
          <w:szCs w:val="32"/>
        </w:rPr>
        <w:t>。</w:t>
      </w:r>
      <w:r>
        <w:rPr>
          <w:rFonts w:hint="eastAsia" w:asciiTheme="minorEastAsia" w:hAnsiTheme="minorEastAsia" w:eastAsiaTheme="minorEastAsia" w:cstheme="minorEastAsia"/>
          <w:color w:val="auto"/>
          <w:sz w:val="24"/>
          <w:szCs w:val="24"/>
          <w:lang w:val="en-US" w:eastAsia="zh-CN"/>
        </w:rPr>
        <w:t>若申报人在同一年度中申报身份发生变动，其产生的费用按低保证发放的日期为分割线，低保证发放之前产生的费用按低保证发放之前的身份扣除免赔额后按约定比例赔付，低保证发放之后产生的费用按低保证发放之后的约定比例赔付，不再扣除免赔额。</w:t>
      </w:r>
      <w:r>
        <w:rPr>
          <w:rFonts w:hint="eastAsia" w:asciiTheme="minorEastAsia" w:hAnsiTheme="minorEastAsia" w:eastAsiaTheme="minorEastAsia" w:cstheme="minorEastAsia"/>
          <w:bCs/>
          <w:color w:val="auto"/>
          <w:sz w:val="24"/>
          <w:szCs w:val="24"/>
        </w:rPr>
        <w:t>因疾病丧失劳动能力的，按每人最高1万元标准发放防贫保险金。</w:t>
      </w:r>
    </w:p>
    <w:p w14:paraId="43575A97">
      <w:pPr>
        <w:keepNext w:val="0"/>
        <w:keepLines w:val="0"/>
        <w:pageBreakBefore w:val="0"/>
        <w:kinsoku/>
        <w:wordWrap/>
        <w:overflowPunct w:val="0"/>
        <w:topLinePunct w:val="0"/>
        <w:bidi w:val="0"/>
        <w:spacing w:line="360" w:lineRule="auto"/>
        <w:ind w:firstLine="482" w:firstLineChars="200"/>
        <w:rPr>
          <w:rFonts w:hint="eastAsia" w:asciiTheme="minorEastAsia" w:hAnsiTheme="minorEastAsia" w:eastAsiaTheme="minorEastAsia" w:cstheme="minorEastAsia"/>
          <w:b/>
          <w:bCs w:val="0"/>
          <w:color w:val="auto"/>
          <w:sz w:val="24"/>
          <w:szCs w:val="24"/>
        </w:rPr>
      </w:pPr>
      <w:r>
        <w:rPr>
          <w:rFonts w:hint="eastAsia" w:asciiTheme="minorEastAsia" w:hAnsiTheme="minorEastAsia" w:eastAsiaTheme="minorEastAsia" w:cstheme="minorEastAsia"/>
          <w:b/>
          <w:bCs w:val="0"/>
          <w:color w:val="auto"/>
          <w:sz w:val="24"/>
          <w:szCs w:val="24"/>
        </w:rPr>
        <w:t>(二)因学防贫保险金发放</w:t>
      </w:r>
    </w:p>
    <w:p w14:paraId="22D58E47">
      <w:pPr>
        <w:keepNext w:val="0"/>
        <w:keepLines w:val="0"/>
        <w:pageBreakBefore w:val="0"/>
        <w:kinsoku/>
        <w:wordWrap/>
        <w:overflowPunct w:val="0"/>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具有全日制学历教育、注册正式学籍的“脱贫户、其他农村低收入人群”子女在校接受高等教育(包括顶岗实习)期间，以及“三类人员”子女在省内独立学院和省外普通高校接受高等教育(包括顶岗实习)期间，包括义务教育之外、高等教育以下学生在校就读期间，出现返贫致贫风险的，以年支付学费、住宿费、教科书费0.5万元为监测线，相应费用超出部分在0.3万元以内的，按100%比例发放防贫保险金;0.3万元(含)至0.5万元的，按80%比例发放防贫保险金;0.5万元及以上的，按60%比例发放防贫保险金，每户最高不超过2万元。</w:t>
      </w:r>
    </w:p>
    <w:p w14:paraId="2E5549C2">
      <w:pPr>
        <w:keepNext w:val="0"/>
        <w:keepLines w:val="0"/>
        <w:pageBreakBefore w:val="0"/>
        <w:kinsoku/>
        <w:wordWrap/>
        <w:overflowPunct w:val="0"/>
        <w:topLinePunct w:val="0"/>
        <w:bidi w:val="0"/>
        <w:spacing w:line="360" w:lineRule="auto"/>
        <w:ind w:firstLine="480" w:firstLineChars="200"/>
        <w:rPr>
          <w:rFonts w:hint="eastAsia" w:asciiTheme="minorEastAsia" w:hAnsiTheme="minorEastAsia" w:eastAsiaTheme="minorEastAsia" w:cstheme="minorEastAsia"/>
          <w:bCs/>
          <w:color w:val="auto"/>
          <w:sz w:val="24"/>
          <w:szCs w:val="24"/>
          <w:lang w:val="en-US" w:eastAsia="zh-CN"/>
        </w:rPr>
      </w:pPr>
      <w:r>
        <w:rPr>
          <w:rFonts w:hint="eastAsia" w:asciiTheme="minorEastAsia" w:hAnsiTheme="minorEastAsia" w:eastAsiaTheme="minorEastAsia" w:cstheme="minorEastAsia"/>
          <w:bCs/>
          <w:color w:val="auto"/>
          <w:sz w:val="24"/>
          <w:szCs w:val="24"/>
          <w:lang w:val="en-US" w:eastAsia="zh-CN"/>
        </w:rPr>
        <w:t>（赔偿按分段式赔付，具体计算方式与因病防贫金发放一致）</w:t>
      </w:r>
    </w:p>
    <w:p w14:paraId="5F3B9A44">
      <w:pPr>
        <w:keepNext w:val="0"/>
        <w:keepLines w:val="0"/>
        <w:pageBreakBefore w:val="0"/>
        <w:kinsoku/>
        <w:wordWrap/>
        <w:overflowPunct w:val="0"/>
        <w:topLinePunct w:val="0"/>
        <w:bidi w:val="0"/>
        <w:spacing w:line="360" w:lineRule="auto"/>
        <w:ind w:firstLine="482" w:firstLineChars="200"/>
        <w:rPr>
          <w:rFonts w:hint="eastAsia" w:asciiTheme="minorEastAsia" w:hAnsiTheme="minorEastAsia" w:eastAsiaTheme="minorEastAsia" w:cstheme="minorEastAsia"/>
          <w:b/>
          <w:bCs w:val="0"/>
          <w:color w:val="auto"/>
          <w:sz w:val="24"/>
          <w:szCs w:val="24"/>
        </w:rPr>
      </w:pPr>
      <w:r>
        <w:rPr>
          <w:rFonts w:hint="eastAsia" w:asciiTheme="minorEastAsia" w:hAnsiTheme="minorEastAsia" w:eastAsiaTheme="minorEastAsia" w:cstheme="minorEastAsia"/>
          <w:b/>
          <w:bCs w:val="0"/>
          <w:color w:val="auto"/>
          <w:sz w:val="24"/>
          <w:szCs w:val="24"/>
        </w:rPr>
        <w:t>(三)因灾(含意外事故)防贫保险金发放</w:t>
      </w:r>
    </w:p>
    <w:p w14:paraId="00DB50E7">
      <w:pPr>
        <w:keepNext w:val="0"/>
        <w:keepLines w:val="0"/>
        <w:pageBreakBefore w:val="0"/>
        <w:kinsoku/>
        <w:wordWrap/>
        <w:overflowPunct w:val="0"/>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1、</w:t>
      </w:r>
      <w:r>
        <w:rPr>
          <w:rFonts w:hint="eastAsia" w:asciiTheme="minorEastAsia" w:hAnsiTheme="minorEastAsia" w:eastAsiaTheme="minorEastAsia" w:cstheme="minorEastAsia"/>
          <w:b/>
          <w:bCs w:val="0"/>
          <w:color w:val="auto"/>
          <w:sz w:val="24"/>
          <w:szCs w:val="24"/>
        </w:rPr>
        <w:t>自然灾害类。</w:t>
      </w:r>
      <w:r>
        <w:rPr>
          <w:rFonts w:hint="eastAsia" w:asciiTheme="minorEastAsia" w:hAnsiTheme="minorEastAsia" w:eastAsiaTheme="minorEastAsia" w:cstheme="minorEastAsia"/>
          <w:bCs/>
          <w:color w:val="auto"/>
          <w:sz w:val="24"/>
          <w:szCs w:val="24"/>
        </w:rPr>
        <w:t>因自然灾害、地质灾害、旱灾和火灾、意外事故等原因造成脱贫户、“三类人员”及农村低收入人群出现返贫致贫风险的，其家庭房屋、屋内附属设施及财产(不包含现金及金银首饰)损失，以1万元为预警线，家庭财产损失在1万元以上的，扣除1万元起付线，超出部分在1万元以下的，按 40%比例发放防贫保险金;1万元(含)至3万元的，按60%比例发放防贫保险金;3万元及以上的，按80%比例发放防贫保险金，每户最高不超过3万元。（赔偿按分段式赔付，具体计算方式与因病防贫金发放一致）</w:t>
      </w:r>
    </w:p>
    <w:p w14:paraId="43BCB80A">
      <w:pPr>
        <w:keepNext w:val="0"/>
        <w:keepLines w:val="0"/>
        <w:pageBreakBefore w:val="0"/>
        <w:kinsoku/>
        <w:wordWrap/>
        <w:overflowPunct w:val="0"/>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2、</w:t>
      </w:r>
      <w:r>
        <w:rPr>
          <w:rFonts w:hint="eastAsia" w:asciiTheme="minorEastAsia" w:hAnsiTheme="minorEastAsia" w:eastAsiaTheme="minorEastAsia" w:cstheme="minorEastAsia"/>
          <w:b/>
          <w:bCs w:val="0"/>
          <w:color w:val="auto"/>
          <w:sz w:val="24"/>
          <w:szCs w:val="24"/>
        </w:rPr>
        <w:t>意外事故类。</w:t>
      </w:r>
      <w:r>
        <w:rPr>
          <w:rFonts w:hint="eastAsia" w:asciiTheme="minorEastAsia" w:hAnsiTheme="minorEastAsia" w:eastAsiaTheme="minorEastAsia" w:cstheme="minorEastAsia"/>
          <w:bCs/>
          <w:color w:val="auto"/>
          <w:sz w:val="24"/>
          <w:szCs w:val="24"/>
        </w:rPr>
        <w:t>意外伤害无第三方责任，但不符合医保报销政策;或有第三方责任，无法找到责任人或即使找到责任人但经司法等程序未得到相应赔偿或已得到赔偿但需要长期医治等可能导致返贫致贫风险的脱贫户、“三类人员”及农村低收入人群家庭，分以下两种情况发放防贫保险金:(1)因财产损失过重可能返贫或致贫的，参照自然灾害类防贫保险金标准发放;(2)因医疗花费过高可能返贫或致贫的，参照因病防贫保险金标准发放，但交通类意外事故医疗费用最高限额每人不超过</w:t>
      </w:r>
      <w:r>
        <w:rPr>
          <w:rFonts w:hint="eastAsia" w:asciiTheme="minorEastAsia" w:hAnsiTheme="minorEastAsia" w:eastAsiaTheme="minorEastAsia" w:cstheme="minorEastAsia"/>
          <w:bCs/>
          <w:color w:val="FF0000"/>
          <w:sz w:val="24"/>
          <w:szCs w:val="24"/>
          <w:lang w:val="en-US" w:eastAsia="zh-CN"/>
        </w:rPr>
        <w:t>3</w:t>
      </w:r>
      <w:r>
        <w:rPr>
          <w:rFonts w:hint="eastAsia" w:asciiTheme="minorEastAsia" w:hAnsiTheme="minorEastAsia" w:eastAsiaTheme="minorEastAsia" w:cstheme="minorEastAsia"/>
          <w:bCs/>
          <w:color w:val="auto"/>
          <w:sz w:val="24"/>
          <w:szCs w:val="24"/>
        </w:rPr>
        <w:t>万元。因意外事故造成人员死亡的，按每人3万元的标准发放防贫保险金，导致伤残丧失劳动能力的，按每人最高1万元发放防贫保险金。</w:t>
      </w:r>
    </w:p>
    <w:p w14:paraId="6CC06D0F">
      <w:pPr>
        <w:keepNext w:val="0"/>
        <w:keepLines w:val="0"/>
        <w:pageBreakBefore w:val="0"/>
        <w:kinsoku/>
        <w:wordWrap/>
        <w:overflowPunct w:val="0"/>
        <w:topLinePunct w:val="0"/>
        <w:bidi w:val="0"/>
        <w:spacing w:line="360" w:lineRule="auto"/>
        <w:ind w:firstLine="482" w:firstLineChars="200"/>
        <w:rPr>
          <w:rFonts w:hint="eastAsia" w:asciiTheme="minorEastAsia" w:hAnsiTheme="minorEastAsia" w:eastAsiaTheme="minorEastAsia" w:cstheme="minorEastAsia"/>
          <w:b/>
          <w:bCs w:val="0"/>
          <w:color w:val="auto"/>
          <w:sz w:val="24"/>
          <w:szCs w:val="24"/>
        </w:rPr>
      </w:pPr>
      <w:r>
        <w:rPr>
          <w:rFonts w:hint="eastAsia" w:asciiTheme="minorEastAsia" w:hAnsiTheme="minorEastAsia" w:eastAsiaTheme="minorEastAsia" w:cstheme="minorEastAsia"/>
          <w:b/>
          <w:bCs w:val="0"/>
          <w:color w:val="auto"/>
          <w:sz w:val="24"/>
          <w:szCs w:val="24"/>
        </w:rPr>
        <w:t>(四)因个人主要责任无法对第三方赔偿防贫保险金发放</w:t>
      </w:r>
    </w:p>
    <w:p w14:paraId="3BFA53E7">
      <w:pPr>
        <w:keepNext w:val="0"/>
        <w:keepLines w:val="0"/>
        <w:pageBreakBefore w:val="0"/>
        <w:kinsoku/>
        <w:wordWrap/>
        <w:overflowPunct w:val="0"/>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非主观意愿造成第三方财产损失及人身伤害后,因赔偿责任导致返贫致贫风险的脱贫户、“三类人员”及农村低收入人群，以0.5万元为监测线，相应费用超出部分在0.3万元以内的，按100%比例发放防贫保险金;0.3万元(含)至0.5万元的，按80%比例发放防贫保险金;0.5万元及以上的，按60%比例发放防贫保险金，每户最高不超过3万元。</w:t>
      </w:r>
      <w:r>
        <w:rPr>
          <w:rFonts w:hint="eastAsia" w:asciiTheme="minorEastAsia" w:hAnsiTheme="minorEastAsia" w:eastAsiaTheme="minorEastAsia" w:cstheme="minorEastAsia"/>
          <w:color w:val="auto"/>
          <w:spacing w:val="-2"/>
          <w:sz w:val="24"/>
          <w:szCs w:val="24"/>
          <w:lang w:eastAsia="zh-CN"/>
        </w:rPr>
        <w:t>（</w:t>
      </w:r>
      <w:r>
        <w:rPr>
          <w:rFonts w:hint="eastAsia" w:asciiTheme="minorEastAsia" w:hAnsiTheme="minorEastAsia" w:eastAsiaTheme="minorEastAsia" w:cstheme="minorEastAsia"/>
          <w:color w:val="auto"/>
          <w:spacing w:val="-2"/>
          <w:sz w:val="24"/>
          <w:szCs w:val="24"/>
          <w:lang w:val="en-US" w:eastAsia="zh-CN"/>
        </w:rPr>
        <w:t>赔偿按分段式赔付，具体计算方式与因病防贫金发放一致）</w:t>
      </w:r>
    </w:p>
    <w:p w14:paraId="1048C351">
      <w:pPr>
        <w:keepNext w:val="0"/>
        <w:keepLines w:val="0"/>
        <w:pageBreakBefore w:val="0"/>
        <w:kinsoku/>
        <w:wordWrap/>
        <w:overflowPunct w:val="0"/>
        <w:topLinePunct w:val="0"/>
        <w:bidi w:val="0"/>
        <w:spacing w:line="360" w:lineRule="auto"/>
        <w:ind w:firstLine="482" w:firstLineChars="200"/>
        <w:rPr>
          <w:rFonts w:hint="eastAsia" w:asciiTheme="minorEastAsia" w:hAnsiTheme="minorEastAsia" w:eastAsiaTheme="minorEastAsia" w:cstheme="minorEastAsia"/>
          <w:b/>
          <w:bCs w:val="0"/>
          <w:color w:val="auto"/>
          <w:sz w:val="24"/>
          <w:szCs w:val="24"/>
        </w:rPr>
      </w:pPr>
      <w:r>
        <w:rPr>
          <w:rFonts w:hint="eastAsia" w:asciiTheme="minorEastAsia" w:hAnsiTheme="minorEastAsia" w:eastAsiaTheme="minorEastAsia" w:cstheme="minorEastAsia"/>
          <w:b/>
          <w:bCs w:val="0"/>
          <w:color w:val="auto"/>
          <w:sz w:val="24"/>
          <w:szCs w:val="24"/>
        </w:rPr>
        <w:t>(五)因生产资料损失防贫保险金发放</w:t>
      </w:r>
    </w:p>
    <w:p w14:paraId="51D89892">
      <w:pPr>
        <w:keepNext w:val="0"/>
        <w:keepLines w:val="0"/>
        <w:pageBreakBefore w:val="0"/>
        <w:kinsoku/>
        <w:wordWrap/>
        <w:overflowPunct w:val="0"/>
        <w:topLinePunct w:val="0"/>
        <w:bidi w:val="0"/>
        <w:spacing w:line="360" w:lineRule="auto"/>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生产资料(含种植、养殖)直接影响生产力，因生产资料(包括生产工具、运输设备、原材料等)非主观意愿损失，无法进行正常生产或劳动经营导致返贫致贫风险的脱贫户、“三类人员”及农村低收入人群，以供购买相应生产资料用于恢复生产。以1万元为监测线，相应费用超出部分在0.3万元以内的，按100%比例发放防贫保险金;0.3万元(含)至0.5万元的，按80%比例发放防贫保险金;0.5万元及以上的，按60%比例发放防贫保险金,每户最高不超过2万元。</w:t>
      </w:r>
    </w:p>
    <w:p w14:paraId="279DA3E5">
      <w:pPr>
        <w:keepNext w:val="0"/>
        <w:keepLines w:val="0"/>
        <w:pageBreakBefore w:val="0"/>
        <w:kinsoku/>
        <w:wordWrap/>
        <w:overflowPunct w:val="0"/>
        <w:topLinePunct w:val="0"/>
        <w:bidi w:val="0"/>
        <w:spacing w:line="360" w:lineRule="auto"/>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（赔偿按分段式赔付，具体计算方式与因病防贫金发放一致）</w:t>
      </w:r>
    </w:p>
    <w:p w14:paraId="23CE1FD4">
      <w:pPr>
        <w:pStyle w:val="2"/>
        <w:keepNext w:val="0"/>
        <w:keepLines w:val="0"/>
        <w:pageBreakBefore w:val="0"/>
        <w:numPr>
          <w:ilvl w:val="0"/>
          <w:numId w:val="0"/>
        </w:numPr>
        <w:kinsoku/>
        <w:wordWrap/>
        <w:overflowPunct w:val="0"/>
        <w:topLinePunct w:val="0"/>
        <w:bidi w:val="0"/>
        <w:spacing w:line="360" w:lineRule="auto"/>
        <w:ind w:leftChars="0"/>
        <w:rPr>
          <w:rFonts w:hint="eastAsia" w:asciiTheme="minorEastAsia" w:hAnsiTheme="minorEastAsia" w:eastAsiaTheme="minorEastAsia" w:cstheme="minorEastAsia"/>
          <w:b/>
          <w:bCs w:val="0"/>
          <w:color w:val="auto"/>
          <w:sz w:val="24"/>
          <w:szCs w:val="24"/>
          <w:lang w:val="en-US" w:eastAsia="zh-CN"/>
        </w:rPr>
      </w:pPr>
      <w:r>
        <w:rPr>
          <w:rFonts w:hint="eastAsia" w:asciiTheme="minorEastAsia" w:hAnsiTheme="minorEastAsia" w:eastAsiaTheme="minorEastAsia" w:cstheme="minorEastAsia"/>
          <w:b/>
          <w:bCs w:val="0"/>
          <w:color w:val="auto"/>
          <w:sz w:val="24"/>
          <w:szCs w:val="24"/>
          <w:lang w:val="en-US" w:eastAsia="zh-CN"/>
        </w:rPr>
        <w:t>6、防贫保险金发放标准及比例</w:t>
      </w: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62"/>
        <w:gridCol w:w="1239"/>
        <w:gridCol w:w="2784"/>
        <w:gridCol w:w="1162"/>
        <w:gridCol w:w="1675"/>
      </w:tblGrid>
      <w:tr w14:paraId="7BAAB2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676" w:type="dxa"/>
            <w:gridSpan w:val="5"/>
            <w:noWrap w:val="0"/>
            <w:vAlign w:val="top"/>
          </w:tcPr>
          <w:p w14:paraId="45C3E651">
            <w:pPr>
              <w:keepNext w:val="0"/>
              <w:keepLines w:val="0"/>
              <w:pageBreakBefore w:val="0"/>
              <w:widowControl w:val="0"/>
              <w:numPr>
                <w:ilvl w:val="0"/>
                <w:numId w:val="0"/>
              </w:numPr>
              <w:tabs>
                <w:tab w:val="left" w:pos="3643"/>
              </w:tabs>
              <w:kinsoku/>
              <w:wordWrap/>
              <w:overflowPunct w:val="0"/>
              <w:topLinePunct w:val="0"/>
              <w:bidi w:val="0"/>
              <w:spacing w:line="360" w:lineRule="auto"/>
              <w:jc w:val="both"/>
              <w:rPr>
                <w:rFonts w:hint="eastAsia" w:asciiTheme="minorEastAsia" w:hAnsiTheme="minorEastAsia" w:eastAsiaTheme="minorEastAsia" w:cstheme="minorEastAsia"/>
                <w:color w:val="auto"/>
                <w:sz w:val="24"/>
                <w:szCs w:val="24"/>
                <w:vertAlign w:val="baseline"/>
                <w:lang w:val="en-US" w:eastAsia="zh-CN"/>
              </w:rPr>
            </w:pPr>
            <w:r>
              <w:rPr>
                <w:rFonts w:hint="eastAsia" w:asciiTheme="minorEastAsia" w:hAnsiTheme="minorEastAsia" w:eastAsiaTheme="minorEastAsia" w:cstheme="minorEastAsia"/>
                <w:color w:val="auto"/>
                <w:sz w:val="24"/>
                <w:szCs w:val="24"/>
                <w:vertAlign w:val="baseline"/>
                <w:lang w:val="en-US" w:eastAsia="zh-CN"/>
              </w:rPr>
              <w:tab/>
            </w:r>
            <w:r>
              <w:rPr>
                <w:rFonts w:hint="eastAsia" w:asciiTheme="minorEastAsia" w:hAnsiTheme="minorEastAsia" w:eastAsiaTheme="minorEastAsia" w:cstheme="minorEastAsia"/>
                <w:color w:val="auto"/>
                <w:sz w:val="24"/>
                <w:szCs w:val="24"/>
                <w:vertAlign w:val="baseline"/>
                <w:lang w:val="en-US" w:eastAsia="zh-CN"/>
              </w:rPr>
              <w:t>（一）因病防贫保险金</w:t>
            </w:r>
          </w:p>
        </w:tc>
      </w:tr>
      <w:tr w14:paraId="1D46CB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57" w:type="dxa"/>
            <w:noWrap w:val="0"/>
            <w:vAlign w:val="center"/>
          </w:tcPr>
          <w:p w14:paraId="5654F4DB">
            <w:pPr>
              <w:keepNext w:val="0"/>
              <w:keepLines w:val="0"/>
              <w:pageBreakBefore w:val="0"/>
              <w:widowControl w:val="0"/>
              <w:numPr>
                <w:ilvl w:val="0"/>
                <w:numId w:val="0"/>
              </w:numPr>
              <w:kinsoku/>
              <w:wordWrap/>
              <w:overflowPunct w:val="0"/>
              <w:topLinePunct w:val="0"/>
              <w:bidi w:val="0"/>
              <w:spacing w:line="360" w:lineRule="auto"/>
              <w:jc w:val="center"/>
              <w:rPr>
                <w:rFonts w:hint="eastAsia" w:asciiTheme="minorEastAsia" w:hAnsiTheme="minorEastAsia" w:eastAsiaTheme="minorEastAsia" w:cstheme="minorEastAsia"/>
                <w:color w:val="auto"/>
                <w:sz w:val="24"/>
                <w:szCs w:val="24"/>
                <w:vertAlign w:val="baseline"/>
                <w:lang w:val="en-US" w:eastAsia="zh-CN"/>
              </w:rPr>
            </w:pPr>
            <w:r>
              <w:rPr>
                <w:rFonts w:hint="eastAsia" w:asciiTheme="minorEastAsia" w:hAnsiTheme="minorEastAsia" w:eastAsiaTheme="minorEastAsia" w:cstheme="minorEastAsia"/>
                <w:color w:val="auto"/>
                <w:sz w:val="24"/>
                <w:szCs w:val="24"/>
                <w:vertAlign w:val="baseline"/>
                <w:lang w:val="en-US" w:eastAsia="zh-CN"/>
              </w:rPr>
              <w:t>保障对象</w:t>
            </w:r>
          </w:p>
        </w:tc>
        <w:tc>
          <w:tcPr>
            <w:tcW w:w="1352" w:type="dxa"/>
            <w:noWrap w:val="0"/>
            <w:vAlign w:val="center"/>
          </w:tcPr>
          <w:p w14:paraId="7A24D5AD">
            <w:pPr>
              <w:keepNext w:val="0"/>
              <w:keepLines w:val="0"/>
              <w:pageBreakBefore w:val="0"/>
              <w:widowControl w:val="0"/>
              <w:numPr>
                <w:ilvl w:val="0"/>
                <w:numId w:val="0"/>
              </w:numPr>
              <w:kinsoku/>
              <w:wordWrap/>
              <w:overflowPunct w:val="0"/>
              <w:topLinePunct w:val="0"/>
              <w:bidi w:val="0"/>
              <w:spacing w:line="360" w:lineRule="auto"/>
              <w:jc w:val="center"/>
              <w:rPr>
                <w:rFonts w:hint="eastAsia" w:asciiTheme="minorEastAsia" w:hAnsiTheme="minorEastAsia" w:eastAsiaTheme="minorEastAsia" w:cstheme="minorEastAsia"/>
                <w:color w:val="auto"/>
                <w:sz w:val="24"/>
                <w:szCs w:val="24"/>
                <w:vertAlign w:val="baseline"/>
                <w:lang w:val="en-US" w:eastAsia="zh-CN"/>
              </w:rPr>
            </w:pPr>
            <w:r>
              <w:rPr>
                <w:rFonts w:hint="eastAsia" w:asciiTheme="minorEastAsia" w:hAnsiTheme="minorEastAsia" w:eastAsiaTheme="minorEastAsia" w:cstheme="minorEastAsia"/>
                <w:color w:val="auto"/>
                <w:sz w:val="24"/>
                <w:szCs w:val="24"/>
                <w:vertAlign w:val="baseline"/>
                <w:lang w:val="en-US" w:eastAsia="zh-CN"/>
              </w:rPr>
              <w:t>起付线</w:t>
            </w:r>
          </w:p>
          <w:p w14:paraId="25DB62BF">
            <w:pPr>
              <w:keepNext w:val="0"/>
              <w:keepLines w:val="0"/>
              <w:pageBreakBefore w:val="0"/>
              <w:widowControl w:val="0"/>
              <w:numPr>
                <w:ilvl w:val="0"/>
                <w:numId w:val="0"/>
              </w:numPr>
              <w:kinsoku/>
              <w:wordWrap/>
              <w:overflowPunct w:val="0"/>
              <w:topLinePunct w:val="0"/>
              <w:bidi w:val="0"/>
              <w:spacing w:line="360" w:lineRule="auto"/>
              <w:jc w:val="center"/>
              <w:rPr>
                <w:rFonts w:hint="eastAsia" w:asciiTheme="minorEastAsia" w:hAnsiTheme="minorEastAsia" w:eastAsiaTheme="minorEastAsia" w:cstheme="minorEastAsia"/>
                <w:color w:val="auto"/>
                <w:sz w:val="24"/>
                <w:szCs w:val="24"/>
                <w:vertAlign w:val="baseline"/>
                <w:lang w:val="en-US" w:eastAsia="zh-CN"/>
              </w:rPr>
            </w:pPr>
            <w:r>
              <w:rPr>
                <w:rFonts w:hint="eastAsia" w:asciiTheme="minorEastAsia" w:hAnsiTheme="minorEastAsia" w:eastAsiaTheme="minorEastAsia" w:cstheme="minorEastAsia"/>
                <w:color w:val="auto"/>
                <w:sz w:val="24"/>
                <w:szCs w:val="24"/>
                <w:vertAlign w:val="baseline"/>
                <w:lang w:val="en-US" w:eastAsia="zh-CN"/>
              </w:rPr>
              <w:t>（元/次.人）</w:t>
            </w:r>
          </w:p>
        </w:tc>
        <w:tc>
          <w:tcPr>
            <w:tcW w:w="3245" w:type="dxa"/>
            <w:noWrap w:val="0"/>
            <w:vAlign w:val="center"/>
          </w:tcPr>
          <w:p w14:paraId="2C6891B9">
            <w:pPr>
              <w:keepNext w:val="0"/>
              <w:keepLines w:val="0"/>
              <w:pageBreakBefore w:val="0"/>
              <w:widowControl w:val="0"/>
              <w:numPr>
                <w:ilvl w:val="0"/>
                <w:numId w:val="0"/>
              </w:numPr>
              <w:kinsoku/>
              <w:wordWrap/>
              <w:overflowPunct w:val="0"/>
              <w:topLinePunct w:val="0"/>
              <w:bidi w:val="0"/>
              <w:spacing w:line="360" w:lineRule="auto"/>
              <w:jc w:val="center"/>
              <w:rPr>
                <w:rFonts w:hint="eastAsia" w:asciiTheme="minorEastAsia" w:hAnsiTheme="minorEastAsia" w:eastAsiaTheme="minorEastAsia" w:cstheme="minorEastAsia"/>
                <w:color w:val="auto"/>
                <w:sz w:val="24"/>
                <w:szCs w:val="24"/>
                <w:vertAlign w:val="baseline"/>
                <w:lang w:val="en-US" w:eastAsia="zh-CN"/>
              </w:rPr>
            </w:pPr>
            <w:r>
              <w:rPr>
                <w:rFonts w:hint="eastAsia" w:asciiTheme="minorEastAsia" w:hAnsiTheme="minorEastAsia" w:eastAsiaTheme="minorEastAsia" w:cstheme="minorEastAsia"/>
                <w:color w:val="auto"/>
                <w:sz w:val="24"/>
                <w:szCs w:val="24"/>
                <w:vertAlign w:val="baseline"/>
                <w:lang w:val="en-US" w:eastAsia="zh-CN"/>
              </w:rPr>
              <w:t>超出起付线以上自付医疗费用</w:t>
            </w:r>
          </w:p>
        </w:tc>
        <w:tc>
          <w:tcPr>
            <w:tcW w:w="1286" w:type="dxa"/>
            <w:noWrap w:val="0"/>
            <w:vAlign w:val="center"/>
          </w:tcPr>
          <w:p w14:paraId="05E30888">
            <w:pPr>
              <w:keepNext w:val="0"/>
              <w:keepLines w:val="0"/>
              <w:pageBreakBefore w:val="0"/>
              <w:widowControl w:val="0"/>
              <w:numPr>
                <w:ilvl w:val="0"/>
                <w:numId w:val="0"/>
              </w:numPr>
              <w:kinsoku/>
              <w:wordWrap/>
              <w:overflowPunct w:val="0"/>
              <w:topLinePunct w:val="0"/>
              <w:bidi w:val="0"/>
              <w:spacing w:line="360" w:lineRule="auto"/>
              <w:jc w:val="center"/>
              <w:rPr>
                <w:rFonts w:hint="eastAsia" w:asciiTheme="minorEastAsia" w:hAnsiTheme="minorEastAsia" w:eastAsiaTheme="minorEastAsia" w:cstheme="minorEastAsia"/>
                <w:color w:val="auto"/>
                <w:sz w:val="24"/>
                <w:szCs w:val="24"/>
                <w:vertAlign w:val="baseline"/>
                <w:lang w:val="en-US" w:eastAsia="zh-CN"/>
              </w:rPr>
            </w:pPr>
            <w:r>
              <w:rPr>
                <w:rFonts w:hint="eastAsia" w:asciiTheme="minorEastAsia" w:hAnsiTheme="minorEastAsia" w:eastAsiaTheme="minorEastAsia" w:cstheme="minorEastAsia"/>
                <w:color w:val="auto"/>
                <w:sz w:val="24"/>
                <w:szCs w:val="24"/>
                <w:vertAlign w:val="baseline"/>
                <w:lang w:val="en-US" w:eastAsia="zh-CN"/>
              </w:rPr>
              <w:t>赔偿比例</w:t>
            </w:r>
          </w:p>
        </w:tc>
        <w:tc>
          <w:tcPr>
            <w:tcW w:w="1936" w:type="dxa"/>
            <w:noWrap w:val="0"/>
            <w:vAlign w:val="center"/>
          </w:tcPr>
          <w:p w14:paraId="686098FA">
            <w:pPr>
              <w:keepNext w:val="0"/>
              <w:keepLines w:val="0"/>
              <w:pageBreakBefore w:val="0"/>
              <w:widowControl w:val="0"/>
              <w:numPr>
                <w:ilvl w:val="0"/>
                <w:numId w:val="0"/>
              </w:numPr>
              <w:kinsoku/>
              <w:wordWrap/>
              <w:overflowPunct w:val="0"/>
              <w:topLinePunct w:val="0"/>
              <w:bidi w:val="0"/>
              <w:spacing w:line="360" w:lineRule="auto"/>
              <w:jc w:val="center"/>
              <w:rPr>
                <w:rFonts w:hint="eastAsia" w:asciiTheme="minorEastAsia" w:hAnsiTheme="minorEastAsia" w:eastAsiaTheme="minorEastAsia" w:cstheme="minorEastAsia"/>
                <w:color w:val="auto"/>
                <w:sz w:val="24"/>
                <w:szCs w:val="24"/>
                <w:vertAlign w:val="baseline"/>
                <w:lang w:val="en-US" w:eastAsia="zh-CN"/>
              </w:rPr>
            </w:pPr>
            <w:r>
              <w:rPr>
                <w:rFonts w:hint="eastAsia" w:asciiTheme="minorEastAsia" w:hAnsiTheme="minorEastAsia" w:eastAsiaTheme="minorEastAsia" w:cstheme="minorEastAsia"/>
                <w:color w:val="auto"/>
                <w:sz w:val="24"/>
                <w:szCs w:val="24"/>
                <w:vertAlign w:val="baseline"/>
                <w:lang w:val="en-US" w:eastAsia="zh-CN"/>
              </w:rPr>
              <w:t>备注</w:t>
            </w:r>
          </w:p>
        </w:tc>
      </w:tr>
      <w:tr w14:paraId="3BBB99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57" w:type="dxa"/>
            <w:vMerge w:val="restart"/>
            <w:noWrap w:val="0"/>
            <w:vAlign w:val="top"/>
          </w:tcPr>
          <w:p w14:paraId="0B1016B0">
            <w:pPr>
              <w:keepNext w:val="0"/>
              <w:keepLines w:val="0"/>
              <w:pageBreakBefore w:val="0"/>
              <w:widowControl w:val="0"/>
              <w:numPr>
                <w:ilvl w:val="0"/>
                <w:numId w:val="0"/>
              </w:numPr>
              <w:kinsoku/>
              <w:wordWrap/>
              <w:overflowPunct w:val="0"/>
              <w:topLinePunct w:val="0"/>
              <w:bidi w:val="0"/>
              <w:spacing w:line="360" w:lineRule="auto"/>
              <w:jc w:val="center"/>
              <w:rPr>
                <w:rFonts w:hint="eastAsia" w:asciiTheme="minorEastAsia" w:hAnsiTheme="minorEastAsia" w:eastAsiaTheme="minorEastAsia" w:cstheme="minorEastAsia"/>
                <w:color w:val="auto"/>
                <w:sz w:val="24"/>
                <w:szCs w:val="24"/>
                <w:vertAlign w:val="baseline"/>
                <w:lang w:val="en-US" w:eastAsia="zh-CN"/>
              </w:rPr>
            </w:pPr>
            <w:r>
              <w:rPr>
                <w:rFonts w:hint="eastAsia" w:asciiTheme="minorEastAsia" w:hAnsiTheme="minorEastAsia" w:eastAsiaTheme="minorEastAsia" w:cstheme="minorEastAsia"/>
                <w:color w:val="auto"/>
                <w:sz w:val="24"/>
                <w:szCs w:val="24"/>
                <w:vertAlign w:val="baseline"/>
                <w:lang w:val="en-US" w:eastAsia="zh-CN"/>
              </w:rPr>
              <w:t>有返贫致贫风险“三类人员”，且为低保户</w:t>
            </w:r>
          </w:p>
        </w:tc>
        <w:tc>
          <w:tcPr>
            <w:tcW w:w="1352" w:type="dxa"/>
            <w:vMerge w:val="restart"/>
            <w:noWrap w:val="0"/>
            <w:vAlign w:val="top"/>
          </w:tcPr>
          <w:p w14:paraId="2DF4151D">
            <w:pPr>
              <w:keepNext w:val="0"/>
              <w:keepLines w:val="0"/>
              <w:pageBreakBefore w:val="0"/>
              <w:widowControl w:val="0"/>
              <w:numPr>
                <w:ilvl w:val="0"/>
                <w:numId w:val="0"/>
              </w:numPr>
              <w:kinsoku/>
              <w:wordWrap/>
              <w:overflowPunct w:val="0"/>
              <w:topLinePunct w:val="0"/>
              <w:bidi w:val="0"/>
              <w:spacing w:line="360" w:lineRule="auto"/>
              <w:jc w:val="center"/>
              <w:rPr>
                <w:rFonts w:hint="eastAsia" w:asciiTheme="minorEastAsia" w:hAnsiTheme="minorEastAsia" w:eastAsiaTheme="minorEastAsia" w:cstheme="minorEastAsia"/>
                <w:color w:val="auto"/>
                <w:sz w:val="24"/>
                <w:szCs w:val="24"/>
                <w:vertAlign w:val="baseline"/>
                <w:lang w:val="en-US" w:eastAsia="zh-CN"/>
              </w:rPr>
            </w:pPr>
          </w:p>
          <w:p w14:paraId="71340E7D">
            <w:pPr>
              <w:pStyle w:val="2"/>
              <w:keepNext w:val="0"/>
              <w:keepLines w:val="0"/>
              <w:pageBreakBefore w:val="0"/>
              <w:widowControl w:val="0"/>
              <w:kinsoku/>
              <w:wordWrap/>
              <w:overflowPunct w:val="0"/>
              <w:topLinePunct w:val="0"/>
              <w:bidi w:val="0"/>
              <w:spacing w:line="360" w:lineRule="auto"/>
              <w:jc w:val="center"/>
              <w:rPr>
                <w:rFonts w:hint="eastAsia" w:asciiTheme="minorEastAsia" w:hAnsiTheme="minorEastAsia" w:eastAsiaTheme="minorEastAsia" w:cstheme="minorEastAsia"/>
                <w:color w:val="auto"/>
                <w:sz w:val="24"/>
                <w:szCs w:val="24"/>
                <w:lang w:val="en-US" w:eastAsia="zh-CN"/>
              </w:rPr>
            </w:pPr>
            <w:r>
              <w:rPr>
                <w:rFonts w:hint="eastAsia" w:asciiTheme="minorEastAsia" w:hAnsiTheme="minorEastAsia" w:eastAsiaTheme="minorEastAsia" w:cstheme="minorEastAsia"/>
                <w:color w:val="auto"/>
                <w:sz w:val="24"/>
                <w:szCs w:val="24"/>
                <w:vertAlign w:val="baseline"/>
                <w:lang w:val="en-US" w:eastAsia="zh-CN"/>
              </w:rPr>
              <w:t>5000元</w:t>
            </w:r>
          </w:p>
        </w:tc>
        <w:tc>
          <w:tcPr>
            <w:tcW w:w="3245" w:type="dxa"/>
            <w:noWrap w:val="0"/>
            <w:vAlign w:val="center"/>
          </w:tcPr>
          <w:p w14:paraId="36AD5760">
            <w:pPr>
              <w:keepNext w:val="0"/>
              <w:keepLines w:val="0"/>
              <w:pageBreakBefore w:val="0"/>
              <w:widowControl w:val="0"/>
              <w:numPr>
                <w:ilvl w:val="0"/>
                <w:numId w:val="0"/>
              </w:numPr>
              <w:kinsoku/>
              <w:wordWrap/>
              <w:overflowPunct w:val="0"/>
              <w:topLinePunct w:val="0"/>
              <w:bidi w:val="0"/>
              <w:spacing w:line="360" w:lineRule="auto"/>
              <w:jc w:val="both"/>
              <w:rPr>
                <w:rFonts w:hint="eastAsia" w:asciiTheme="minorEastAsia" w:hAnsiTheme="minorEastAsia" w:eastAsiaTheme="minorEastAsia" w:cstheme="minorEastAsia"/>
                <w:color w:val="auto"/>
                <w:sz w:val="24"/>
                <w:szCs w:val="24"/>
                <w:vertAlign w:val="baseline"/>
                <w:lang w:val="en-US" w:eastAsia="zh-CN"/>
              </w:rPr>
            </w:pPr>
            <w:r>
              <w:rPr>
                <w:rFonts w:hint="eastAsia" w:asciiTheme="minorEastAsia" w:hAnsiTheme="minorEastAsia" w:eastAsiaTheme="minorEastAsia" w:cstheme="minorEastAsia"/>
                <w:color w:val="auto"/>
                <w:sz w:val="24"/>
                <w:szCs w:val="24"/>
                <w:vertAlign w:val="baseline"/>
                <w:lang w:val="en-US" w:eastAsia="zh-CN"/>
              </w:rPr>
              <w:t>10000元以下</w:t>
            </w:r>
          </w:p>
        </w:tc>
        <w:tc>
          <w:tcPr>
            <w:tcW w:w="1286" w:type="dxa"/>
            <w:noWrap w:val="0"/>
            <w:vAlign w:val="top"/>
          </w:tcPr>
          <w:p w14:paraId="1B506F8B">
            <w:pPr>
              <w:keepNext w:val="0"/>
              <w:keepLines w:val="0"/>
              <w:pageBreakBefore w:val="0"/>
              <w:widowControl w:val="0"/>
              <w:numPr>
                <w:ilvl w:val="0"/>
                <w:numId w:val="0"/>
              </w:numPr>
              <w:kinsoku/>
              <w:wordWrap/>
              <w:overflowPunct w:val="0"/>
              <w:topLinePunct w:val="0"/>
              <w:bidi w:val="0"/>
              <w:spacing w:line="360" w:lineRule="auto"/>
              <w:jc w:val="center"/>
              <w:rPr>
                <w:rFonts w:hint="eastAsia" w:asciiTheme="minorEastAsia" w:hAnsiTheme="minorEastAsia" w:eastAsiaTheme="minorEastAsia" w:cstheme="minorEastAsia"/>
                <w:color w:val="auto"/>
                <w:sz w:val="24"/>
                <w:szCs w:val="24"/>
                <w:vertAlign w:val="baseline"/>
                <w:lang w:val="en-US" w:eastAsia="zh-CN"/>
              </w:rPr>
            </w:pPr>
            <w:r>
              <w:rPr>
                <w:rFonts w:hint="eastAsia" w:asciiTheme="minorEastAsia" w:hAnsiTheme="minorEastAsia" w:eastAsiaTheme="minorEastAsia" w:cstheme="minorEastAsia"/>
                <w:color w:val="auto"/>
                <w:sz w:val="24"/>
                <w:szCs w:val="24"/>
                <w:vertAlign w:val="baseline"/>
                <w:lang w:val="en-US" w:eastAsia="zh-CN"/>
              </w:rPr>
              <w:t>50%</w:t>
            </w:r>
          </w:p>
        </w:tc>
        <w:tc>
          <w:tcPr>
            <w:tcW w:w="1936" w:type="dxa"/>
            <w:vMerge w:val="restart"/>
            <w:noWrap w:val="0"/>
            <w:vAlign w:val="center"/>
          </w:tcPr>
          <w:p w14:paraId="172935FF">
            <w:pPr>
              <w:keepNext w:val="0"/>
              <w:keepLines w:val="0"/>
              <w:pageBreakBefore w:val="0"/>
              <w:widowControl w:val="0"/>
              <w:numPr>
                <w:ilvl w:val="0"/>
                <w:numId w:val="0"/>
              </w:numPr>
              <w:kinsoku/>
              <w:wordWrap/>
              <w:overflowPunct w:val="0"/>
              <w:topLinePunct w:val="0"/>
              <w:bidi w:val="0"/>
              <w:spacing w:line="360" w:lineRule="auto"/>
              <w:jc w:val="center"/>
              <w:rPr>
                <w:rFonts w:hint="eastAsia" w:asciiTheme="minorEastAsia" w:hAnsiTheme="minorEastAsia" w:eastAsiaTheme="minorEastAsia" w:cstheme="minorEastAsia"/>
                <w:color w:val="auto"/>
                <w:sz w:val="24"/>
                <w:szCs w:val="24"/>
                <w:vertAlign w:val="baseline"/>
                <w:lang w:val="en-US" w:eastAsia="zh-CN"/>
              </w:rPr>
            </w:pPr>
            <w:r>
              <w:rPr>
                <w:rFonts w:hint="eastAsia" w:asciiTheme="minorEastAsia" w:hAnsiTheme="minorEastAsia" w:eastAsiaTheme="minorEastAsia" w:cstheme="minorEastAsia"/>
                <w:color w:val="auto"/>
                <w:sz w:val="24"/>
                <w:szCs w:val="24"/>
                <w:vertAlign w:val="baseline"/>
                <w:lang w:val="en-US" w:eastAsia="zh-CN"/>
              </w:rPr>
              <w:t>因意外事故造成人员死亡，按每人3万元的标准发放防贫保险金；因疾病或是意外导致伤残丧失劳动能力，按每人最高1万元发放防贫保险金。</w:t>
            </w:r>
          </w:p>
        </w:tc>
      </w:tr>
      <w:tr w14:paraId="30FF1C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57" w:type="dxa"/>
            <w:vMerge w:val="continue"/>
            <w:noWrap w:val="0"/>
            <w:vAlign w:val="top"/>
          </w:tcPr>
          <w:p w14:paraId="11BA43D7">
            <w:pPr>
              <w:keepNext w:val="0"/>
              <w:keepLines w:val="0"/>
              <w:pageBreakBefore w:val="0"/>
              <w:widowControl w:val="0"/>
              <w:numPr>
                <w:ilvl w:val="0"/>
                <w:numId w:val="0"/>
              </w:numPr>
              <w:kinsoku/>
              <w:wordWrap/>
              <w:overflowPunct w:val="0"/>
              <w:topLinePunct w:val="0"/>
              <w:bidi w:val="0"/>
              <w:spacing w:line="360" w:lineRule="auto"/>
              <w:jc w:val="center"/>
              <w:rPr>
                <w:rFonts w:hint="eastAsia" w:asciiTheme="minorEastAsia" w:hAnsiTheme="minorEastAsia" w:eastAsiaTheme="minorEastAsia" w:cstheme="minorEastAsia"/>
                <w:color w:val="auto"/>
                <w:sz w:val="24"/>
                <w:szCs w:val="24"/>
                <w:vertAlign w:val="baseline"/>
                <w:lang w:val="en-US" w:eastAsia="zh-CN"/>
              </w:rPr>
            </w:pPr>
          </w:p>
        </w:tc>
        <w:tc>
          <w:tcPr>
            <w:tcW w:w="1352" w:type="dxa"/>
            <w:vMerge w:val="continue"/>
            <w:noWrap w:val="0"/>
            <w:vAlign w:val="top"/>
          </w:tcPr>
          <w:p w14:paraId="13E0C5CD">
            <w:pPr>
              <w:keepNext w:val="0"/>
              <w:keepLines w:val="0"/>
              <w:pageBreakBefore w:val="0"/>
              <w:widowControl w:val="0"/>
              <w:numPr>
                <w:ilvl w:val="0"/>
                <w:numId w:val="0"/>
              </w:numPr>
              <w:kinsoku/>
              <w:wordWrap/>
              <w:overflowPunct w:val="0"/>
              <w:topLinePunct w:val="0"/>
              <w:bidi w:val="0"/>
              <w:spacing w:line="360" w:lineRule="auto"/>
              <w:jc w:val="center"/>
              <w:rPr>
                <w:rFonts w:hint="eastAsia" w:asciiTheme="minorEastAsia" w:hAnsiTheme="minorEastAsia" w:eastAsiaTheme="minorEastAsia" w:cstheme="minorEastAsia"/>
                <w:color w:val="auto"/>
                <w:sz w:val="24"/>
                <w:szCs w:val="24"/>
                <w:vertAlign w:val="baseline"/>
                <w:lang w:val="en-US" w:eastAsia="zh-CN"/>
              </w:rPr>
            </w:pPr>
          </w:p>
        </w:tc>
        <w:tc>
          <w:tcPr>
            <w:tcW w:w="3245" w:type="dxa"/>
            <w:noWrap w:val="0"/>
            <w:vAlign w:val="center"/>
          </w:tcPr>
          <w:p w14:paraId="2C3320A6">
            <w:pPr>
              <w:keepNext w:val="0"/>
              <w:keepLines w:val="0"/>
              <w:pageBreakBefore w:val="0"/>
              <w:widowControl w:val="0"/>
              <w:numPr>
                <w:ilvl w:val="0"/>
                <w:numId w:val="0"/>
              </w:numPr>
              <w:kinsoku/>
              <w:wordWrap/>
              <w:overflowPunct w:val="0"/>
              <w:topLinePunct w:val="0"/>
              <w:bidi w:val="0"/>
              <w:spacing w:line="360" w:lineRule="auto"/>
              <w:jc w:val="both"/>
              <w:rPr>
                <w:rFonts w:hint="eastAsia" w:asciiTheme="minorEastAsia" w:hAnsiTheme="minorEastAsia" w:eastAsiaTheme="minorEastAsia" w:cstheme="minorEastAsia"/>
                <w:color w:val="auto"/>
                <w:sz w:val="24"/>
                <w:szCs w:val="24"/>
                <w:vertAlign w:val="baseline"/>
                <w:lang w:val="en-US" w:eastAsia="zh-CN"/>
              </w:rPr>
            </w:pPr>
            <w:r>
              <w:rPr>
                <w:rFonts w:hint="eastAsia" w:asciiTheme="minorEastAsia" w:hAnsiTheme="minorEastAsia" w:eastAsiaTheme="minorEastAsia" w:cstheme="minorEastAsia"/>
                <w:color w:val="auto"/>
                <w:sz w:val="24"/>
                <w:szCs w:val="24"/>
                <w:vertAlign w:val="baseline"/>
                <w:lang w:val="en-US" w:eastAsia="zh-CN"/>
              </w:rPr>
              <w:t>10000元（含）-30000元</w:t>
            </w:r>
          </w:p>
        </w:tc>
        <w:tc>
          <w:tcPr>
            <w:tcW w:w="1286" w:type="dxa"/>
            <w:noWrap w:val="0"/>
            <w:vAlign w:val="top"/>
          </w:tcPr>
          <w:p w14:paraId="7664F4E8">
            <w:pPr>
              <w:keepNext w:val="0"/>
              <w:keepLines w:val="0"/>
              <w:pageBreakBefore w:val="0"/>
              <w:widowControl w:val="0"/>
              <w:numPr>
                <w:ilvl w:val="0"/>
                <w:numId w:val="0"/>
              </w:numPr>
              <w:kinsoku/>
              <w:wordWrap/>
              <w:overflowPunct w:val="0"/>
              <w:topLinePunct w:val="0"/>
              <w:bidi w:val="0"/>
              <w:spacing w:line="360" w:lineRule="auto"/>
              <w:jc w:val="center"/>
              <w:rPr>
                <w:rFonts w:hint="eastAsia" w:asciiTheme="minorEastAsia" w:hAnsiTheme="minorEastAsia" w:eastAsiaTheme="minorEastAsia" w:cstheme="minorEastAsia"/>
                <w:color w:val="auto"/>
                <w:sz w:val="24"/>
                <w:szCs w:val="24"/>
                <w:vertAlign w:val="baseline"/>
                <w:lang w:val="en-US" w:eastAsia="zh-CN"/>
              </w:rPr>
            </w:pPr>
            <w:r>
              <w:rPr>
                <w:rFonts w:hint="eastAsia" w:asciiTheme="minorEastAsia" w:hAnsiTheme="minorEastAsia" w:eastAsiaTheme="minorEastAsia" w:cstheme="minorEastAsia"/>
                <w:color w:val="auto"/>
                <w:sz w:val="24"/>
                <w:szCs w:val="24"/>
                <w:vertAlign w:val="baseline"/>
                <w:lang w:val="en-US" w:eastAsia="zh-CN"/>
              </w:rPr>
              <w:t>60%</w:t>
            </w:r>
          </w:p>
        </w:tc>
        <w:tc>
          <w:tcPr>
            <w:tcW w:w="1936" w:type="dxa"/>
            <w:vMerge w:val="continue"/>
            <w:noWrap w:val="0"/>
            <w:vAlign w:val="top"/>
          </w:tcPr>
          <w:p w14:paraId="02C0E48B">
            <w:pPr>
              <w:keepNext w:val="0"/>
              <w:keepLines w:val="0"/>
              <w:pageBreakBefore w:val="0"/>
              <w:widowControl w:val="0"/>
              <w:numPr>
                <w:ilvl w:val="0"/>
                <w:numId w:val="0"/>
              </w:numPr>
              <w:kinsoku/>
              <w:wordWrap/>
              <w:overflowPunct w:val="0"/>
              <w:topLinePunct w:val="0"/>
              <w:bidi w:val="0"/>
              <w:spacing w:line="360" w:lineRule="auto"/>
              <w:jc w:val="both"/>
              <w:rPr>
                <w:rFonts w:hint="eastAsia" w:asciiTheme="minorEastAsia" w:hAnsiTheme="minorEastAsia" w:eastAsiaTheme="minorEastAsia" w:cstheme="minorEastAsia"/>
                <w:color w:val="auto"/>
                <w:sz w:val="24"/>
                <w:szCs w:val="24"/>
                <w:vertAlign w:val="baseline"/>
                <w:lang w:val="en-US" w:eastAsia="zh-CN"/>
              </w:rPr>
            </w:pPr>
          </w:p>
        </w:tc>
      </w:tr>
      <w:tr w14:paraId="1FA75C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57" w:type="dxa"/>
            <w:vMerge w:val="continue"/>
            <w:noWrap w:val="0"/>
            <w:vAlign w:val="top"/>
          </w:tcPr>
          <w:p w14:paraId="05E75FF8">
            <w:pPr>
              <w:keepNext w:val="0"/>
              <w:keepLines w:val="0"/>
              <w:pageBreakBefore w:val="0"/>
              <w:widowControl w:val="0"/>
              <w:numPr>
                <w:ilvl w:val="0"/>
                <w:numId w:val="0"/>
              </w:numPr>
              <w:kinsoku/>
              <w:wordWrap/>
              <w:overflowPunct w:val="0"/>
              <w:topLinePunct w:val="0"/>
              <w:bidi w:val="0"/>
              <w:spacing w:line="360" w:lineRule="auto"/>
              <w:jc w:val="center"/>
              <w:rPr>
                <w:rFonts w:hint="eastAsia" w:asciiTheme="minorEastAsia" w:hAnsiTheme="minorEastAsia" w:eastAsiaTheme="minorEastAsia" w:cstheme="minorEastAsia"/>
                <w:color w:val="auto"/>
                <w:sz w:val="24"/>
                <w:szCs w:val="24"/>
                <w:vertAlign w:val="baseline"/>
                <w:lang w:val="en-US" w:eastAsia="zh-CN"/>
              </w:rPr>
            </w:pPr>
          </w:p>
        </w:tc>
        <w:tc>
          <w:tcPr>
            <w:tcW w:w="1352" w:type="dxa"/>
            <w:vMerge w:val="continue"/>
            <w:noWrap w:val="0"/>
            <w:vAlign w:val="top"/>
          </w:tcPr>
          <w:p w14:paraId="3E72912B">
            <w:pPr>
              <w:keepNext w:val="0"/>
              <w:keepLines w:val="0"/>
              <w:pageBreakBefore w:val="0"/>
              <w:widowControl w:val="0"/>
              <w:numPr>
                <w:ilvl w:val="0"/>
                <w:numId w:val="0"/>
              </w:numPr>
              <w:kinsoku/>
              <w:wordWrap/>
              <w:overflowPunct w:val="0"/>
              <w:topLinePunct w:val="0"/>
              <w:bidi w:val="0"/>
              <w:spacing w:line="360" w:lineRule="auto"/>
              <w:jc w:val="center"/>
              <w:rPr>
                <w:rFonts w:hint="eastAsia" w:asciiTheme="minorEastAsia" w:hAnsiTheme="minorEastAsia" w:eastAsiaTheme="minorEastAsia" w:cstheme="minorEastAsia"/>
                <w:color w:val="auto"/>
                <w:sz w:val="24"/>
                <w:szCs w:val="24"/>
                <w:vertAlign w:val="baseline"/>
                <w:lang w:val="en-US" w:eastAsia="zh-CN"/>
              </w:rPr>
            </w:pPr>
          </w:p>
        </w:tc>
        <w:tc>
          <w:tcPr>
            <w:tcW w:w="3245" w:type="dxa"/>
            <w:noWrap w:val="0"/>
            <w:vAlign w:val="center"/>
          </w:tcPr>
          <w:p w14:paraId="7FE0C0DF">
            <w:pPr>
              <w:keepNext w:val="0"/>
              <w:keepLines w:val="0"/>
              <w:pageBreakBefore w:val="0"/>
              <w:widowControl w:val="0"/>
              <w:numPr>
                <w:ilvl w:val="0"/>
                <w:numId w:val="0"/>
              </w:numPr>
              <w:kinsoku/>
              <w:wordWrap/>
              <w:overflowPunct w:val="0"/>
              <w:topLinePunct w:val="0"/>
              <w:bidi w:val="0"/>
              <w:spacing w:line="360" w:lineRule="auto"/>
              <w:jc w:val="both"/>
              <w:rPr>
                <w:rFonts w:hint="eastAsia" w:asciiTheme="minorEastAsia" w:hAnsiTheme="minorEastAsia" w:eastAsiaTheme="minorEastAsia" w:cstheme="minorEastAsia"/>
                <w:color w:val="auto"/>
                <w:sz w:val="24"/>
                <w:szCs w:val="24"/>
                <w:vertAlign w:val="baseline"/>
                <w:lang w:val="en-US" w:eastAsia="zh-CN"/>
              </w:rPr>
            </w:pPr>
            <w:r>
              <w:rPr>
                <w:rFonts w:hint="eastAsia" w:asciiTheme="minorEastAsia" w:hAnsiTheme="minorEastAsia" w:eastAsiaTheme="minorEastAsia" w:cstheme="minorEastAsia"/>
                <w:color w:val="auto"/>
                <w:sz w:val="24"/>
                <w:szCs w:val="24"/>
                <w:vertAlign w:val="baseline"/>
                <w:lang w:val="en-US" w:eastAsia="zh-CN"/>
              </w:rPr>
              <w:t>30000元以上</w:t>
            </w:r>
          </w:p>
        </w:tc>
        <w:tc>
          <w:tcPr>
            <w:tcW w:w="1286" w:type="dxa"/>
            <w:noWrap w:val="0"/>
            <w:vAlign w:val="top"/>
          </w:tcPr>
          <w:p w14:paraId="4DFA525D">
            <w:pPr>
              <w:keepNext w:val="0"/>
              <w:keepLines w:val="0"/>
              <w:pageBreakBefore w:val="0"/>
              <w:widowControl w:val="0"/>
              <w:numPr>
                <w:ilvl w:val="0"/>
                <w:numId w:val="0"/>
              </w:numPr>
              <w:kinsoku/>
              <w:wordWrap/>
              <w:overflowPunct w:val="0"/>
              <w:topLinePunct w:val="0"/>
              <w:bidi w:val="0"/>
              <w:spacing w:line="360" w:lineRule="auto"/>
              <w:jc w:val="center"/>
              <w:rPr>
                <w:rFonts w:hint="eastAsia" w:asciiTheme="minorEastAsia" w:hAnsiTheme="minorEastAsia" w:eastAsiaTheme="minorEastAsia" w:cstheme="minorEastAsia"/>
                <w:color w:val="auto"/>
                <w:sz w:val="24"/>
                <w:szCs w:val="24"/>
                <w:vertAlign w:val="baseline"/>
                <w:lang w:val="en-US" w:eastAsia="zh-CN"/>
              </w:rPr>
            </w:pPr>
            <w:r>
              <w:rPr>
                <w:rFonts w:hint="eastAsia" w:asciiTheme="minorEastAsia" w:hAnsiTheme="minorEastAsia" w:eastAsiaTheme="minorEastAsia" w:cstheme="minorEastAsia"/>
                <w:color w:val="auto"/>
                <w:sz w:val="24"/>
                <w:szCs w:val="24"/>
                <w:vertAlign w:val="baseline"/>
                <w:lang w:val="en-US" w:eastAsia="zh-CN"/>
              </w:rPr>
              <w:t>70%</w:t>
            </w:r>
          </w:p>
        </w:tc>
        <w:tc>
          <w:tcPr>
            <w:tcW w:w="1936" w:type="dxa"/>
            <w:vMerge w:val="continue"/>
            <w:noWrap w:val="0"/>
            <w:vAlign w:val="top"/>
          </w:tcPr>
          <w:p w14:paraId="164450C7">
            <w:pPr>
              <w:keepNext w:val="0"/>
              <w:keepLines w:val="0"/>
              <w:pageBreakBefore w:val="0"/>
              <w:widowControl w:val="0"/>
              <w:numPr>
                <w:ilvl w:val="0"/>
                <w:numId w:val="0"/>
              </w:numPr>
              <w:kinsoku/>
              <w:wordWrap/>
              <w:overflowPunct w:val="0"/>
              <w:topLinePunct w:val="0"/>
              <w:bidi w:val="0"/>
              <w:spacing w:line="360" w:lineRule="auto"/>
              <w:ind w:left="0" w:leftChars="0" w:firstLine="0" w:firstLineChars="0"/>
              <w:jc w:val="both"/>
              <w:rPr>
                <w:rFonts w:hint="eastAsia" w:asciiTheme="minorEastAsia" w:hAnsiTheme="minorEastAsia" w:eastAsiaTheme="minorEastAsia" w:cstheme="minorEastAsia"/>
                <w:color w:val="auto"/>
                <w:kern w:val="2"/>
                <w:sz w:val="24"/>
                <w:szCs w:val="24"/>
                <w:vertAlign w:val="baseline"/>
                <w:lang w:val="en-US" w:eastAsia="zh-CN" w:bidi="ar-SA"/>
              </w:rPr>
            </w:pPr>
          </w:p>
        </w:tc>
      </w:tr>
      <w:tr w14:paraId="62DBD8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57" w:type="dxa"/>
            <w:vMerge w:val="restart"/>
            <w:noWrap w:val="0"/>
            <w:vAlign w:val="top"/>
          </w:tcPr>
          <w:p w14:paraId="0C2AFBE9">
            <w:pPr>
              <w:keepNext w:val="0"/>
              <w:keepLines w:val="0"/>
              <w:pageBreakBefore w:val="0"/>
              <w:widowControl w:val="0"/>
              <w:numPr>
                <w:ilvl w:val="0"/>
                <w:numId w:val="0"/>
              </w:numPr>
              <w:kinsoku/>
              <w:wordWrap/>
              <w:overflowPunct w:val="0"/>
              <w:topLinePunct w:val="0"/>
              <w:bidi w:val="0"/>
              <w:spacing w:line="360" w:lineRule="auto"/>
              <w:jc w:val="both"/>
              <w:rPr>
                <w:rFonts w:hint="eastAsia" w:asciiTheme="minorEastAsia" w:hAnsiTheme="minorEastAsia" w:eastAsiaTheme="minorEastAsia" w:cstheme="minorEastAsia"/>
                <w:color w:val="auto"/>
                <w:sz w:val="24"/>
                <w:szCs w:val="24"/>
                <w:vertAlign w:val="baseline"/>
                <w:lang w:val="en-US" w:eastAsia="zh-CN"/>
              </w:rPr>
            </w:pPr>
            <w:r>
              <w:rPr>
                <w:rFonts w:hint="eastAsia" w:asciiTheme="minorEastAsia" w:hAnsiTheme="minorEastAsia" w:eastAsiaTheme="minorEastAsia" w:cstheme="minorEastAsia"/>
                <w:color w:val="auto"/>
                <w:sz w:val="24"/>
                <w:szCs w:val="24"/>
                <w:vertAlign w:val="baseline"/>
                <w:lang w:val="en-US" w:eastAsia="zh-CN"/>
              </w:rPr>
              <w:t>非低保户的“三类人员”、脱贫户及其他农村低收入人群</w:t>
            </w:r>
          </w:p>
        </w:tc>
        <w:tc>
          <w:tcPr>
            <w:tcW w:w="1352" w:type="dxa"/>
            <w:vMerge w:val="restart"/>
            <w:noWrap w:val="0"/>
            <w:vAlign w:val="top"/>
          </w:tcPr>
          <w:p w14:paraId="65D07A1F">
            <w:pPr>
              <w:keepNext w:val="0"/>
              <w:keepLines w:val="0"/>
              <w:pageBreakBefore w:val="0"/>
              <w:widowControl w:val="0"/>
              <w:numPr>
                <w:ilvl w:val="0"/>
                <w:numId w:val="0"/>
              </w:numPr>
              <w:kinsoku/>
              <w:wordWrap/>
              <w:overflowPunct w:val="0"/>
              <w:topLinePunct w:val="0"/>
              <w:bidi w:val="0"/>
              <w:spacing w:line="360" w:lineRule="auto"/>
              <w:jc w:val="both"/>
              <w:rPr>
                <w:rFonts w:hint="eastAsia" w:asciiTheme="minorEastAsia" w:hAnsiTheme="minorEastAsia" w:eastAsiaTheme="minorEastAsia" w:cstheme="minorEastAsia"/>
                <w:color w:val="auto"/>
                <w:sz w:val="24"/>
                <w:szCs w:val="24"/>
                <w:vertAlign w:val="baseline"/>
                <w:lang w:val="en-US" w:eastAsia="zh-CN"/>
              </w:rPr>
            </w:pPr>
          </w:p>
          <w:p w14:paraId="4D0F99B2">
            <w:pPr>
              <w:keepNext w:val="0"/>
              <w:keepLines w:val="0"/>
              <w:pageBreakBefore w:val="0"/>
              <w:widowControl w:val="0"/>
              <w:numPr>
                <w:ilvl w:val="0"/>
                <w:numId w:val="0"/>
              </w:numPr>
              <w:kinsoku/>
              <w:wordWrap/>
              <w:overflowPunct w:val="0"/>
              <w:topLinePunct w:val="0"/>
              <w:bidi w:val="0"/>
              <w:spacing w:line="360" w:lineRule="auto"/>
              <w:jc w:val="center"/>
              <w:rPr>
                <w:rFonts w:hint="eastAsia" w:asciiTheme="minorEastAsia" w:hAnsiTheme="minorEastAsia" w:eastAsiaTheme="minorEastAsia" w:cstheme="minorEastAsia"/>
                <w:color w:val="auto"/>
                <w:sz w:val="24"/>
                <w:szCs w:val="24"/>
                <w:vertAlign w:val="baseline"/>
                <w:lang w:val="en-US" w:eastAsia="zh-CN"/>
              </w:rPr>
            </w:pPr>
            <w:r>
              <w:rPr>
                <w:rFonts w:hint="eastAsia" w:asciiTheme="minorEastAsia" w:hAnsiTheme="minorEastAsia" w:eastAsiaTheme="minorEastAsia" w:cstheme="minorEastAsia"/>
                <w:color w:val="auto"/>
                <w:sz w:val="24"/>
                <w:szCs w:val="24"/>
                <w:vertAlign w:val="baseline"/>
                <w:lang w:val="en-US" w:eastAsia="zh-CN"/>
              </w:rPr>
              <w:t>20000元</w:t>
            </w:r>
          </w:p>
        </w:tc>
        <w:tc>
          <w:tcPr>
            <w:tcW w:w="3245" w:type="dxa"/>
            <w:noWrap w:val="0"/>
            <w:vAlign w:val="center"/>
          </w:tcPr>
          <w:p w14:paraId="12E4A27E">
            <w:pPr>
              <w:keepNext w:val="0"/>
              <w:keepLines w:val="0"/>
              <w:pageBreakBefore w:val="0"/>
              <w:widowControl w:val="0"/>
              <w:numPr>
                <w:ilvl w:val="0"/>
                <w:numId w:val="0"/>
              </w:numPr>
              <w:kinsoku/>
              <w:wordWrap/>
              <w:overflowPunct w:val="0"/>
              <w:topLinePunct w:val="0"/>
              <w:bidi w:val="0"/>
              <w:spacing w:line="360" w:lineRule="auto"/>
              <w:jc w:val="both"/>
              <w:rPr>
                <w:rFonts w:hint="eastAsia" w:asciiTheme="minorEastAsia" w:hAnsiTheme="minorEastAsia" w:eastAsiaTheme="minorEastAsia" w:cstheme="minorEastAsia"/>
                <w:color w:val="auto"/>
                <w:sz w:val="24"/>
                <w:szCs w:val="24"/>
                <w:vertAlign w:val="baseline"/>
                <w:lang w:val="en-US" w:eastAsia="zh-CN"/>
              </w:rPr>
            </w:pPr>
            <w:r>
              <w:rPr>
                <w:rFonts w:hint="eastAsia" w:asciiTheme="minorEastAsia" w:hAnsiTheme="minorEastAsia" w:eastAsiaTheme="minorEastAsia" w:cstheme="minorEastAsia"/>
                <w:color w:val="auto"/>
                <w:sz w:val="24"/>
                <w:szCs w:val="24"/>
                <w:vertAlign w:val="baseline"/>
                <w:lang w:val="en-US" w:eastAsia="zh-CN"/>
              </w:rPr>
              <w:t>50000元以下</w:t>
            </w:r>
          </w:p>
        </w:tc>
        <w:tc>
          <w:tcPr>
            <w:tcW w:w="1286" w:type="dxa"/>
            <w:noWrap w:val="0"/>
            <w:vAlign w:val="top"/>
          </w:tcPr>
          <w:p w14:paraId="05F5A33C">
            <w:pPr>
              <w:keepNext w:val="0"/>
              <w:keepLines w:val="0"/>
              <w:pageBreakBefore w:val="0"/>
              <w:widowControl w:val="0"/>
              <w:numPr>
                <w:ilvl w:val="0"/>
                <w:numId w:val="0"/>
              </w:numPr>
              <w:kinsoku/>
              <w:wordWrap/>
              <w:overflowPunct w:val="0"/>
              <w:topLinePunct w:val="0"/>
              <w:bidi w:val="0"/>
              <w:spacing w:line="360" w:lineRule="auto"/>
              <w:ind w:left="0" w:leftChars="0" w:firstLine="0" w:firstLineChars="0"/>
              <w:jc w:val="center"/>
              <w:rPr>
                <w:rFonts w:hint="eastAsia" w:asciiTheme="minorEastAsia" w:hAnsiTheme="minorEastAsia" w:eastAsiaTheme="minorEastAsia" w:cstheme="minorEastAsia"/>
                <w:color w:val="auto"/>
                <w:kern w:val="2"/>
                <w:sz w:val="24"/>
                <w:szCs w:val="24"/>
                <w:vertAlign w:val="baseline"/>
                <w:lang w:val="en-US" w:eastAsia="zh-CN" w:bidi="ar-SA"/>
              </w:rPr>
            </w:pPr>
            <w:r>
              <w:rPr>
                <w:rFonts w:hint="eastAsia" w:asciiTheme="minorEastAsia" w:hAnsiTheme="minorEastAsia" w:eastAsiaTheme="minorEastAsia" w:cstheme="minorEastAsia"/>
                <w:color w:val="auto"/>
                <w:sz w:val="24"/>
                <w:szCs w:val="24"/>
                <w:vertAlign w:val="baseline"/>
                <w:lang w:val="en-US" w:eastAsia="zh-CN"/>
              </w:rPr>
              <w:t>50%</w:t>
            </w:r>
          </w:p>
        </w:tc>
        <w:tc>
          <w:tcPr>
            <w:tcW w:w="1936" w:type="dxa"/>
            <w:vMerge w:val="continue"/>
            <w:noWrap w:val="0"/>
            <w:vAlign w:val="top"/>
          </w:tcPr>
          <w:p w14:paraId="0D512E4A">
            <w:pPr>
              <w:keepNext w:val="0"/>
              <w:keepLines w:val="0"/>
              <w:pageBreakBefore w:val="0"/>
              <w:widowControl w:val="0"/>
              <w:numPr>
                <w:ilvl w:val="0"/>
                <w:numId w:val="0"/>
              </w:numPr>
              <w:kinsoku/>
              <w:wordWrap/>
              <w:overflowPunct w:val="0"/>
              <w:topLinePunct w:val="0"/>
              <w:bidi w:val="0"/>
              <w:spacing w:line="360" w:lineRule="auto"/>
              <w:ind w:left="0" w:leftChars="0" w:firstLine="0" w:firstLineChars="0"/>
              <w:jc w:val="both"/>
              <w:rPr>
                <w:rFonts w:hint="eastAsia" w:asciiTheme="minorEastAsia" w:hAnsiTheme="minorEastAsia" w:eastAsiaTheme="minorEastAsia" w:cstheme="minorEastAsia"/>
                <w:color w:val="auto"/>
                <w:kern w:val="2"/>
                <w:sz w:val="24"/>
                <w:szCs w:val="24"/>
                <w:vertAlign w:val="baseline"/>
                <w:lang w:val="en-US" w:eastAsia="zh-CN" w:bidi="ar-SA"/>
              </w:rPr>
            </w:pPr>
          </w:p>
        </w:tc>
      </w:tr>
      <w:tr w14:paraId="077562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57" w:type="dxa"/>
            <w:vMerge w:val="continue"/>
            <w:noWrap w:val="0"/>
            <w:vAlign w:val="top"/>
          </w:tcPr>
          <w:p w14:paraId="4BBEEBC9">
            <w:pPr>
              <w:keepNext w:val="0"/>
              <w:keepLines w:val="0"/>
              <w:pageBreakBefore w:val="0"/>
              <w:widowControl w:val="0"/>
              <w:numPr>
                <w:ilvl w:val="0"/>
                <w:numId w:val="0"/>
              </w:numPr>
              <w:kinsoku/>
              <w:wordWrap/>
              <w:overflowPunct w:val="0"/>
              <w:topLinePunct w:val="0"/>
              <w:bidi w:val="0"/>
              <w:spacing w:line="360" w:lineRule="auto"/>
              <w:jc w:val="both"/>
              <w:rPr>
                <w:rFonts w:hint="eastAsia" w:asciiTheme="minorEastAsia" w:hAnsiTheme="minorEastAsia" w:eastAsiaTheme="minorEastAsia" w:cstheme="minorEastAsia"/>
                <w:color w:val="auto"/>
                <w:sz w:val="24"/>
                <w:szCs w:val="24"/>
                <w:vertAlign w:val="baseline"/>
                <w:lang w:val="en-US" w:eastAsia="zh-CN"/>
              </w:rPr>
            </w:pPr>
          </w:p>
        </w:tc>
        <w:tc>
          <w:tcPr>
            <w:tcW w:w="1352" w:type="dxa"/>
            <w:vMerge w:val="continue"/>
            <w:noWrap w:val="0"/>
            <w:vAlign w:val="top"/>
          </w:tcPr>
          <w:p w14:paraId="1BD6E19F">
            <w:pPr>
              <w:keepNext w:val="0"/>
              <w:keepLines w:val="0"/>
              <w:pageBreakBefore w:val="0"/>
              <w:widowControl w:val="0"/>
              <w:numPr>
                <w:ilvl w:val="0"/>
                <w:numId w:val="0"/>
              </w:numPr>
              <w:kinsoku/>
              <w:wordWrap/>
              <w:overflowPunct w:val="0"/>
              <w:topLinePunct w:val="0"/>
              <w:bidi w:val="0"/>
              <w:spacing w:line="360" w:lineRule="auto"/>
              <w:jc w:val="both"/>
              <w:rPr>
                <w:rFonts w:hint="eastAsia" w:asciiTheme="minorEastAsia" w:hAnsiTheme="minorEastAsia" w:eastAsiaTheme="minorEastAsia" w:cstheme="minorEastAsia"/>
                <w:color w:val="auto"/>
                <w:sz w:val="24"/>
                <w:szCs w:val="24"/>
                <w:vertAlign w:val="baseline"/>
                <w:lang w:val="en-US" w:eastAsia="zh-CN"/>
              </w:rPr>
            </w:pPr>
          </w:p>
        </w:tc>
        <w:tc>
          <w:tcPr>
            <w:tcW w:w="3245" w:type="dxa"/>
            <w:noWrap w:val="0"/>
            <w:vAlign w:val="center"/>
          </w:tcPr>
          <w:p w14:paraId="5797153C">
            <w:pPr>
              <w:keepNext w:val="0"/>
              <w:keepLines w:val="0"/>
              <w:pageBreakBefore w:val="0"/>
              <w:widowControl w:val="0"/>
              <w:numPr>
                <w:ilvl w:val="0"/>
                <w:numId w:val="0"/>
              </w:numPr>
              <w:kinsoku/>
              <w:wordWrap/>
              <w:overflowPunct w:val="0"/>
              <w:topLinePunct w:val="0"/>
              <w:bidi w:val="0"/>
              <w:spacing w:line="360" w:lineRule="auto"/>
              <w:jc w:val="both"/>
              <w:rPr>
                <w:rFonts w:hint="eastAsia" w:asciiTheme="minorEastAsia" w:hAnsiTheme="minorEastAsia" w:eastAsiaTheme="minorEastAsia" w:cstheme="minorEastAsia"/>
                <w:color w:val="auto"/>
                <w:sz w:val="24"/>
                <w:szCs w:val="24"/>
                <w:vertAlign w:val="baseline"/>
                <w:lang w:val="en-US" w:eastAsia="zh-CN"/>
              </w:rPr>
            </w:pPr>
            <w:r>
              <w:rPr>
                <w:rFonts w:hint="eastAsia" w:asciiTheme="minorEastAsia" w:hAnsiTheme="minorEastAsia" w:eastAsiaTheme="minorEastAsia" w:cstheme="minorEastAsia"/>
                <w:color w:val="auto"/>
                <w:sz w:val="24"/>
                <w:szCs w:val="24"/>
                <w:vertAlign w:val="baseline"/>
                <w:lang w:val="en-US" w:eastAsia="zh-CN"/>
              </w:rPr>
              <w:t>50000元（含）-100000元以下</w:t>
            </w:r>
          </w:p>
        </w:tc>
        <w:tc>
          <w:tcPr>
            <w:tcW w:w="1286" w:type="dxa"/>
            <w:noWrap w:val="0"/>
            <w:vAlign w:val="top"/>
          </w:tcPr>
          <w:p w14:paraId="295C82E8">
            <w:pPr>
              <w:keepNext w:val="0"/>
              <w:keepLines w:val="0"/>
              <w:pageBreakBefore w:val="0"/>
              <w:widowControl w:val="0"/>
              <w:numPr>
                <w:ilvl w:val="0"/>
                <w:numId w:val="0"/>
              </w:numPr>
              <w:kinsoku/>
              <w:wordWrap/>
              <w:overflowPunct w:val="0"/>
              <w:topLinePunct w:val="0"/>
              <w:bidi w:val="0"/>
              <w:spacing w:line="360" w:lineRule="auto"/>
              <w:ind w:left="0" w:leftChars="0" w:firstLine="0" w:firstLineChars="0"/>
              <w:jc w:val="center"/>
              <w:rPr>
                <w:rFonts w:hint="eastAsia" w:asciiTheme="minorEastAsia" w:hAnsiTheme="minorEastAsia" w:eastAsiaTheme="minorEastAsia" w:cstheme="minorEastAsia"/>
                <w:color w:val="auto"/>
                <w:kern w:val="2"/>
                <w:sz w:val="24"/>
                <w:szCs w:val="24"/>
                <w:vertAlign w:val="baseline"/>
                <w:lang w:val="en-US" w:eastAsia="zh-CN" w:bidi="ar-SA"/>
              </w:rPr>
            </w:pPr>
            <w:r>
              <w:rPr>
                <w:rFonts w:hint="eastAsia" w:asciiTheme="minorEastAsia" w:hAnsiTheme="minorEastAsia" w:eastAsiaTheme="minorEastAsia" w:cstheme="minorEastAsia"/>
                <w:color w:val="auto"/>
                <w:sz w:val="24"/>
                <w:szCs w:val="24"/>
                <w:vertAlign w:val="baseline"/>
                <w:lang w:val="en-US" w:eastAsia="zh-CN"/>
              </w:rPr>
              <w:t>60%</w:t>
            </w:r>
          </w:p>
        </w:tc>
        <w:tc>
          <w:tcPr>
            <w:tcW w:w="1936" w:type="dxa"/>
            <w:vMerge w:val="continue"/>
            <w:noWrap w:val="0"/>
            <w:vAlign w:val="top"/>
          </w:tcPr>
          <w:p w14:paraId="2D69BFA9">
            <w:pPr>
              <w:keepNext w:val="0"/>
              <w:keepLines w:val="0"/>
              <w:pageBreakBefore w:val="0"/>
              <w:widowControl w:val="0"/>
              <w:numPr>
                <w:ilvl w:val="0"/>
                <w:numId w:val="0"/>
              </w:numPr>
              <w:kinsoku/>
              <w:wordWrap/>
              <w:overflowPunct w:val="0"/>
              <w:topLinePunct w:val="0"/>
              <w:bidi w:val="0"/>
              <w:spacing w:line="360" w:lineRule="auto"/>
              <w:jc w:val="both"/>
              <w:rPr>
                <w:rFonts w:hint="eastAsia" w:asciiTheme="minorEastAsia" w:hAnsiTheme="minorEastAsia" w:eastAsiaTheme="minorEastAsia" w:cstheme="minorEastAsia"/>
                <w:color w:val="auto"/>
                <w:sz w:val="24"/>
                <w:szCs w:val="24"/>
                <w:vertAlign w:val="baseline"/>
                <w:lang w:val="en-US" w:eastAsia="zh-CN"/>
              </w:rPr>
            </w:pPr>
          </w:p>
        </w:tc>
      </w:tr>
      <w:tr w14:paraId="28AAA6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57" w:type="dxa"/>
            <w:vMerge w:val="continue"/>
            <w:noWrap w:val="0"/>
            <w:vAlign w:val="top"/>
          </w:tcPr>
          <w:p w14:paraId="1951C5AD">
            <w:pPr>
              <w:keepNext w:val="0"/>
              <w:keepLines w:val="0"/>
              <w:pageBreakBefore w:val="0"/>
              <w:widowControl w:val="0"/>
              <w:numPr>
                <w:ilvl w:val="0"/>
                <w:numId w:val="0"/>
              </w:numPr>
              <w:kinsoku/>
              <w:wordWrap/>
              <w:overflowPunct w:val="0"/>
              <w:topLinePunct w:val="0"/>
              <w:bidi w:val="0"/>
              <w:spacing w:line="360" w:lineRule="auto"/>
              <w:jc w:val="both"/>
              <w:rPr>
                <w:rFonts w:hint="eastAsia" w:asciiTheme="minorEastAsia" w:hAnsiTheme="minorEastAsia" w:eastAsiaTheme="minorEastAsia" w:cstheme="minorEastAsia"/>
                <w:color w:val="auto"/>
                <w:sz w:val="24"/>
                <w:szCs w:val="24"/>
                <w:vertAlign w:val="baseline"/>
                <w:lang w:val="en-US" w:eastAsia="zh-CN"/>
              </w:rPr>
            </w:pPr>
          </w:p>
        </w:tc>
        <w:tc>
          <w:tcPr>
            <w:tcW w:w="1352" w:type="dxa"/>
            <w:vMerge w:val="continue"/>
            <w:noWrap w:val="0"/>
            <w:vAlign w:val="top"/>
          </w:tcPr>
          <w:p w14:paraId="1CD7C869">
            <w:pPr>
              <w:keepNext w:val="0"/>
              <w:keepLines w:val="0"/>
              <w:pageBreakBefore w:val="0"/>
              <w:widowControl w:val="0"/>
              <w:numPr>
                <w:ilvl w:val="0"/>
                <w:numId w:val="0"/>
              </w:numPr>
              <w:kinsoku/>
              <w:wordWrap/>
              <w:overflowPunct w:val="0"/>
              <w:topLinePunct w:val="0"/>
              <w:bidi w:val="0"/>
              <w:spacing w:line="360" w:lineRule="auto"/>
              <w:jc w:val="both"/>
              <w:rPr>
                <w:rFonts w:hint="eastAsia" w:asciiTheme="minorEastAsia" w:hAnsiTheme="minorEastAsia" w:eastAsiaTheme="minorEastAsia" w:cstheme="minorEastAsia"/>
                <w:color w:val="auto"/>
                <w:sz w:val="24"/>
                <w:szCs w:val="24"/>
                <w:vertAlign w:val="baseline"/>
                <w:lang w:val="en-US" w:eastAsia="zh-CN"/>
              </w:rPr>
            </w:pPr>
          </w:p>
        </w:tc>
        <w:tc>
          <w:tcPr>
            <w:tcW w:w="3245" w:type="dxa"/>
            <w:noWrap w:val="0"/>
            <w:vAlign w:val="center"/>
          </w:tcPr>
          <w:p w14:paraId="122F3026">
            <w:pPr>
              <w:keepNext w:val="0"/>
              <w:keepLines w:val="0"/>
              <w:pageBreakBefore w:val="0"/>
              <w:widowControl w:val="0"/>
              <w:numPr>
                <w:ilvl w:val="0"/>
                <w:numId w:val="0"/>
              </w:numPr>
              <w:kinsoku/>
              <w:wordWrap/>
              <w:overflowPunct w:val="0"/>
              <w:topLinePunct w:val="0"/>
              <w:bidi w:val="0"/>
              <w:spacing w:line="360" w:lineRule="auto"/>
              <w:jc w:val="both"/>
              <w:rPr>
                <w:rFonts w:hint="eastAsia" w:asciiTheme="minorEastAsia" w:hAnsiTheme="minorEastAsia" w:eastAsiaTheme="minorEastAsia" w:cstheme="minorEastAsia"/>
                <w:color w:val="auto"/>
                <w:sz w:val="24"/>
                <w:szCs w:val="24"/>
                <w:vertAlign w:val="baseline"/>
                <w:lang w:val="en-US" w:eastAsia="zh-CN"/>
              </w:rPr>
            </w:pPr>
            <w:r>
              <w:rPr>
                <w:rFonts w:hint="eastAsia" w:asciiTheme="minorEastAsia" w:hAnsiTheme="minorEastAsia" w:eastAsiaTheme="minorEastAsia" w:cstheme="minorEastAsia"/>
                <w:color w:val="auto"/>
                <w:sz w:val="24"/>
                <w:szCs w:val="24"/>
                <w:vertAlign w:val="baseline"/>
                <w:lang w:val="en-US" w:eastAsia="zh-CN"/>
              </w:rPr>
              <w:t>100000元以上</w:t>
            </w:r>
          </w:p>
        </w:tc>
        <w:tc>
          <w:tcPr>
            <w:tcW w:w="1286" w:type="dxa"/>
            <w:noWrap w:val="0"/>
            <w:vAlign w:val="top"/>
          </w:tcPr>
          <w:p w14:paraId="639C3AA9">
            <w:pPr>
              <w:keepNext w:val="0"/>
              <w:keepLines w:val="0"/>
              <w:pageBreakBefore w:val="0"/>
              <w:widowControl w:val="0"/>
              <w:numPr>
                <w:ilvl w:val="0"/>
                <w:numId w:val="0"/>
              </w:numPr>
              <w:kinsoku/>
              <w:wordWrap/>
              <w:overflowPunct w:val="0"/>
              <w:topLinePunct w:val="0"/>
              <w:bidi w:val="0"/>
              <w:spacing w:line="360" w:lineRule="auto"/>
              <w:ind w:left="0" w:leftChars="0" w:firstLine="0" w:firstLineChars="0"/>
              <w:jc w:val="center"/>
              <w:rPr>
                <w:rFonts w:hint="eastAsia" w:asciiTheme="minorEastAsia" w:hAnsiTheme="minorEastAsia" w:eastAsiaTheme="minorEastAsia" w:cstheme="minorEastAsia"/>
                <w:color w:val="auto"/>
                <w:kern w:val="2"/>
                <w:sz w:val="24"/>
                <w:szCs w:val="24"/>
                <w:vertAlign w:val="baseline"/>
                <w:lang w:val="en-US" w:eastAsia="zh-CN" w:bidi="ar-SA"/>
              </w:rPr>
            </w:pPr>
            <w:r>
              <w:rPr>
                <w:rFonts w:hint="eastAsia" w:asciiTheme="minorEastAsia" w:hAnsiTheme="minorEastAsia" w:eastAsiaTheme="minorEastAsia" w:cstheme="minorEastAsia"/>
                <w:color w:val="auto"/>
                <w:sz w:val="24"/>
                <w:szCs w:val="24"/>
                <w:vertAlign w:val="baseline"/>
                <w:lang w:val="en-US" w:eastAsia="zh-CN"/>
              </w:rPr>
              <w:t>70%</w:t>
            </w:r>
          </w:p>
        </w:tc>
        <w:tc>
          <w:tcPr>
            <w:tcW w:w="1936" w:type="dxa"/>
            <w:vMerge w:val="continue"/>
            <w:noWrap w:val="0"/>
            <w:vAlign w:val="top"/>
          </w:tcPr>
          <w:p w14:paraId="61942AAF">
            <w:pPr>
              <w:keepNext w:val="0"/>
              <w:keepLines w:val="0"/>
              <w:pageBreakBefore w:val="0"/>
              <w:widowControl w:val="0"/>
              <w:numPr>
                <w:ilvl w:val="0"/>
                <w:numId w:val="0"/>
              </w:numPr>
              <w:kinsoku/>
              <w:wordWrap/>
              <w:overflowPunct w:val="0"/>
              <w:topLinePunct w:val="0"/>
              <w:bidi w:val="0"/>
              <w:spacing w:line="360" w:lineRule="auto"/>
              <w:jc w:val="both"/>
              <w:rPr>
                <w:rFonts w:hint="eastAsia" w:asciiTheme="minorEastAsia" w:hAnsiTheme="minorEastAsia" w:eastAsiaTheme="minorEastAsia" w:cstheme="minorEastAsia"/>
                <w:color w:val="auto"/>
                <w:sz w:val="24"/>
                <w:szCs w:val="24"/>
                <w:vertAlign w:val="baseline"/>
                <w:lang w:val="en-US" w:eastAsia="zh-CN"/>
              </w:rPr>
            </w:pPr>
          </w:p>
        </w:tc>
      </w:tr>
      <w:tr w14:paraId="1674A9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676" w:type="dxa"/>
            <w:gridSpan w:val="5"/>
            <w:noWrap w:val="0"/>
            <w:vAlign w:val="top"/>
          </w:tcPr>
          <w:p w14:paraId="3789FE35">
            <w:pPr>
              <w:keepNext w:val="0"/>
              <w:keepLines w:val="0"/>
              <w:pageBreakBefore w:val="0"/>
              <w:widowControl w:val="0"/>
              <w:numPr>
                <w:ilvl w:val="0"/>
                <w:numId w:val="0"/>
              </w:numPr>
              <w:kinsoku/>
              <w:wordWrap/>
              <w:overflowPunct w:val="0"/>
              <w:topLinePunct w:val="0"/>
              <w:bidi w:val="0"/>
              <w:spacing w:line="360" w:lineRule="auto"/>
              <w:jc w:val="center"/>
              <w:rPr>
                <w:rFonts w:hint="eastAsia" w:asciiTheme="minorEastAsia" w:hAnsiTheme="minorEastAsia" w:eastAsiaTheme="minorEastAsia" w:cstheme="minorEastAsia"/>
                <w:color w:val="auto"/>
                <w:sz w:val="24"/>
                <w:szCs w:val="24"/>
                <w:vertAlign w:val="baseline"/>
                <w:lang w:val="en-US" w:eastAsia="zh-CN"/>
              </w:rPr>
            </w:pPr>
            <w:r>
              <w:rPr>
                <w:rFonts w:hint="eastAsia" w:asciiTheme="minorEastAsia" w:hAnsiTheme="minorEastAsia" w:eastAsiaTheme="minorEastAsia" w:cstheme="minorEastAsia"/>
                <w:color w:val="auto"/>
                <w:sz w:val="24"/>
                <w:szCs w:val="24"/>
                <w:vertAlign w:val="baseline"/>
                <w:lang w:val="en-US" w:eastAsia="zh-CN"/>
              </w:rPr>
              <w:t>（二）因学防贫教育保险金</w:t>
            </w:r>
          </w:p>
        </w:tc>
      </w:tr>
      <w:tr w14:paraId="0E0F06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57" w:type="dxa"/>
            <w:noWrap w:val="0"/>
            <w:vAlign w:val="center"/>
          </w:tcPr>
          <w:p w14:paraId="5A5B70A9">
            <w:pPr>
              <w:keepNext w:val="0"/>
              <w:keepLines w:val="0"/>
              <w:pageBreakBefore w:val="0"/>
              <w:widowControl w:val="0"/>
              <w:numPr>
                <w:ilvl w:val="0"/>
                <w:numId w:val="0"/>
              </w:numPr>
              <w:kinsoku/>
              <w:wordWrap/>
              <w:overflowPunct w:val="0"/>
              <w:topLinePunct w:val="0"/>
              <w:bidi w:val="0"/>
              <w:spacing w:line="360" w:lineRule="auto"/>
              <w:ind w:left="0" w:leftChars="0" w:firstLine="0" w:firstLineChars="0"/>
              <w:jc w:val="center"/>
              <w:rPr>
                <w:rFonts w:hint="eastAsia" w:asciiTheme="minorEastAsia" w:hAnsiTheme="minorEastAsia" w:eastAsiaTheme="minorEastAsia" w:cstheme="minorEastAsia"/>
                <w:color w:val="auto"/>
                <w:kern w:val="2"/>
                <w:sz w:val="24"/>
                <w:szCs w:val="24"/>
                <w:vertAlign w:val="baseline"/>
                <w:lang w:val="en-US" w:eastAsia="zh-CN" w:bidi="ar-SA"/>
              </w:rPr>
            </w:pPr>
            <w:r>
              <w:rPr>
                <w:rFonts w:hint="eastAsia" w:asciiTheme="minorEastAsia" w:hAnsiTheme="minorEastAsia" w:eastAsiaTheme="minorEastAsia" w:cstheme="minorEastAsia"/>
                <w:color w:val="auto"/>
                <w:sz w:val="24"/>
                <w:szCs w:val="24"/>
                <w:vertAlign w:val="baseline"/>
                <w:lang w:val="en-US" w:eastAsia="zh-CN"/>
              </w:rPr>
              <w:t>保障对象</w:t>
            </w:r>
          </w:p>
        </w:tc>
        <w:tc>
          <w:tcPr>
            <w:tcW w:w="1352" w:type="dxa"/>
            <w:noWrap w:val="0"/>
            <w:vAlign w:val="center"/>
          </w:tcPr>
          <w:p w14:paraId="77B5FEA9">
            <w:pPr>
              <w:keepNext w:val="0"/>
              <w:keepLines w:val="0"/>
              <w:pageBreakBefore w:val="0"/>
              <w:widowControl w:val="0"/>
              <w:numPr>
                <w:ilvl w:val="0"/>
                <w:numId w:val="0"/>
              </w:numPr>
              <w:kinsoku/>
              <w:wordWrap/>
              <w:overflowPunct w:val="0"/>
              <w:topLinePunct w:val="0"/>
              <w:bidi w:val="0"/>
              <w:spacing w:line="360" w:lineRule="auto"/>
              <w:jc w:val="center"/>
              <w:rPr>
                <w:rFonts w:hint="eastAsia" w:asciiTheme="minorEastAsia" w:hAnsiTheme="minorEastAsia" w:eastAsiaTheme="minorEastAsia" w:cstheme="minorEastAsia"/>
                <w:color w:val="auto"/>
                <w:sz w:val="24"/>
                <w:szCs w:val="24"/>
                <w:vertAlign w:val="baseline"/>
                <w:lang w:val="en-US" w:eastAsia="zh-CN"/>
              </w:rPr>
            </w:pPr>
            <w:r>
              <w:rPr>
                <w:rFonts w:hint="eastAsia" w:asciiTheme="minorEastAsia" w:hAnsiTheme="minorEastAsia" w:eastAsiaTheme="minorEastAsia" w:cstheme="minorEastAsia"/>
                <w:color w:val="auto"/>
                <w:sz w:val="24"/>
                <w:szCs w:val="24"/>
                <w:vertAlign w:val="baseline"/>
                <w:lang w:val="en-US" w:eastAsia="zh-CN"/>
              </w:rPr>
              <w:t>起付线</w:t>
            </w:r>
          </w:p>
          <w:p w14:paraId="35FECAF5">
            <w:pPr>
              <w:keepNext w:val="0"/>
              <w:keepLines w:val="0"/>
              <w:pageBreakBefore w:val="0"/>
              <w:widowControl w:val="0"/>
              <w:numPr>
                <w:ilvl w:val="0"/>
                <w:numId w:val="0"/>
              </w:numPr>
              <w:kinsoku/>
              <w:wordWrap/>
              <w:overflowPunct w:val="0"/>
              <w:topLinePunct w:val="0"/>
              <w:bidi w:val="0"/>
              <w:spacing w:line="360" w:lineRule="auto"/>
              <w:ind w:left="0" w:leftChars="0" w:firstLine="0" w:firstLineChars="0"/>
              <w:jc w:val="center"/>
              <w:rPr>
                <w:rFonts w:hint="eastAsia" w:asciiTheme="minorEastAsia" w:hAnsiTheme="minorEastAsia" w:eastAsiaTheme="minorEastAsia" w:cstheme="minorEastAsia"/>
                <w:color w:val="auto"/>
                <w:kern w:val="2"/>
                <w:sz w:val="24"/>
                <w:szCs w:val="24"/>
                <w:vertAlign w:val="baseline"/>
                <w:lang w:val="en-US" w:eastAsia="zh-CN" w:bidi="ar-SA"/>
              </w:rPr>
            </w:pPr>
            <w:r>
              <w:rPr>
                <w:rFonts w:hint="eastAsia" w:asciiTheme="minorEastAsia" w:hAnsiTheme="minorEastAsia" w:eastAsiaTheme="minorEastAsia" w:cstheme="minorEastAsia"/>
                <w:color w:val="auto"/>
                <w:sz w:val="24"/>
                <w:szCs w:val="24"/>
                <w:vertAlign w:val="baseline"/>
                <w:lang w:val="en-US" w:eastAsia="zh-CN"/>
              </w:rPr>
              <w:t>（元/次.人）</w:t>
            </w:r>
          </w:p>
        </w:tc>
        <w:tc>
          <w:tcPr>
            <w:tcW w:w="3245" w:type="dxa"/>
            <w:noWrap w:val="0"/>
            <w:vAlign w:val="center"/>
          </w:tcPr>
          <w:p w14:paraId="2CC1BE37">
            <w:pPr>
              <w:keepNext w:val="0"/>
              <w:keepLines w:val="0"/>
              <w:pageBreakBefore w:val="0"/>
              <w:widowControl w:val="0"/>
              <w:numPr>
                <w:ilvl w:val="0"/>
                <w:numId w:val="0"/>
              </w:numPr>
              <w:kinsoku/>
              <w:wordWrap/>
              <w:overflowPunct w:val="0"/>
              <w:topLinePunct w:val="0"/>
              <w:bidi w:val="0"/>
              <w:spacing w:line="360" w:lineRule="auto"/>
              <w:ind w:left="0" w:leftChars="0" w:firstLine="0" w:firstLineChars="0"/>
              <w:jc w:val="center"/>
              <w:rPr>
                <w:rFonts w:hint="eastAsia" w:asciiTheme="minorEastAsia" w:hAnsiTheme="minorEastAsia" w:eastAsiaTheme="minorEastAsia" w:cstheme="minorEastAsia"/>
                <w:color w:val="auto"/>
                <w:kern w:val="2"/>
                <w:sz w:val="24"/>
                <w:szCs w:val="24"/>
                <w:vertAlign w:val="baseline"/>
                <w:lang w:val="en-US" w:eastAsia="zh-CN" w:bidi="ar-SA"/>
              </w:rPr>
            </w:pPr>
            <w:r>
              <w:rPr>
                <w:rFonts w:hint="eastAsia" w:asciiTheme="minorEastAsia" w:hAnsiTheme="minorEastAsia" w:eastAsiaTheme="minorEastAsia" w:cstheme="minorEastAsia"/>
                <w:color w:val="auto"/>
                <w:sz w:val="24"/>
                <w:szCs w:val="24"/>
                <w:vertAlign w:val="baseline"/>
                <w:lang w:val="en-US" w:eastAsia="zh-CN"/>
              </w:rPr>
              <w:t>超出起付线以上教育金支出</w:t>
            </w:r>
          </w:p>
        </w:tc>
        <w:tc>
          <w:tcPr>
            <w:tcW w:w="1286" w:type="dxa"/>
            <w:noWrap w:val="0"/>
            <w:vAlign w:val="center"/>
          </w:tcPr>
          <w:p w14:paraId="60A2E32F">
            <w:pPr>
              <w:keepNext w:val="0"/>
              <w:keepLines w:val="0"/>
              <w:pageBreakBefore w:val="0"/>
              <w:widowControl w:val="0"/>
              <w:numPr>
                <w:ilvl w:val="0"/>
                <w:numId w:val="0"/>
              </w:numPr>
              <w:kinsoku/>
              <w:wordWrap/>
              <w:overflowPunct w:val="0"/>
              <w:topLinePunct w:val="0"/>
              <w:bidi w:val="0"/>
              <w:spacing w:line="360" w:lineRule="auto"/>
              <w:ind w:left="0" w:leftChars="0" w:firstLine="0" w:firstLineChars="0"/>
              <w:jc w:val="center"/>
              <w:rPr>
                <w:rFonts w:hint="eastAsia" w:asciiTheme="minorEastAsia" w:hAnsiTheme="minorEastAsia" w:eastAsiaTheme="minorEastAsia" w:cstheme="minorEastAsia"/>
                <w:color w:val="auto"/>
                <w:kern w:val="2"/>
                <w:sz w:val="24"/>
                <w:szCs w:val="24"/>
                <w:vertAlign w:val="baseline"/>
                <w:lang w:val="en-US" w:eastAsia="zh-CN" w:bidi="ar-SA"/>
              </w:rPr>
            </w:pPr>
            <w:r>
              <w:rPr>
                <w:rFonts w:hint="eastAsia" w:asciiTheme="minorEastAsia" w:hAnsiTheme="minorEastAsia" w:eastAsiaTheme="minorEastAsia" w:cstheme="minorEastAsia"/>
                <w:color w:val="auto"/>
                <w:sz w:val="24"/>
                <w:szCs w:val="24"/>
                <w:vertAlign w:val="baseline"/>
                <w:lang w:val="en-US" w:eastAsia="zh-CN"/>
              </w:rPr>
              <w:t>赔偿比例</w:t>
            </w:r>
          </w:p>
        </w:tc>
        <w:tc>
          <w:tcPr>
            <w:tcW w:w="1936" w:type="dxa"/>
            <w:noWrap w:val="0"/>
            <w:vAlign w:val="center"/>
          </w:tcPr>
          <w:p w14:paraId="67D95C0D">
            <w:pPr>
              <w:keepNext w:val="0"/>
              <w:keepLines w:val="0"/>
              <w:pageBreakBefore w:val="0"/>
              <w:widowControl w:val="0"/>
              <w:numPr>
                <w:ilvl w:val="0"/>
                <w:numId w:val="0"/>
              </w:numPr>
              <w:kinsoku/>
              <w:wordWrap/>
              <w:overflowPunct w:val="0"/>
              <w:topLinePunct w:val="0"/>
              <w:bidi w:val="0"/>
              <w:spacing w:line="360" w:lineRule="auto"/>
              <w:ind w:left="0" w:leftChars="0" w:firstLine="0" w:firstLineChars="0"/>
              <w:jc w:val="center"/>
              <w:rPr>
                <w:rFonts w:hint="eastAsia" w:asciiTheme="minorEastAsia" w:hAnsiTheme="minorEastAsia" w:eastAsiaTheme="minorEastAsia" w:cstheme="minorEastAsia"/>
                <w:color w:val="auto"/>
                <w:kern w:val="2"/>
                <w:sz w:val="24"/>
                <w:szCs w:val="24"/>
                <w:vertAlign w:val="baseline"/>
                <w:lang w:val="en-US" w:eastAsia="zh-CN" w:bidi="ar-SA"/>
              </w:rPr>
            </w:pPr>
            <w:r>
              <w:rPr>
                <w:rFonts w:hint="eastAsia" w:asciiTheme="minorEastAsia" w:hAnsiTheme="minorEastAsia" w:eastAsiaTheme="minorEastAsia" w:cstheme="minorEastAsia"/>
                <w:color w:val="auto"/>
                <w:sz w:val="24"/>
                <w:szCs w:val="24"/>
                <w:vertAlign w:val="baseline"/>
                <w:lang w:val="en-US" w:eastAsia="zh-CN"/>
              </w:rPr>
              <w:t>备注</w:t>
            </w:r>
          </w:p>
        </w:tc>
      </w:tr>
      <w:tr w14:paraId="1E43F7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57" w:type="dxa"/>
            <w:vMerge w:val="restart"/>
            <w:noWrap w:val="0"/>
            <w:vAlign w:val="center"/>
          </w:tcPr>
          <w:p w14:paraId="78BD9A13">
            <w:pPr>
              <w:keepNext w:val="0"/>
              <w:keepLines w:val="0"/>
              <w:pageBreakBefore w:val="0"/>
              <w:widowControl w:val="0"/>
              <w:numPr>
                <w:ilvl w:val="0"/>
                <w:numId w:val="0"/>
              </w:numPr>
              <w:kinsoku/>
              <w:wordWrap/>
              <w:overflowPunct w:val="0"/>
              <w:topLinePunct w:val="0"/>
              <w:bidi w:val="0"/>
              <w:spacing w:line="360" w:lineRule="auto"/>
              <w:jc w:val="center"/>
              <w:rPr>
                <w:rFonts w:hint="eastAsia" w:asciiTheme="minorEastAsia" w:hAnsiTheme="minorEastAsia" w:eastAsiaTheme="minorEastAsia" w:cstheme="minorEastAsia"/>
                <w:color w:val="auto"/>
                <w:sz w:val="24"/>
                <w:szCs w:val="24"/>
                <w:vertAlign w:val="baseline"/>
                <w:lang w:val="en-US" w:eastAsia="zh-CN"/>
              </w:rPr>
            </w:pPr>
            <w:r>
              <w:rPr>
                <w:rFonts w:hint="eastAsia" w:asciiTheme="minorEastAsia" w:hAnsiTheme="minorEastAsia" w:eastAsiaTheme="minorEastAsia" w:cstheme="minorEastAsia"/>
                <w:color w:val="auto"/>
                <w:sz w:val="24"/>
                <w:szCs w:val="24"/>
                <w:vertAlign w:val="baseline"/>
                <w:lang w:val="en-US" w:eastAsia="zh-CN"/>
              </w:rPr>
              <w:t>“三类人员”、脱贫及其他农村低收入人群”</w:t>
            </w:r>
          </w:p>
        </w:tc>
        <w:tc>
          <w:tcPr>
            <w:tcW w:w="1352" w:type="dxa"/>
            <w:vMerge w:val="restart"/>
            <w:noWrap w:val="0"/>
            <w:vAlign w:val="center"/>
          </w:tcPr>
          <w:p w14:paraId="5FE2BFF9">
            <w:pPr>
              <w:keepNext w:val="0"/>
              <w:keepLines w:val="0"/>
              <w:pageBreakBefore w:val="0"/>
              <w:widowControl w:val="0"/>
              <w:numPr>
                <w:ilvl w:val="0"/>
                <w:numId w:val="0"/>
              </w:numPr>
              <w:kinsoku/>
              <w:wordWrap/>
              <w:overflowPunct w:val="0"/>
              <w:topLinePunct w:val="0"/>
              <w:bidi w:val="0"/>
              <w:spacing w:line="360" w:lineRule="auto"/>
              <w:jc w:val="center"/>
              <w:rPr>
                <w:rFonts w:hint="eastAsia" w:asciiTheme="minorEastAsia" w:hAnsiTheme="minorEastAsia" w:eastAsiaTheme="minorEastAsia" w:cstheme="minorEastAsia"/>
                <w:color w:val="auto"/>
                <w:sz w:val="24"/>
                <w:szCs w:val="24"/>
                <w:vertAlign w:val="baseline"/>
                <w:lang w:val="en-US" w:eastAsia="zh-CN"/>
              </w:rPr>
            </w:pPr>
            <w:r>
              <w:rPr>
                <w:rFonts w:hint="eastAsia" w:asciiTheme="minorEastAsia" w:hAnsiTheme="minorEastAsia" w:eastAsiaTheme="minorEastAsia" w:cstheme="minorEastAsia"/>
                <w:color w:val="auto"/>
                <w:sz w:val="24"/>
                <w:szCs w:val="24"/>
                <w:vertAlign w:val="baseline"/>
                <w:lang w:val="en-US" w:eastAsia="zh-CN"/>
              </w:rPr>
              <w:t>5000元</w:t>
            </w:r>
          </w:p>
        </w:tc>
        <w:tc>
          <w:tcPr>
            <w:tcW w:w="3245" w:type="dxa"/>
            <w:noWrap w:val="0"/>
            <w:vAlign w:val="center"/>
          </w:tcPr>
          <w:p w14:paraId="76E8CBA7">
            <w:pPr>
              <w:keepNext w:val="0"/>
              <w:keepLines w:val="0"/>
              <w:pageBreakBefore w:val="0"/>
              <w:widowControl w:val="0"/>
              <w:numPr>
                <w:ilvl w:val="0"/>
                <w:numId w:val="0"/>
              </w:numPr>
              <w:kinsoku/>
              <w:wordWrap/>
              <w:overflowPunct w:val="0"/>
              <w:topLinePunct w:val="0"/>
              <w:bidi w:val="0"/>
              <w:spacing w:line="360" w:lineRule="auto"/>
              <w:jc w:val="center"/>
              <w:rPr>
                <w:rFonts w:hint="eastAsia" w:asciiTheme="minorEastAsia" w:hAnsiTheme="minorEastAsia" w:eastAsiaTheme="minorEastAsia" w:cstheme="minorEastAsia"/>
                <w:color w:val="auto"/>
                <w:sz w:val="24"/>
                <w:szCs w:val="24"/>
                <w:vertAlign w:val="baseline"/>
                <w:lang w:val="en-US" w:eastAsia="zh-CN"/>
              </w:rPr>
            </w:pPr>
            <w:r>
              <w:rPr>
                <w:rFonts w:hint="eastAsia" w:asciiTheme="minorEastAsia" w:hAnsiTheme="minorEastAsia" w:eastAsiaTheme="minorEastAsia" w:cstheme="minorEastAsia"/>
                <w:color w:val="auto"/>
                <w:sz w:val="24"/>
                <w:szCs w:val="24"/>
                <w:vertAlign w:val="baseline"/>
                <w:lang w:val="en-US" w:eastAsia="zh-CN"/>
              </w:rPr>
              <w:t>3000元以下</w:t>
            </w:r>
          </w:p>
        </w:tc>
        <w:tc>
          <w:tcPr>
            <w:tcW w:w="1286" w:type="dxa"/>
            <w:noWrap w:val="0"/>
            <w:vAlign w:val="center"/>
          </w:tcPr>
          <w:p w14:paraId="17F9D409">
            <w:pPr>
              <w:keepNext w:val="0"/>
              <w:keepLines w:val="0"/>
              <w:pageBreakBefore w:val="0"/>
              <w:widowControl w:val="0"/>
              <w:numPr>
                <w:ilvl w:val="0"/>
                <w:numId w:val="0"/>
              </w:numPr>
              <w:kinsoku/>
              <w:wordWrap/>
              <w:overflowPunct w:val="0"/>
              <w:topLinePunct w:val="0"/>
              <w:bidi w:val="0"/>
              <w:spacing w:line="360" w:lineRule="auto"/>
              <w:jc w:val="center"/>
              <w:rPr>
                <w:rFonts w:hint="eastAsia" w:asciiTheme="minorEastAsia" w:hAnsiTheme="minorEastAsia" w:eastAsiaTheme="minorEastAsia" w:cstheme="minorEastAsia"/>
                <w:color w:val="auto"/>
                <w:sz w:val="24"/>
                <w:szCs w:val="24"/>
                <w:vertAlign w:val="baseline"/>
                <w:lang w:val="en-US" w:eastAsia="zh-CN"/>
              </w:rPr>
            </w:pPr>
            <w:r>
              <w:rPr>
                <w:rFonts w:hint="eastAsia" w:asciiTheme="minorEastAsia" w:hAnsiTheme="minorEastAsia" w:eastAsiaTheme="minorEastAsia" w:cstheme="minorEastAsia"/>
                <w:color w:val="auto"/>
                <w:sz w:val="24"/>
                <w:szCs w:val="24"/>
                <w:vertAlign w:val="baseline"/>
                <w:lang w:val="en-US" w:eastAsia="zh-CN"/>
              </w:rPr>
              <w:t>100%</w:t>
            </w:r>
          </w:p>
        </w:tc>
        <w:tc>
          <w:tcPr>
            <w:tcW w:w="1936" w:type="dxa"/>
            <w:vMerge w:val="restart"/>
            <w:noWrap w:val="0"/>
            <w:vAlign w:val="center"/>
          </w:tcPr>
          <w:p w14:paraId="76F16E5A">
            <w:pPr>
              <w:keepNext w:val="0"/>
              <w:keepLines w:val="0"/>
              <w:pageBreakBefore w:val="0"/>
              <w:widowControl w:val="0"/>
              <w:numPr>
                <w:ilvl w:val="0"/>
                <w:numId w:val="0"/>
              </w:numPr>
              <w:kinsoku/>
              <w:wordWrap/>
              <w:overflowPunct w:val="0"/>
              <w:topLinePunct w:val="0"/>
              <w:bidi w:val="0"/>
              <w:spacing w:line="360" w:lineRule="auto"/>
              <w:jc w:val="center"/>
              <w:rPr>
                <w:rFonts w:hint="eastAsia" w:asciiTheme="minorEastAsia" w:hAnsiTheme="minorEastAsia" w:eastAsiaTheme="minorEastAsia" w:cstheme="minorEastAsia"/>
                <w:color w:val="auto"/>
                <w:sz w:val="24"/>
                <w:szCs w:val="24"/>
                <w:vertAlign w:val="baseline"/>
                <w:lang w:val="en-US" w:eastAsia="zh-CN"/>
              </w:rPr>
            </w:pPr>
            <w:r>
              <w:rPr>
                <w:rFonts w:hint="eastAsia" w:asciiTheme="minorEastAsia" w:hAnsiTheme="minorEastAsia" w:eastAsiaTheme="minorEastAsia" w:cstheme="minorEastAsia"/>
                <w:color w:val="auto"/>
                <w:sz w:val="24"/>
                <w:szCs w:val="24"/>
                <w:vertAlign w:val="baseline"/>
                <w:lang w:val="en-US" w:eastAsia="zh-CN"/>
              </w:rPr>
              <w:t>最高每户限额不超过2万元</w:t>
            </w:r>
          </w:p>
        </w:tc>
      </w:tr>
      <w:tr w14:paraId="1587D9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57" w:type="dxa"/>
            <w:vMerge w:val="continue"/>
            <w:noWrap w:val="0"/>
            <w:vAlign w:val="top"/>
          </w:tcPr>
          <w:p w14:paraId="0726796E">
            <w:pPr>
              <w:keepNext w:val="0"/>
              <w:keepLines w:val="0"/>
              <w:pageBreakBefore w:val="0"/>
              <w:widowControl w:val="0"/>
              <w:numPr>
                <w:ilvl w:val="0"/>
                <w:numId w:val="0"/>
              </w:numPr>
              <w:kinsoku/>
              <w:wordWrap/>
              <w:overflowPunct w:val="0"/>
              <w:topLinePunct w:val="0"/>
              <w:bidi w:val="0"/>
              <w:spacing w:line="360" w:lineRule="auto"/>
              <w:jc w:val="both"/>
              <w:rPr>
                <w:rFonts w:hint="eastAsia" w:asciiTheme="minorEastAsia" w:hAnsiTheme="minorEastAsia" w:eastAsiaTheme="minorEastAsia" w:cstheme="minorEastAsia"/>
                <w:color w:val="auto"/>
                <w:sz w:val="24"/>
                <w:szCs w:val="24"/>
                <w:vertAlign w:val="baseline"/>
                <w:lang w:val="en-US" w:eastAsia="zh-CN"/>
              </w:rPr>
            </w:pPr>
          </w:p>
        </w:tc>
        <w:tc>
          <w:tcPr>
            <w:tcW w:w="1352" w:type="dxa"/>
            <w:vMerge w:val="continue"/>
            <w:noWrap w:val="0"/>
            <w:vAlign w:val="top"/>
          </w:tcPr>
          <w:p w14:paraId="7D8F6CFE">
            <w:pPr>
              <w:keepNext w:val="0"/>
              <w:keepLines w:val="0"/>
              <w:pageBreakBefore w:val="0"/>
              <w:widowControl w:val="0"/>
              <w:numPr>
                <w:ilvl w:val="0"/>
                <w:numId w:val="0"/>
              </w:numPr>
              <w:kinsoku/>
              <w:wordWrap/>
              <w:overflowPunct w:val="0"/>
              <w:topLinePunct w:val="0"/>
              <w:bidi w:val="0"/>
              <w:spacing w:line="360" w:lineRule="auto"/>
              <w:jc w:val="both"/>
              <w:rPr>
                <w:rFonts w:hint="eastAsia" w:asciiTheme="minorEastAsia" w:hAnsiTheme="minorEastAsia" w:eastAsiaTheme="minorEastAsia" w:cstheme="minorEastAsia"/>
                <w:color w:val="auto"/>
                <w:sz w:val="24"/>
                <w:szCs w:val="24"/>
                <w:vertAlign w:val="baseline"/>
                <w:lang w:val="en-US" w:eastAsia="zh-CN"/>
              </w:rPr>
            </w:pPr>
          </w:p>
        </w:tc>
        <w:tc>
          <w:tcPr>
            <w:tcW w:w="3245" w:type="dxa"/>
            <w:noWrap w:val="0"/>
            <w:vAlign w:val="top"/>
          </w:tcPr>
          <w:p w14:paraId="2CA96685">
            <w:pPr>
              <w:keepNext w:val="0"/>
              <w:keepLines w:val="0"/>
              <w:pageBreakBefore w:val="0"/>
              <w:widowControl w:val="0"/>
              <w:numPr>
                <w:ilvl w:val="0"/>
                <w:numId w:val="0"/>
              </w:numPr>
              <w:kinsoku/>
              <w:wordWrap/>
              <w:overflowPunct w:val="0"/>
              <w:topLinePunct w:val="0"/>
              <w:bidi w:val="0"/>
              <w:spacing w:line="360" w:lineRule="auto"/>
              <w:jc w:val="both"/>
              <w:rPr>
                <w:rFonts w:hint="eastAsia" w:asciiTheme="minorEastAsia" w:hAnsiTheme="minorEastAsia" w:eastAsiaTheme="minorEastAsia" w:cstheme="minorEastAsia"/>
                <w:color w:val="auto"/>
                <w:sz w:val="24"/>
                <w:szCs w:val="24"/>
                <w:vertAlign w:val="baseline"/>
                <w:lang w:val="en-US" w:eastAsia="zh-CN"/>
              </w:rPr>
            </w:pPr>
            <w:r>
              <w:rPr>
                <w:rFonts w:hint="eastAsia" w:asciiTheme="minorEastAsia" w:hAnsiTheme="minorEastAsia" w:eastAsiaTheme="minorEastAsia" w:cstheme="minorEastAsia"/>
                <w:color w:val="auto"/>
                <w:sz w:val="24"/>
                <w:szCs w:val="24"/>
                <w:vertAlign w:val="baseline"/>
                <w:lang w:val="en-US" w:eastAsia="zh-CN"/>
              </w:rPr>
              <w:t>3000元（含）-5000元以下</w:t>
            </w:r>
          </w:p>
        </w:tc>
        <w:tc>
          <w:tcPr>
            <w:tcW w:w="1286" w:type="dxa"/>
            <w:noWrap w:val="0"/>
            <w:vAlign w:val="top"/>
          </w:tcPr>
          <w:p w14:paraId="6887549F">
            <w:pPr>
              <w:keepNext w:val="0"/>
              <w:keepLines w:val="0"/>
              <w:pageBreakBefore w:val="0"/>
              <w:widowControl w:val="0"/>
              <w:numPr>
                <w:ilvl w:val="0"/>
                <w:numId w:val="0"/>
              </w:numPr>
              <w:kinsoku/>
              <w:wordWrap/>
              <w:overflowPunct w:val="0"/>
              <w:topLinePunct w:val="0"/>
              <w:bidi w:val="0"/>
              <w:spacing w:line="360" w:lineRule="auto"/>
              <w:jc w:val="center"/>
              <w:rPr>
                <w:rFonts w:hint="eastAsia" w:asciiTheme="minorEastAsia" w:hAnsiTheme="minorEastAsia" w:eastAsiaTheme="minorEastAsia" w:cstheme="minorEastAsia"/>
                <w:color w:val="auto"/>
                <w:sz w:val="24"/>
                <w:szCs w:val="24"/>
                <w:vertAlign w:val="baseline"/>
                <w:lang w:val="en-US" w:eastAsia="zh-CN"/>
              </w:rPr>
            </w:pPr>
            <w:r>
              <w:rPr>
                <w:rFonts w:hint="eastAsia" w:asciiTheme="minorEastAsia" w:hAnsiTheme="minorEastAsia" w:eastAsiaTheme="minorEastAsia" w:cstheme="minorEastAsia"/>
                <w:color w:val="auto"/>
                <w:sz w:val="24"/>
                <w:szCs w:val="24"/>
                <w:vertAlign w:val="baseline"/>
                <w:lang w:val="en-US" w:eastAsia="zh-CN"/>
              </w:rPr>
              <w:t>80%</w:t>
            </w:r>
          </w:p>
        </w:tc>
        <w:tc>
          <w:tcPr>
            <w:tcW w:w="1936" w:type="dxa"/>
            <w:vMerge w:val="continue"/>
            <w:noWrap w:val="0"/>
            <w:vAlign w:val="top"/>
          </w:tcPr>
          <w:p w14:paraId="61DD63A3">
            <w:pPr>
              <w:keepNext w:val="0"/>
              <w:keepLines w:val="0"/>
              <w:pageBreakBefore w:val="0"/>
              <w:widowControl w:val="0"/>
              <w:numPr>
                <w:ilvl w:val="0"/>
                <w:numId w:val="0"/>
              </w:numPr>
              <w:kinsoku/>
              <w:wordWrap/>
              <w:overflowPunct w:val="0"/>
              <w:topLinePunct w:val="0"/>
              <w:bidi w:val="0"/>
              <w:spacing w:line="360" w:lineRule="auto"/>
              <w:jc w:val="both"/>
              <w:rPr>
                <w:rFonts w:hint="eastAsia" w:asciiTheme="minorEastAsia" w:hAnsiTheme="minorEastAsia" w:eastAsiaTheme="minorEastAsia" w:cstheme="minorEastAsia"/>
                <w:color w:val="auto"/>
                <w:sz w:val="24"/>
                <w:szCs w:val="24"/>
                <w:vertAlign w:val="baseline"/>
                <w:lang w:val="en-US" w:eastAsia="zh-CN"/>
              </w:rPr>
            </w:pPr>
          </w:p>
        </w:tc>
      </w:tr>
      <w:tr w14:paraId="32AAD7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57" w:type="dxa"/>
            <w:vMerge w:val="continue"/>
            <w:noWrap w:val="0"/>
            <w:vAlign w:val="top"/>
          </w:tcPr>
          <w:p w14:paraId="7E3713A2">
            <w:pPr>
              <w:keepNext w:val="0"/>
              <w:keepLines w:val="0"/>
              <w:pageBreakBefore w:val="0"/>
              <w:widowControl w:val="0"/>
              <w:numPr>
                <w:ilvl w:val="0"/>
                <w:numId w:val="0"/>
              </w:numPr>
              <w:kinsoku/>
              <w:wordWrap/>
              <w:overflowPunct w:val="0"/>
              <w:topLinePunct w:val="0"/>
              <w:bidi w:val="0"/>
              <w:spacing w:line="360" w:lineRule="auto"/>
              <w:jc w:val="both"/>
              <w:rPr>
                <w:rFonts w:hint="eastAsia" w:asciiTheme="minorEastAsia" w:hAnsiTheme="minorEastAsia" w:eastAsiaTheme="minorEastAsia" w:cstheme="minorEastAsia"/>
                <w:color w:val="auto"/>
                <w:sz w:val="24"/>
                <w:szCs w:val="24"/>
                <w:vertAlign w:val="baseline"/>
                <w:lang w:val="en-US" w:eastAsia="zh-CN"/>
              </w:rPr>
            </w:pPr>
          </w:p>
        </w:tc>
        <w:tc>
          <w:tcPr>
            <w:tcW w:w="1352" w:type="dxa"/>
            <w:vMerge w:val="continue"/>
            <w:noWrap w:val="0"/>
            <w:vAlign w:val="top"/>
          </w:tcPr>
          <w:p w14:paraId="0F011FEA">
            <w:pPr>
              <w:keepNext w:val="0"/>
              <w:keepLines w:val="0"/>
              <w:pageBreakBefore w:val="0"/>
              <w:widowControl w:val="0"/>
              <w:numPr>
                <w:ilvl w:val="0"/>
                <w:numId w:val="0"/>
              </w:numPr>
              <w:kinsoku/>
              <w:wordWrap/>
              <w:overflowPunct w:val="0"/>
              <w:topLinePunct w:val="0"/>
              <w:bidi w:val="0"/>
              <w:spacing w:line="360" w:lineRule="auto"/>
              <w:jc w:val="both"/>
              <w:rPr>
                <w:rFonts w:hint="eastAsia" w:asciiTheme="minorEastAsia" w:hAnsiTheme="minorEastAsia" w:eastAsiaTheme="minorEastAsia" w:cstheme="minorEastAsia"/>
                <w:color w:val="auto"/>
                <w:sz w:val="24"/>
                <w:szCs w:val="24"/>
                <w:vertAlign w:val="baseline"/>
                <w:lang w:val="en-US" w:eastAsia="zh-CN"/>
              </w:rPr>
            </w:pPr>
          </w:p>
        </w:tc>
        <w:tc>
          <w:tcPr>
            <w:tcW w:w="3245" w:type="dxa"/>
            <w:noWrap w:val="0"/>
            <w:vAlign w:val="top"/>
          </w:tcPr>
          <w:p w14:paraId="1D7E68AE">
            <w:pPr>
              <w:keepNext w:val="0"/>
              <w:keepLines w:val="0"/>
              <w:pageBreakBefore w:val="0"/>
              <w:widowControl w:val="0"/>
              <w:numPr>
                <w:ilvl w:val="0"/>
                <w:numId w:val="0"/>
              </w:numPr>
              <w:kinsoku/>
              <w:wordWrap/>
              <w:overflowPunct w:val="0"/>
              <w:topLinePunct w:val="0"/>
              <w:bidi w:val="0"/>
              <w:spacing w:line="360" w:lineRule="auto"/>
              <w:jc w:val="both"/>
              <w:rPr>
                <w:rFonts w:hint="eastAsia" w:asciiTheme="minorEastAsia" w:hAnsiTheme="minorEastAsia" w:eastAsiaTheme="minorEastAsia" w:cstheme="minorEastAsia"/>
                <w:color w:val="auto"/>
                <w:sz w:val="24"/>
                <w:szCs w:val="24"/>
                <w:vertAlign w:val="baseline"/>
                <w:lang w:val="en-US" w:eastAsia="zh-CN"/>
              </w:rPr>
            </w:pPr>
            <w:r>
              <w:rPr>
                <w:rFonts w:hint="eastAsia" w:asciiTheme="minorEastAsia" w:hAnsiTheme="minorEastAsia" w:eastAsiaTheme="minorEastAsia" w:cstheme="minorEastAsia"/>
                <w:color w:val="auto"/>
                <w:sz w:val="24"/>
                <w:szCs w:val="24"/>
                <w:vertAlign w:val="baseline"/>
                <w:lang w:val="en-US" w:eastAsia="zh-CN"/>
              </w:rPr>
              <w:t>5000元以上</w:t>
            </w:r>
          </w:p>
        </w:tc>
        <w:tc>
          <w:tcPr>
            <w:tcW w:w="1286" w:type="dxa"/>
            <w:noWrap w:val="0"/>
            <w:vAlign w:val="top"/>
          </w:tcPr>
          <w:p w14:paraId="57B598F8">
            <w:pPr>
              <w:keepNext w:val="0"/>
              <w:keepLines w:val="0"/>
              <w:pageBreakBefore w:val="0"/>
              <w:widowControl w:val="0"/>
              <w:numPr>
                <w:ilvl w:val="0"/>
                <w:numId w:val="0"/>
              </w:numPr>
              <w:kinsoku/>
              <w:wordWrap/>
              <w:overflowPunct w:val="0"/>
              <w:topLinePunct w:val="0"/>
              <w:bidi w:val="0"/>
              <w:spacing w:line="360" w:lineRule="auto"/>
              <w:jc w:val="center"/>
              <w:rPr>
                <w:rFonts w:hint="eastAsia" w:asciiTheme="minorEastAsia" w:hAnsiTheme="minorEastAsia" w:eastAsiaTheme="minorEastAsia" w:cstheme="minorEastAsia"/>
                <w:color w:val="auto"/>
                <w:sz w:val="24"/>
                <w:szCs w:val="24"/>
                <w:vertAlign w:val="baseline"/>
                <w:lang w:val="en-US" w:eastAsia="zh-CN"/>
              </w:rPr>
            </w:pPr>
            <w:r>
              <w:rPr>
                <w:rFonts w:hint="eastAsia" w:asciiTheme="minorEastAsia" w:hAnsiTheme="minorEastAsia" w:eastAsiaTheme="minorEastAsia" w:cstheme="minorEastAsia"/>
                <w:color w:val="auto"/>
                <w:sz w:val="24"/>
                <w:szCs w:val="24"/>
                <w:vertAlign w:val="baseline"/>
                <w:lang w:val="en-US" w:eastAsia="zh-CN"/>
              </w:rPr>
              <w:t>60%</w:t>
            </w:r>
          </w:p>
        </w:tc>
        <w:tc>
          <w:tcPr>
            <w:tcW w:w="1936" w:type="dxa"/>
            <w:vMerge w:val="continue"/>
            <w:noWrap w:val="0"/>
            <w:vAlign w:val="top"/>
          </w:tcPr>
          <w:p w14:paraId="3F2677F4">
            <w:pPr>
              <w:keepNext w:val="0"/>
              <w:keepLines w:val="0"/>
              <w:pageBreakBefore w:val="0"/>
              <w:widowControl w:val="0"/>
              <w:numPr>
                <w:ilvl w:val="0"/>
                <w:numId w:val="0"/>
              </w:numPr>
              <w:kinsoku/>
              <w:wordWrap/>
              <w:overflowPunct w:val="0"/>
              <w:topLinePunct w:val="0"/>
              <w:bidi w:val="0"/>
              <w:spacing w:line="360" w:lineRule="auto"/>
              <w:jc w:val="both"/>
              <w:rPr>
                <w:rFonts w:hint="eastAsia" w:asciiTheme="minorEastAsia" w:hAnsiTheme="minorEastAsia" w:eastAsiaTheme="minorEastAsia" w:cstheme="minorEastAsia"/>
                <w:color w:val="auto"/>
                <w:sz w:val="24"/>
                <w:szCs w:val="24"/>
                <w:vertAlign w:val="baseline"/>
                <w:lang w:val="en-US" w:eastAsia="zh-CN"/>
              </w:rPr>
            </w:pPr>
          </w:p>
        </w:tc>
      </w:tr>
      <w:tr w14:paraId="399E40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676" w:type="dxa"/>
            <w:gridSpan w:val="5"/>
            <w:noWrap w:val="0"/>
            <w:vAlign w:val="top"/>
          </w:tcPr>
          <w:p w14:paraId="26B2D122">
            <w:pPr>
              <w:keepNext w:val="0"/>
              <w:keepLines w:val="0"/>
              <w:pageBreakBefore w:val="0"/>
              <w:widowControl w:val="0"/>
              <w:numPr>
                <w:ilvl w:val="0"/>
                <w:numId w:val="0"/>
              </w:numPr>
              <w:kinsoku/>
              <w:wordWrap/>
              <w:overflowPunct w:val="0"/>
              <w:topLinePunct w:val="0"/>
              <w:bidi w:val="0"/>
              <w:spacing w:line="360" w:lineRule="auto"/>
              <w:jc w:val="center"/>
              <w:rPr>
                <w:rFonts w:hint="eastAsia" w:asciiTheme="minorEastAsia" w:hAnsiTheme="minorEastAsia" w:eastAsiaTheme="minorEastAsia" w:cstheme="minorEastAsia"/>
                <w:color w:val="auto"/>
                <w:sz w:val="24"/>
                <w:szCs w:val="24"/>
                <w:vertAlign w:val="baseline"/>
                <w:lang w:val="en-US" w:eastAsia="zh-CN"/>
              </w:rPr>
            </w:pPr>
            <w:r>
              <w:rPr>
                <w:rFonts w:hint="eastAsia" w:asciiTheme="minorEastAsia" w:hAnsiTheme="minorEastAsia" w:eastAsiaTheme="minorEastAsia" w:cstheme="minorEastAsia"/>
                <w:color w:val="auto"/>
                <w:sz w:val="24"/>
                <w:szCs w:val="24"/>
                <w:vertAlign w:val="baseline"/>
                <w:lang w:val="en-US" w:eastAsia="zh-CN"/>
              </w:rPr>
              <w:t>（三）因灾、因丧失劳动力防贫保险金</w:t>
            </w:r>
          </w:p>
        </w:tc>
      </w:tr>
      <w:tr w14:paraId="74CA5A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676" w:type="dxa"/>
            <w:gridSpan w:val="5"/>
            <w:noWrap w:val="0"/>
            <w:vAlign w:val="top"/>
          </w:tcPr>
          <w:p w14:paraId="1CF9A547">
            <w:pPr>
              <w:keepNext w:val="0"/>
              <w:keepLines w:val="0"/>
              <w:pageBreakBefore w:val="0"/>
              <w:widowControl w:val="0"/>
              <w:numPr>
                <w:ilvl w:val="0"/>
                <w:numId w:val="0"/>
              </w:numPr>
              <w:kinsoku/>
              <w:wordWrap/>
              <w:overflowPunct w:val="0"/>
              <w:topLinePunct w:val="0"/>
              <w:bidi w:val="0"/>
              <w:spacing w:line="360" w:lineRule="auto"/>
              <w:jc w:val="center"/>
              <w:rPr>
                <w:rFonts w:hint="eastAsia" w:asciiTheme="minorEastAsia" w:hAnsiTheme="minorEastAsia" w:eastAsiaTheme="minorEastAsia" w:cstheme="minorEastAsia"/>
                <w:color w:val="auto"/>
                <w:sz w:val="24"/>
                <w:szCs w:val="24"/>
                <w:vertAlign w:val="baseline"/>
                <w:lang w:val="en-US" w:eastAsia="zh-CN"/>
              </w:rPr>
            </w:pPr>
            <w:r>
              <w:rPr>
                <w:rFonts w:hint="eastAsia" w:asciiTheme="minorEastAsia" w:hAnsiTheme="minorEastAsia" w:eastAsiaTheme="minorEastAsia" w:cstheme="minorEastAsia"/>
                <w:color w:val="auto"/>
                <w:sz w:val="24"/>
                <w:szCs w:val="24"/>
                <w:vertAlign w:val="baseline"/>
                <w:lang w:val="en-US" w:eastAsia="zh-CN"/>
              </w:rPr>
              <w:t>自然灾害类防贫保险金</w:t>
            </w:r>
          </w:p>
        </w:tc>
      </w:tr>
      <w:tr w14:paraId="50C743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57" w:type="dxa"/>
            <w:noWrap w:val="0"/>
            <w:vAlign w:val="center"/>
          </w:tcPr>
          <w:p w14:paraId="3FB3E260">
            <w:pPr>
              <w:keepNext w:val="0"/>
              <w:keepLines w:val="0"/>
              <w:pageBreakBefore w:val="0"/>
              <w:widowControl w:val="0"/>
              <w:numPr>
                <w:ilvl w:val="0"/>
                <w:numId w:val="0"/>
              </w:numPr>
              <w:kinsoku/>
              <w:wordWrap/>
              <w:overflowPunct w:val="0"/>
              <w:topLinePunct w:val="0"/>
              <w:bidi w:val="0"/>
              <w:spacing w:line="360" w:lineRule="auto"/>
              <w:ind w:left="0" w:leftChars="0" w:firstLine="0" w:firstLineChars="0"/>
              <w:jc w:val="center"/>
              <w:rPr>
                <w:rFonts w:hint="eastAsia" w:asciiTheme="minorEastAsia" w:hAnsiTheme="minorEastAsia" w:eastAsiaTheme="minorEastAsia" w:cstheme="minorEastAsia"/>
                <w:color w:val="auto"/>
                <w:kern w:val="2"/>
                <w:sz w:val="24"/>
                <w:szCs w:val="24"/>
                <w:vertAlign w:val="baseline"/>
                <w:lang w:val="en-US" w:eastAsia="zh-CN" w:bidi="ar-SA"/>
              </w:rPr>
            </w:pPr>
            <w:r>
              <w:rPr>
                <w:rFonts w:hint="eastAsia" w:asciiTheme="minorEastAsia" w:hAnsiTheme="minorEastAsia" w:eastAsiaTheme="minorEastAsia" w:cstheme="minorEastAsia"/>
                <w:color w:val="auto"/>
                <w:sz w:val="24"/>
                <w:szCs w:val="24"/>
                <w:vertAlign w:val="baseline"/>
                <w:lang w:val="en-US" w:eastAsia="zh-CN"/>
              </w:rPr>
              <w:t>保障对象</w:t>
            </w:r>
          </w:p>
        </w:tc>
        <w:tc>
          <w:tcPr>
            <w:tcW w:w="1352" w:type="dxa"/>
            <w:noWrap w:val="0"/>
            <w:vAlign w:val="center"/>
          </w:tcPr>
          <w:p w14:paraId="67F7C379">
            <w:pPr>
              <w:keepNext w:val="0"/>
              <w:keepLines w:val="0"/>
              <w:pageBreakBefore w:val="0"/>
              <w:widowControl w:val="0"/>
              <w:numPr>
                <w:ilvl w:val="0"/>
                <w:numId w:val="0"/>
              </w:numPr>
              <w:kinsoku/>
              <w:wordWrap/>
              <w:overflowPunct w:val="0"/>
              <w:topLinePunct w:val="0"/>
              <w:bidi w:val="0"/>
              <w:spacing w:line="360" w:lineRule="auto"/>
              <w:jc w:val="center"/>
              <w:rPr>
                <w:rFonts w:hint="eastAsia" w:asciiTheme="minorEastAsia" w:hAnsiTheme="minorEastAsia" w:eastAsiaTheme="minorEastAsia" w:cstheme="minorEastAsia"/>
                <w:color w:val="auto"/>
                <w:sz w:val="24"/>
                <w:szCs w:val="24"/>
                <w:vertAlign w:val="baseline"/>
                <w:lang w:val="en-US" w:eastAsia="zh-CN"/>
              </w:rPr>
            </w:pPr>
            <w:r>
              <w:rPr>
                <w:rFonts w:hint="eastAsia" w:asciiTheme="minorEastAsia" w:hAnsiTheme="minorEastAsia" w:eastAsiaTheme="minorEastAsia" w:cstheme="minorEastAsia"/>
                <w:color w:val="auto"/>
                <w:sz w:val="24"/>
                <w:szCs w:val="24"/>
                <w:vertAlign w:val="baseline"/>
                <w:lang w:val="en-US" w:eastAsia="zh-CN"/>
              </w:rPr>
              <w:t>起付线</w:t>
            </w:r>
          </w:p>
          <w:p w14:paraId="3D30A2CC">
            <w:pPr>
              <w:keepNext w:val="0"/>
              <w:keepLines w:val="0"/>
              <w:pageBreakBefore w:val="0"/>
              <w:widowControl w:val="0"/>
              <w:numPr>
                <w:ilvl w:val="0"/>
                <w:numId w:val="0"/>
              </w:numPr>
              <w:kinsoku/>
              <w:wordWrap/>
              <w:overflowPunct w:val="0"/>
              <w:topLinePunct w:val="0"/>
              <w:bidi w:val="0"/>
              <w:spacing w:line="360" w:lineRule="auto"/>
              <w:ind w:left="0" w:leftChars="0" w:firstLine="0" w:firstLineChars="0"/>
              <w:jc w:val="center"/>
              <w:rPr>
                <w:rFonts w:hint="eastAsia" w:asciiTheme="minorEastAsia" w:hAnsiTheme="minorEastAsia" w:eastAsiaTheme="minorEastAsia" w:cstheme="minorEastAsia"/>
                <w:color w:val="auto"/>
                <w:kern w:val="2"/>
                <w:sz w:val="24"/>
                <w:szCs w:val="24"/>
                <w:vertAlign w:val="baseline"/>
                <w:lang w:val="en-US" w:eastAsia="zh-CN" w:bidi="ar-SA"/>
              </w:rPr>
            </w:pPr>
            <w:r>
              <w:rPr>
                <w:rFonts w:hint="eastAsia" w:asciiTheme="minorEastAsia" w:hAnsiTheme="minorEastAsia" w:eastAsiaTheme="minorEastAsia" w:cstheme="minorEastAsia"/>
                <w:color w:val="auto"/>
                <w:sz w:val="24"/>
                <w:szCs w:val="24"/>
                <w:vertAlign w:val="baseline"/>
                <w:lang w:val="en-US" w:eastAsia="zh-CN"/>
              </w:rPr>
              <w:t>（元/次.人）</w:t>
            </w:r>
          </w:p>
        </w:tc>
        <w:tc>
          <w:tcPr>
            <w:tcW w:w="3245" w:type="dxa"/>
            <w:noWrap w:val="0"/>
            <w:vAlign w:val="center"/>
          </w:tcPr>
          <w:p w14:paraId="10EE80FC">
            <w:pPr>
              <w:keepNext w:val="0"/>
              <w:keepLines w:val="0"/>
              <w:pageBreakBefore w:val="0"/>
              <w:widowControl w:val="0"/>
              <w:numPr>
                <w:ilvl w:val="0"/>
                <w:numId w:val="0"/>
              </w:numPr>
              <w:kinsoku/>
              <w:wordWrap/>
              <w:overflowPunct w:val="0"/>
              <w:topLinePunct w:val="0"/>
              <w:bidi w:val="0"/>
              <w:spacing w:line="360" w:lineRule="auto"/>
              <w:ind w:left="0" w:leftChars="0" w:firstLine="0" w:firstLineChars="0"/>
              <w:jc w:val="center"/>
              <w:rPr>
                <w:rFonts w:hint="eastAsia" w:asciiTheme="minorEastAsia" w:hAnsiTheme="minorEastAsia" w:eastAsiaTheme="minorEastAsia" w:cstheme="minorEastAsia"/>
                <w:color w:val="auto"/>
                <w:kern w:val="2"/>
                <w:sz w:val="24"/>
                <w:szCs w:val="24"/>
                <w:vertAlign w:val="baseline"/>
                <w:lang w:val="en-US" w:eastAsia="zh-CN" w:bidi="ar-SA"/>
              </w:rPr>
            </w:pPr>
            <w:r>
              <w:rPr>
                <w:rFonts w:hint="eastAsia" w:asciiTheme="minorEastAsia" w:hAnsiTheme="minorEastAsia" w:eastAsiaTheme="minorEastAsia" w:cstheme="minorEastAsia"/>
                <w:color w:val="auto"/>
                <w:sz w:val="24"/>
                <w:szCs w:val="24"/>
                <w:vertAlign w:val="baseline"/>
                <w:lang w:val="en-US" w:eastAsia="zh-CN"/>
              </w:rPr>
              <w:t>超出起付线以上家庭财产损失金额</w:t>
            </w:r>
          </w:p>
        </w:tc>
        <w:tc>
          <w:tcPr>
            <w:tcW w:w="1286" w:type="dxa"/>
            <w:noWrap w:val="0"/>
            <w:vAlign w:val="center"/>
          </w:tcPr>
          <w:p w14:paraId="434B28D0">
            <w:pPr>
              <w:keepNext w:val="0"/>
              <w:keepLines w:val="0"/>
              <w:pageBreakBefore w:val="0"/>
              <w:widowControl w:val="0"/>
              <w:numPr>
                <w:ilvl w:val="0"/>
                <w:numId w:val="0"/>
              </w:numPr>
              <w:kinsoku/>
              <w:wordWrap/>
              <w:overflowPunct w:val="0"/>
              <w:topLinePunct w:val="0"/>
              <w:bidi w:val="0"/>
              <w:spacing w:line="360" w:lineRule="auto"/>
              <w:ind w:left="0" w:leftChars="0" w:firstLine="0" w:firstLineChars="0"/>
              <w:jc w:val="center"/>
              <w:rPr>
                <w:rFonts w:hint="eastAsia" w:asciiTheme="minorEastAsia" w:hAnsiTheme="minorEastAsia" w:eastAsiaTheme="minorEastAsia" w:cstheme="minorEastAsia"/>
                <w:color w:val="auto"/>
                <w:kern w:val="2"/>
                <w:sz w:val="24"/>
                <w:szCs w:val="24"/>
                <w:vertAlign w:val="baseline"/>
                <w:lang w:val="en-US" w:eastAsia="zh-CN" w:bidi="ar-SA"/>
              </w:rPr>
            </w:pPr>
            <w:r>
              <w:rPr>
                <w:rFonts w:hint="eastAsia" w:asciiTheme="minorEastAsia" w:hAnsiTheme="minorEastAsia" w:eastAsiaTheme="minorEastAsia" w:cstheme="minorEastAsia"/>
                <w:color w:val="auto"/>
                <w:sz w:val="24"/>
                <w:szCs w:val="24"/>
                <w:vertAlign w:val="baseline"/>
                <w:lang w:val="en-US" w:eastAsia="zh-CN"/>
              </w:rPr>
              <w:t>赔偿比例</w:t>
            </w:r>
          </w:p>
        </w:tc>
        <w:tc>
          <w:tcPr>
            <w:tcW w:w="1936" w:type="dxa"/>
            <w:noWrap w:val="0"/>
            <w:vAlign w:val="center"/>
          </w:tcPr>
          <w:p w14:paraId="6E6C314F">
            <w:pPr>
              <w:keepNext w:val="0"/>
              <w:keepLines w:val="0"/>
              <w:pageBreakBefore w:val="0"/>
              <w:widowControl w:val="0"/>
              <w:numPr>
                <w:ilvl w:val="0"/>
                <w:numId w:val="0"/>
              </w:numPr>
              <w:kinsoku/>
              <w:wordWrap/>
              <w:overflowPunct w:val="0"/>
              <w:topLinePunct w:val="0"/>
              <w:bidi w:val="0"/>
              <w:spacing w:line="360" w:lineRule="auto"/>
              <w:ind w:left="0" w:leftChars="0" w:firstLine="0" w:firstLineChars="0"/>
              <w:jc w:val="center"/>
              <w:rPr>
                <w:rFonts w:hint="eastAsia" w:asciiTheme="minorEastAsia" w:hAnsiTheme="minorEastAsia" w:eastAsiaTheme="minorEastAsia" w:cstheme="minorEastAsia"/>
                <w:color w:val="auto"/>
                <w:kern w:val="2"/>
                <w:sz w:val="24"/>
                <w:szCs w:val="24"/>
                <w:vertAlign w:val="baseline"/>
                <w:lang w:val="en-US" w:eastAsia="zh-CN" w:bidi="ar-SA"/>
              </w:rPr>
            </w:pPr>
            <w:r>
              <w:rPr>
                <w:rFonts w:hint="eastAsia" w:asciiTheme="minorEastAsia" w:hAnsiTheme="minorEastAsia" w:eastAsiaTheme="minorEastAsia" w:cstheme="minorEastAsia"/>
                <w:color w:val="auto"/>
                <w:sz w:val="24"/>
                <w:szCs w:val="24"/>
                <w:vertAlign w:val="baseline"/>
                <w:lang w:val="en-US" w:eastAsia="zh-CN"/>
              </w:rPr>
              <w:t>备注</w:t>
            </w:r>
          </w:p>
        </w:tc>
      </w:tr>
      <w:tr w14:paraId="3EE1E3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57" w:type="dxa"/>
            <w:vMerge w:val="restart"/>
            <w:noWrap w:val="0"/>
            <w:vAlign w:val="center"/>
          </w:tcPr>
          <w:p w14:paraId="7FC0078A">
            <w:pPr>
              <w:keepNext w:val="0"/>
              <w:keepLines w:val="0"/>
              <w:pageBreakBefore w:val="0"/>
              <w:widowControl w:val="0"/>
              <w:numPr>
                <w:ilvl w:val="0"/>
                <w:numId w:val="0"/>
              </w:numPr>
              <w:kinsoku/>
              <w:wordWrap/>
              <w:overflowPunct w:val="0"/>
              <w:topLinePunct w:val="0"/>
              <w:bidi w:val="0"/>
              <w:spacing w:line="360" w:lineRule="auto"/>
              <w:jc w:val="center"/>
              <w:rPr>
                <w:rFonts w:hint="eastAsia" w:asciiTheme="minorEastAsia" w:hAnsiTheme="minorEastAsia" w:eastAsiaTheme="minorEastAsia" w:cstheme="minorEastAsia"/>
                <w:color w:val="auto"/>
                <w:sz w:val="24"/>
                <w:szCs w:val="24"/>
                <w:vertAlign w:val="baseline"/>
                <w:lang w:val="en-US" w:eastAsia="zh-CN"/>
              </w:rPr>
            </w:pPr>
            <w:r>
              <w:rPr>
                <w:rFonts w:hint="eastAsia" w:asciiTheme="minorEastAsia" w:hAnsiTheme="minorEastAsia" w:eastAsiaTheme="minorEastAsia" w:cstheme="minorEastAsia"/>
                <w:color w:val="auto"/>
                <w:sz w:val="24"/>
                <w:szCs w:val="24"/>
                <w:vertAlign w:val="baseline"/>
                <w:lang w:val="en-US" w:eastAsia="zh-CN"/>
              </w:rPr>
              <w:t>“三类人员”、脱贫及其他农村低收入人群”</w:t>
            </w:r>
          </w:p>
        </w:tc>
        <w:tc>
          <w:tcPr>
            <w:tcW w:w="1352" w:type="dxa"/>
            <w:vMerge w:val="restart"/>
            <w:noWrap w:val="0"/>
            <w:vAlign w:val="center"/>
          </w:tcPr>
          <w:p w14:paraId="413D77B2">
            <w:pPr>
              <w:keepNext w:val="0"/>
              <w:keepLines w:val="0"/>
              <w:pageBreakBefore w:val="0"/>
              <w:widowControl w:val="0"/>
              <w:numPr>
                <w:ilvl w:val="0"/>
                <w:numId w:val="0"/>
              </w:numPr>
              <w:kinsoku/>
              <w:wordWrap/>
              <w:overflowPunct w:val="0"/>
              <w:topLinePunct w:val="0"/>
              <w:bidi w:val="0"/>
              <w:spacing w:line="360" w:lineRule="auto"/>
              <w:jc w:val="center"/>
              <w:rPr>
                <w:rFonts w:hint="eastAsia" w:asciiTheme="minorEastAsia" w:hAnsiTheme="minorEastAsia" w:eastAsiaTheme="minorEastAsia" w:cstheme="minorEastAsia"/>
                <w:color w:val="auto"/>
                <w:sz w:val="24"/>
                <w:szCs w:val="24"/>
                <w:vertAlign w:val="baseline"/>
                <w:lang w:val="en-US" w:eastAsia="zh-CN"/>
              </w:rPr>
            </w:pPr>
            <w:r>
              <w:rPr>
                <w:rFonts w:hint="eastAsia" w:asciiTheme="minorEastAsia" w:hAnsiTheme="minorEastAsia" w:eastAsiaTheme="minorEastAsia" w:cstheme="minorEastAsia"/>
                <w:color w:val="auto"/>
                <w:sz w:val="24"/>
                <w:szCs w:val="24"/>
                <w:vertAlign w:val="baseline"/>
                <w:lang w:val="en-US" w:eastAsia="zh-CN"/>
              </w:rPr>
              <w:t>10000元</w:t>
            </w:r>
          </w:p>
        </w:tc>
        <w:tc>
          <w:tcPr>
            <w:tcW w:w="3245" w:type="dxa"/>
            <w:noWrap w:val="0"/>
            <w:vAlign w:val="center"/>
          </w:tcPr>
          <w:p w14:paraId="0E18E2DE">
            <w:pPr>
              <w:keepNext w:val="0"/>
              <w:keepLines w:val="0"/>
              <w:pageBreakBefore w:val="0"/>
              <w:widowControl w:val="0"/>
              <w:numPr>
                <w:ilvl w:val="0"/>
                <w:numId w:val="0"/>
              </w:numPr>
              <w:kinsoku/>
              <w:wordWrap/>
              <w:overflowPunct w:val="0"/>
              <w:topLinePunct w:val="0"/>
              <w:bidi w:val="0"/>
              <w:spacing w:line="360" w:lineRule="auto"/>
              <w:jc w:val="center"/>
              <w:rPr>
                <w:rFonts w:hint="eastAsia" w:asciiTheme="minorEastAsia" w:hAnsiTheme="minorEastAsia" w:eastAsiaTheme="minorEastAsia" w:cstheme="minorEastAsia"/>
                <w:color w:val="auto"/>
                <w:sz w:val="24"/>
                <w:szCs w:val="24"/>
                <w:vertAlign w:val="baseline"/>
                <w:lang w:val="en-US" w:eastAsia="zh-CN"/>
              </w:rPr>
            </w:pPr>
            <w:r>
              <w:rPr>
                <w:rFonts w:hint="eastAsia" w:asciiTheme="minorEastAsia" w:hAnsiTheme="minorEastAsia" w:eastAsiaTheme="minorEastAsia" w:cstheme="minorEastAsia"/>
                <w:color w:val="auto"/>
                <w:sz w:val="24"/>
                <w:szCs w:val="24"/>
                <w:vertAlign w:val="baseline"/>
                <w:lang w:val="en-US" w:eastAsia="zh-CN"/>
              </w:rPr>
              <w:t>10000元以下</w:t>
            </w:r>
          </w:p>
        </w:tc>
        <w:tc>
          <w:tcPr>
            <w:tcW w:w="1286" w:type="dxa"/>
            <w:noWrap w:val="0"/>
            <w:vAlign w:val="center"/>
          </w:tcPr>
          <w:p w14:paraId="6FF15D21">
            <w:pPr>
              <w:keepNext w:val="0"/>
              <w:keepLines w:val="0"/>
              <w:pageBreakBefore w:val="0"/>
              <w:widowControl w:val="0"/>
              <w:numPr>
                <w:ilvl w:val="0"/>
                <w:numId w:val="0"/>
              </w:numPr>
              <w:kinsoku/>
              <w:wordWrap/>
              <w:overflowPunct w:val="0"/>
              <w:topLinePunct w:val="0"/>
              <w:bidi w:val="0"/>
              <w:spacing w:line="360" w:lineRule="auto"/>
              <w:jc w:val="center"/>
              <w:rPr>
                <w:rFonts w:hint="eastAsia" w:asciiTheme="minorEastAsia" w:hAnsiTheme="minorEastAsia" w:eastAsiaTheme="minorEastAsia" w:cstheme="minorEastAsia"/>
                <w:color w:val="auto"/>
                <w:sz w:val="24"/>
                <w:szCs w:val="24"/>
                <w:vertAlign w:val="baseline"/>
                <w:lang w:val="en-US" w:eastAsia="zh-CN"/>
              </w:rPr>
            </w:pPr>
            <w:r>
              <w:rPr>
                <w:rFonts w:hint="eastAsia" w:asciiTheme="minorEastAsia" w:hAnsiTheme="minorEastAsia" w:eastAsiaTheme="minorEastAsia" w:cstheme="minorEastAsia"/>
                <w:color w:val="auto"/>
                <w:sz w:val="24"/>
                <w:szCs w:val="24"/>
                <w:vertAlign w:val="baseline"/>
                <w:lang w:val="en-US" w:eastAsia="zh-CN"/>
              </w:rPr>
              <w:t>40%</w:t>
            </w:r>
          </w:p>
        </w:tc>
        <w:tc>
          <w:tcPr>
            <w:tcW w:w="1936" w:type="dxa"/>
            <w:vMerge w:val="restart"/>
            <w:noWrap w:val="0"/>
            <w:vAlign w:val="center"/>
          </w:tcPr>
          <w:p w14:paraId="3B82694D">
            <w:pPr>
              <w:keepNext w:val="0"/>
              <w:keepLines w:val="0"/>
              <w:pageBreakBefore w:val="0"/>
              <w:widowControl w:val="0"/>
              <w:numPr>
                <w:ilvl w:val="0"/>
                <w:numId w:val="0"/>
              </w:numPr>
              <w:kinsoku/>
              <w:wordWrap/>
              <w:overflowPunct w:val="0"/>
              <w:topLinePunct w:val="0"/>
              <w:bidi w:val="0"/>
              <w:spacing w:line="360" w:lineRule="auto"/>
              <w:ind w:left="0" w:leftChars="0" w:firstLine="0" w:firstLineChars="0"/>
              <w:jc w:val="center"/>
              <w:rPr>
                <w:rFonts w:hint="eastAsia" w:asciiTheme="minorEastAsia" w:hAnsiTheme="minorEastAsia" w:eastAsiaTheme="minorEastAsia" w:cstheme="minorEastAsia"/>
                <w:color w:val="auto"/>
                <w:kern w:val="2"/>
                <w:sz w:val="24"/>
                <w:szCs w:val="24"/>
                <w:vertAlign w:val="baseline"/>
                <w:lang w:val="en-US" w:eastAsia="zh-CN" w:bidi="ar-SA"/>
              </w:rPr>
            </w:pPr>
            <w:r>
              <w:rPr>
                <w:rFonts w:hint="eastAsia" w:asciiTheme="minorEastAsia" w:hAnsiTheme="minorEastAsia" w:eastAsiaTheme="minorEastAsia" w:cstheme="minorEastAsia"/>
                <w:color w:val="auto"/>
                <w:sz w:val="24"/>
                <w:szCs w:val="24"/>
                <w:vertAlign w:val="baseline"/>
                <w:lang w:val="en-US" w:eastAsia="zh-CN"/>
              </w:rPr>
              <w:t>最高每户限额不超过3万元</w:t>
            </w:r>
          </w:p>
        </w:tc>
      </w:tr>
      <w:tr w14:paraId="33D210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57" w:type="dxa"/>
            <w:vMerge w:val="continue"/>
            <w:noWrap w:val="0"/>
            <w:vAlign w:val="top"/>
          </w:tcPr>
          <w:p w14:paraId="2EDC7686">
            <w:pPr>
              <w:keepNext w:val="0"/>
              <w:keepLines w:val="0"/>
              <w:pageBreakBefore w:val="0"/>
              <w:widowControl w:val="0"/>
              <w:numPr>
                <w:ilvl w:val="0"/>
                <w:numId w:val="0"/>
              </w:numPr>
              <w:kinsoku/>
              <w:wordWrap/>
              <w:overflowPunct w:val="0"/>
              <w:topLinePunct w:val="0"/>
              <w:bidi w:val="0"/>
              <w:spacing w:line="360" w:lineRule="auto"/>
              <w:jc w:val="both"/>
              <w:rPr>
                <w:rFonts w:hint="eastAsia" w:asciiTheme="minorEastAsia" w:hAnsiTheme="minorEastAsia" w:eastAsiaTheme="minorEastAsia" w:cstheme="minorEastAsia"/>
                <w:color w:val="auto"/>
                <w:sz w:val="24"/>
                <w:szCs w:val="24"/>
                <w:vertAlign w:val="baseline"/>
                <w:lang w:val="en-US" w:eastAsia="zh-CN"/>
              </w:rPr>
            </w:pPr>
          </w:p>
        </w:tc>
        <w:tc>
          <w:tcPr>
            <w:tcW w:w="1352" w:type="dxa"/>
            <w:vMerge w:val="continue"/>
            <w:noWrap w:val="0"/>
            <w:vAlign w:val="top"/>
          </w:tcPr>
          <w:p w14:paraId="158CD58A">
            <w:pPr>
              <w:keepNext w:val="0"/>
              <w:keepLines w:val="0"/>
              <w:pageBreakBefore w:val="0"/>
              <w:widowControl w:val="0"/>
              <w:numPr>
                <w:ilvl w:val="0"/>
                <w:numId w:val="0"/>
              </w:numPr>
              <w:kinsoku/>
              <w:wordWrap/>
              <w:overflowPunct w:val="0"/>
              <w:topLinePunct w:val="0"/>
              <w:bidi w:val="0"/>
              <w:spacing w:line="360" w:lineRule="auto"/>
              <w:jc w:val="both"/>
              <w:rPr>
                <w:rFonts w:hint="eastAsia" w:asciiTheme="minorEastAsia" w:hAnsiTheme="minorEastAsia" w:eastAsiaTheme="minorEastAsia" w:cstheme="minorEastAsia"/>
                <w:color w:val="auto"/>
                <w:sz w:val="24"/>
                <w:szCs w:val="24"/>
                <w:vertAlign w:val="baseline"/>
                <w:lang w:val="en-US" w:eastAsia="zh-CN"/>
              </w:rPr>
            </w:pPr>
          </w:p>
        </w:tc>
        <w:tc>
          <w:tcPr>
            <w:tcW w:w="3245" w:type="dxa"/>
            <w:noWrap w:val="0"/>
            <w:vAlign w:val="top"/>
          </w:tcPr>
          <w:p w14:paraId="257CE930">
            <w:pPr>
              <w:keepNext w:val="0"/>
              <w:keepLines w:val="0"/>
              <w:pageBreakBefore w:val="0"/>
              <w:widowControl w:val="0"/>
              <w:numPr>
                <w:ilvl w:val="0"/>
                <w:numId w:val="0"/>
              </w:numPr>
              <w:kinsoku/>
              <w:wordWrap/>
              <w:overflowPunct w:val="0"/>
              <w:topLinePunct w:val="0"/>
              <w:bidi w:val="0"/>
              <w:spacing w:line="360" w:lineRule="auto"/>
              <w:jc w:val="both"/>
              <w:rPr>
                <w:rFonts w:hint="eastAsia" w:asciiTheme="minorEastAsia" w:hAnsiTheme="minorEastAsia" w:eastAsiaTheme="minorEastAsia" w:cstheme="minorEastAsia"/>
                <w:color w:val="auto"/>
                <w:sz w:val="24"/>
                <w:szCs w:val="24"/>
                <w:vertAlign w:val="baseline"/>
                <w:lang w:val="en-US" w:eastAsia="zh-CN"/>
              </w:rPr>
            </w:pPr>
            <w:r>
              <w:rPr>
                <w:rFonts w:hint="eastAsia" w:asciiTheme="minorEastAsia" w:hAnsiTheme="minorEastAsia" w:eastAsiaTheme="minorEastAsia" w:cstheme="minorEastAsia"/>
                <w:color w:val="auto"/>
                <w:sz w:val="24"/>
                <w:szCs w:val="24"/>
                <w:vertAlign w:val="baseline"/>
                <w:lang w:val="en-US" w:eastAsia="zh-CN"/>
              </w:rPr>
              <w:t>10000元（含）-30000元</w:t>
            </w:r>
          </w:p>
        </w:tc>
        <w:tc>
          <w:tcPr>
            <w:tcW w:w="1286" w:type="dxa"/>
            <w:noWrap w:val="0"/>
            <w:vAlign w:val="top"/>
          </w:tcPr>
          <w:p w14:paraId="4720D586">
            <w:pPr>
              <w:keepNext w:val="0"/>
              <w:keepLines w:val="0"/>
              <w:pageBreakBefore w:val="0"/>
              <w:widowControl w:val="0"/>
              <w:numPr>
                <w:ilvl w:val="0"/>
                <w:numId w:val="0"/>
              </w:numPr>
              <w:kinsoku/>
              <w:wordWrap/>
              <w:overflowPunct w:val="0"/>
              <w:topLinePunct w:val="0"/>
              <w:bidi w:val="0"/>
              <w:spacing w:line="360" w:lineRule="auto"/>
              <w:jc w:val="center"/>
              <w:rPr>
                <w:rFonts w:hint="eastAsia" w:asciiTheme="minorEastAsia" w:hAnsiTheme="minorEastAsia" w:eastAsiaTheme="minorEastAsia" w:cstheme="minorEastAsia"/>
                <w:color w:val="auto"/>
                <w:sz w:val="24"/>
                <w:szCs w:val="24"/>
                <w:vertAlign w:val="baseline"/>
                <w:lang w:val="en-US" w:eastAsia="zh-CN"/>
              </w:rPr>
            </w:pPr>
            <w:r>
              <w:rPr>
                <w:rFonts w:hint="eastAsia" w:asciiTheme="minorEastAsia" w:hAnsiTheme="minorEastAsia" w:eastAsiaTheme="minorEastAsia" w:cstheme="minorEastAsia"/>
                <w:color w:val="auto"/>
                <w:sz w:val="24"/>
                <w:szCs w:val="24"/>
                <w:vertAlign w:val="baseline"/>
                <w:lang w:val="en-US" w:eastAsia="zh-CN"/>
              </w:rPr>
              <w:t>60%</w:t>
            </w:r>
          </w:p>
        </w:tc>
        <w:tc>
          <w:tcPr>
            <w:tcW w:w="1936" w:type="dxa"/>
            <w:vMerge w:val="continue"/>
            <w:noWrap w:val="0"/>
            <w:vAlign w:val="top"/>
          </w:tcPr>
          <w:p w14:paraId="3E8232EA">
            <w:pPr>
              <w:keepNext w:val="0"/>
              <w:keepLines w:val="0"/>
              <w:pageBreakBefore w:val="0"/>
              <w:widowControl w:val="0"/>
              <w:numPr>
                <w:ilvl w:val="0"/>
                <w:numId w:val="0"/>
              </w:numPr>
              <w:kinsoku/>
              <w:wordWrap/>
              <w:overflowPunct w:val="0"/>
              <w:topLinePunct w:val="0"/>
              <w:bidi w:val="0"/>
              <w:spacing w:line="360" w:lineRule="auto"/>
              <w:jc w:val="both"/>
              <w:rPr>
                <w:rFonts w:hint="eastAsia" w:asciiTheme="minorEastAsia" w:hAnsiTheme="minorEastAsia" w:eastAsiaTheme="minorEastAsia" w:cstheme="minorEastAsia"/>
                <w:color w:val="auto"/>
                <w:sz w:val="24"/>
                <w:szCs w:val="24"/>
                <w:vertAlign w:val="baseline"/>
                <w:lang w:val="en-US" w:eastAsia="zh-CN"/>
              </w:rPr>
            </w:pPr>
          </w:p>
        </w:tc>
      </w:tr>
      <w:tr w14:paraId="6BDDF0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57" w:type="dxa"/>
            <w:vMerge w:val="continue"/>
            <w:noWrap w:val="0"/>
            <w:vAlign w:val="top"/>
          </w:tcPr>
          <w:p w14:paraId="5E489120">
            <w:pPr>
              <w:keepNext w:val="0"/>
              <w:keepLines w:val="0"/>
              <w:pageBreakBefore w:val="0"/>
              <w:widowControl w:val="0"/>
              <w:numPr>
                <w:ilvl w:val="0"/>
                <w:numId w:val="0"/>
              </w:numPr>
              <w:kinsoku/>
              <w:wordWrap/>
              <w:overflowPunct w:val="0"/>
              <w:topLinePunct w:val="0"/>
              <w:bidi w:val="0"/>
              <w:spacing w:line="360" w:lineRule="auto"/>
              <w:jc w:val="both"/>
              <w:rPr>
                <w:rFonts w:hint="eastAsia" w:asciiTheme="minorEastAsia" w:hAnsiTheme="minorEastAsia" w:eastAsiaTheme="minorEastAsia" w:cstheme="minorEastAsia"/>
                <w:color w:val="auto"/>
                <w:sz w:val="24"/>
                <w:szCs w:val="24"/>
                <w:vertAlign w:val="baseline"/>
                <w:lang w:val="en-US" w:eastAsia="zh-CN"/>
              </w:rPr>
            </w:pPr>
          </w:p>
        </w:tc>
        <w:tc>
          <w:tcPr>
            <w:tcW w:w="1352" w:type="dxa"/>
            <w:vMerge w:val="continue"/>
            <w:noWrap w:val="0"/>
            <w:vAlign w:val="top"/>
          </w:tcPr>
          <w:p w14:paraId="46ABCB66">
            <w:pPr>
              <w:keepNext w:val="0"/>
              <w:keepLines w:val="0"/>
              <w:pageBreakBefore w:val="0"/>
              <w:widowControl w:val="0"/>
              <w:numPr>
                <w:ilvl w:val="0"/>
                <w:numId w:val="0"/>
              </w:numPr>
              <w:kinsoku/>
              <w:wordWrap/>
              <w:overflowPunct w:val="0"/>
              <w:topLinePunct w:val="0"/>
              <w:bidi w:val="0"/>
              <w:spacing w:line="360" w:lineRule="auto"/>
              <w:jc w:val="both"/>
              <w:rPr>
                <w:rFonts w:hint="eastAsia" w:asciiTheme="minorEastAsia" w:hAnsiTheme="minorEastAsia" w:eastAsiaTheme="minorEastAsia" w:cstheme="minorEastAsia"/>
                <w:color w:val="auto"/>
                <w:sz w:val="24"/>
                <w:szCs w:val="24"/>
                <w:vertAlign w:val="baseline"/>
                <w:lang w:val="en-US" w:eastAsia="zh-CN"/>
              </w:rPr>
            </w:pPr>
          </w:p>
        </w:tc>
        <w:tc>
          <w:tcPr>
            <w:tcW w:w="3245" w:type="dxa"/>
            <w:noWrap w:val="0"/>
            <w:vAlign w:val="top"/>
          </w:tcPr>
          <w:p w14:paraId="57251D8D">
            <w:pPr>
              <w:keepNext w:val="0"/>
              <w:keepLines w:val="0"/>
              <w:pageBreakBefore w:val="0"/>
              <w:widowControl w:val="0"/>
              <w:numPr>
                <w:ilvl w:val="0"/>
                <w:numId w:val="0"/>
              </w:numPr>
              <w:kinsoku/>
              <w:wordWrap/>
              <w:overflowPunct w:val="0"/>
              <w:topLinePunct w:val="0"/>
              <w:bidi w:val="0"/>
              <w:spacing w:line="360" w:lineRule="auto"/>
              <w:jc w:val="both"/>
              <w:rPr>
                <w:rFonts w:hint="eastAsia" w:asciiTheme="minorEastAsia" w:hAnsiTheme="minorEastAsia" w:eastAsiaTheme="minorEastAsia" w:cstheme="minorEastAsia"/>
                <w:color w:val="auto"/>
                <w:sz w:val="24"/>
                <w:szCs w:val="24"/>
                <w:vertAlign w:val="baseline"/>
                <w:lang w:val="en-US" w:eastAsia="zh-CN"/>
              </w:rPr>
            </w:pPr>
            <w:r>
              <w:rPr>
                <w:rFonts w:hint="eastAsia" w:asciiTheme="minorEastAsia" w:hAnsiTheme="minorEastAsia" w:eastAsiaTheme="minorEastAsia" w:cstheme="minorEastAsia"/>
                <w:color w:val="auto"/>
                <w:sz w:val="24"/>
                <w:szCs w:val="24"/>
                <w:vertAlign w:val="baseline"/>
                <w:lang w:val="en-US" w:eastAsia="zh-CN"/>
              </w:rPr>
              <w:t>30000元以上</w:t>
            </w:r>
          </w:p>
        </w:tc>
        <w:tc>
          <w:tcPr>
            <w:tcW w:w="1286" w:type="dxa"/>
            <w:noWrap w:val="0"/>
            <w:vAlign w:val="top"/>
          </w:tcPr>
          <w:p w14:paraId="699B9FB0">
            <w:pPr>
              <w:keepNext w:val="0"/>
              <w:keepLines w:val="0"/>
              <w:pageBreakBefore w:val="0"/>
              <w:widowControl w:val="0"/>
              <w:numPr>
                <w:ilvl w:val="0"/>
                <w:numId w:val="0"/>
              </w:numPr>
              <w:kinsoku/>
              <w:wordWrap/>
              <w:overflowPunct w:val="0"/>
              <w:topLinePunct w:val="0"/>
              <w:bidi w:val="0"/>
              <w:spacing w:line="360" w:lineRule="auto"/>
              <w:jc w:val="center"/>
              <w:rPr>
                <w:rFonts w:hint="eastAsia" w:asciiTheme="minorEastAsia" w:hAnsiTheme="minorEastAsia" w:eastAsiaTheme="minorEastAsia" w:cstheme="minorEastAsia"/>
                <w:color w:val="auto"/>
                <w:sz w:val="24"/>
                <w:szCs w:val="24"/>
                <w:vertAlign w:val="baseline"/>
                <w:lang w:val="en-US" w:eastAsia="zh-CN"/>
              </w:rPr>
            </w:pPr>
            <w:r>
              <w:rPr>
                <w:rFonts w:hint="eastAsia" w:asciiTheme="minorEastAsia" w:hAnsiTheme="minorEastAsia" w:eastAsiaTheme="minorEastAsia" w:cstheme="minorEastAsia"/>
                <w:color w:val="auto"/>
                <w:sz w:val="24"/>
                <w:szCs w:val="24"/>
                <w:vertAlign w:val="baseline"/>
                <w:lang w:val="en-US" w:eastAsia="zh-CN"/>
              </w:rPr>
              <w:t>80%</w:t>
            </w:r>
          </w:p>
        </w:tc>
        <w:tc>
          <w:tcPr>
            <w:tcW w:w="1936" w:type="dxa"/>
            <w:vMerge w:val="continue"/>
            <w:noWrap w:val="0"/>
            <w:vAlign w:val="top"/>
          </w:tcPr>
          <w:p w14:paraId="415283B9">
            <w:pPr>
              <w:keepNext w:val="0"/>
              <w:keepLines w:val="0"/>
              <w:pageBreakBefore w:val="0"/>
              <w:widowControl w:val="0"/>
              <w:numPr>
                <w:ilvl w:val="0"/>
                <w:numId w:val="0"/>
              </w:numPr>
              <w:kinsoku/>
              <w:wordWrap/>
              <w:overflowPunct w:val="0"/>
              <w:topLinePunct w:val="0"/>
              <w:bidi w:val="0"/>
              <w:spacing w:line="360" w:lineRule="auto"/>
              <w:jc w:val="both"/>
              <w:rPr>
                <w:rFonts w:hint="eastAsia" w:asciiTheme="minorEastAsia" w:hAnsiTheme="minorEastAsia" w:eastAsiaTheme="minorEastAsia" w:cstheme="minorEastAsia"/>
                <w:color w:val="auto"/>
                <w:sz w:val="24"/>
                <w:szCs w:val="24"/>
                <w:vertAlign w:val="baseline"/>
                <w:lang w:val="en-US" w:eastAsia="zh-CN"/>
              </w:rPr>
            </w:pPr>
          </w:p>
        </w:tc>
      </w:tr>
      <w:tr w14:paraId="17F0BC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676" w:type="dxa"/>
            <w:gridSpan w:val="5"/>
            <w:noWrap w:val="0"/>
            <w:vAlign w:val="top"/>
          </w:tcPr>
          <w:p w14:paraId="15AC56AE">
            <w:pPr>
              <w:keepNext w:val="0"/>
              <w:keepLines w:val="0"/>
              <w:pageBreakBefore w:val="0"/>
              <w:widowControl w:val="0"/>
              <w:numPr>
                <w:ilvl w:val="0"/>
                <w:numId w:val="0"/>
              </w:numPr>
              <w:kinsoku/>
              <w:wordWrap/>
              <w:overflowPunct w:val="0"/>
              <w:topLinePunct w:val="0"/>
              <w:bidi w:val="0"/>
              <w:spacing w:line="360" w:lineRule="auto"/>
              <w:jc w:val="center"/>
              <w:rPr>
                <w:rFonts w:hint="eastAsia" w:asciiTheme="minorEastAsia" w:hAnsiTheme="minorEastAsia" w:eastAsiaTheme="minorEastAsia" w:cstheme="minorEastAsia"/>
                <w:color w:val="auto"/>
                <w:sz w:val="24"/>
                <w:szCs w:val="24"/>
                <w:vertAlign w:val="baseline"/>
                <w:lang w:val="en-US" w:eastAsia="zh-CN"/>
              </w:rPr>
            </w:pPr>
            <w:r>
              <w:rPr>
                <w:rFonts w:hint="eastAsia" w:asciiTheme="minorEastAsia" w:hAnsiTheme="minorEastAsia" w:eastAsiaTheme="minorEastAsia" w:cstheme="minorEastAsia"/>
                <w:color w:val="auto"/>
                <w:sz w:val="24"/>
                <w:szCs w:val="24"/>
                <w:vertAlign w:val="baseline"/>
                <w:lang w:val="en-US" w:eastAsia="zh-CN"/>
              </w:rPr>
              <w:t>交通事故类防贫保险金</w:t>
            </w:r>
          </w:p>
        </w:tc>
      </w:tr>
      <w:tr w14:paraId="6D8EA8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57" w:type="dxa"/>
            <w:noWrap w:val="0"/>
            <w:vAlign w:val="center"/>
          </w:tcPr>
          <w:p w14:paraId="3150BA09">
            <w:pPr>
              <w:keepNext w:val="0"/>
              <w:keepLines w:val="0"/>
              <w:pageBreakBefore w:val="0"/>
              <w:widowControl w:val="0"/>
              <w:numPr>
                <w:ilvl w:val="0"/>
                <w:numId w:val="0"/>
              </w:numPr>
              <w:kinsoku/>
              <w:wordWrap/>
              <w:overflowPunct w:val="0"/>
              <w:topLinePunct w:val="0"/>
              <w:bidi w:val="0"/>
              <w:spacing w:line="360" w:lineRule="auto"/>
              <w:ind w:left="0" w:leftChars="0" w:firstLine="0" w:firstLineChars="0"/>
              <w:jc w:val="center"/>
              <w:rPr>
                <w:rFonts w:hint="eastAsia" w:asciiTheme="minorEastAsia" w:hAnsiTheme="minorEastAsia" w:eastAsiaTheme="minorEastAsia" w:cstheme="minorEastAsia"/>
                <w:color w:val="auto"/>
                <w:kern w:val="2"/>
                <w:sz w:val="24"/>
                <w:szCs w:val="24"/>
                <w:vertAlign w:val="baseline"/>
                <w:lang w:val="en-US" w:eastAsia="zh-CN" w:bidi="ar-SA"/>
              </w:rPr>
            </w:pPr>
            <w:r>
              <w:rPr>
                <w:rFonts w:hint="eastAsia" w:asciiTheme="minorEastAsia" w:hAnsiTheme="minorEastAsia" w:eastAsiaTheme="minorEastAsia" w:cstheme="minorEastAsia"/>
                <w:color w:val="auto"/>
                <w:sz w:val="24"/>
                <w:szCs w:val="24"/>
                <w:vertAlign w:val="baseline"/>
                <w:lang w:val="en-US" w:eastAsia="zh-CN"/>
              </w:rPr>
              <w:t>保障对象</w:t>
            </w:r>
          </w:p>
        </w:tc>
        <w:tc>
          <w:tcPr>
            <w:tcW w:w="7819" w:type="dxa"/>
            <w:gridSpan w:val="4"/>
            <w:noWrap w:val="0"/>
            <w:vAlign w:val="center"/>
          </w:tcPr>
          <w:p w14:paraId="5424004E">
            <w:pPr>
              <w:keepNext w:val="0"/>
              <w:keepLines w:val="0"/>
              <w:pageBreakBefore w:val="0"/>
              <w:widowControl w:val="0"/>
              <w:numPr>
                <w:ilvl w:val="0"/>
                <w:numId w:val="0"/>
              </w:numPr>
              <w:kinsoku/>
              <w:wordWrap/>
              <w:overflowPunct w:val="0"/>
              <w:topLinePunct w:val="0"/>
              <w:bidi w:val="0"/>
              <w:spacing w:line="360" w:lineRule="auto"/>
              <w:jc w:val="center"/>
              <w:rPr>
                <w:rFonts w:hint="eastAsia" w:asciiTheme="minorEastAsia" w:hAnsiTheme="minorEastAsia" w:eastAsiaTheme="minorEastAsia" w:cstheme="minorEastAsia"/>
                <w:color w:val="auto"/>
                <w:kern w:val="2"/>
                <w:sz w:val="24"/>
                <w:szCs w:val="24"/>
                <w:vertAlign w:val="baseline"/>
                <w:lang w:val="en-US" w:eastAsia="zh-CN" w:bidi="ar-SA"/>
              </w:rPr>
            </w:pPr>
            <w:r>
              <w:rPr>
                <w:rFonts w:hint="eastAsia" w:asciiTheme="minorEastAsia" w:hAnsiTheme="minorEastAsia" w:eastAsiaTheme="minorEastAsia" w:cstheme="minorEastAsia"/>
                <w:color w:val="auto"/>
                <w:sz w:val="24"/>
                <w:szCs w:val="24"/>
                <w:vertAlign w:val="baseline"/>
                <w:lang w:val="en-US" w:eastAsia="zh-CN"/>
              </w:rPr>
              <w:t>赔偿标准</w:t>
            </w:r>
          </w:p>
        </w:tc>
      </w:tr>
      <w:tr w14:paraId="6AE264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57" w:type="dxa"/>
            <w:noWrap w:val="0"/>
            <w:vAlign w:val="top"/>
          </w:tcPr>
          <w:p w14:paraId="14E49547">
            <w:pPr>
              <w:keepNext w:val="0"/>
              <w:keepLines w:val="0"/>
              <w:pageBreakBefore w:val="0"/>
              <w:widowControl w:val="0"/>
              <w:numPr>
                <w:ilvl w:val="0"/>
                <w:numId w:val="0"/>
              </w:numPr>
              <w:kinsoku/>
              <w:wordWrap/>
              <w:overflowPunct w:val="0"/>
              <w:topLinePunct w:val="0"/>
              <w:bidi w:val="0"/>
              <w:spacing w:line="360" w:lineRule="auto"/>
              <w:jc w:val="both"/>
              <w:rPr>
                <w:rFonts w:hint="eastAsia" w:asciiTheme="minorEastAsia" w:hAnsiTheme="minorEastAsia" w:eastAsiaTheme="minorEastAsia" w:cstheme="minorEastAsia"/>
                <w:color w:val="auto"/>
                <w:sz w:val="24"/>
                <w:szCs w:val="24"/>
                <w:vertAlign w:val="baseline"/>
                <w:lang w:val="en-US" w:eastAsia="zh-CN"/>
              </w:rPr>
            </w:pPr>
            <w:r>
              <w:rPr>
                <w:rFonts w:hint="eastAsia" w:asciiTheme="minorEastAsia" w:hAnsiTheme="minorEastAsia" w:eastAsiaTheme="minorEastAsia" w:cstheme="minorEastAsia"/>
                <w:color w:val="auto"/>
                <w:sz w:val="24"/>
                <w:szCs w:val="24"/>
                <w:vertAlign w:val="baseline"/>
                <w:lang w:val="en-US" w:eastAsia="zh-CN"/>
              </w:rPr>
              <w:t>“三类人员”、脱贫及其他农村低收入人群”</w:t>
            </w:r>
          </w:p>
        </w:tc>
        <w:tc>
          <w:tcPr>
            <w:tcW w:w="7819" w:type="dxa"/>
            <w:gridSpan w:val="4"/>
            <w:noWrap w:val="0"/>
            <w:vAlign w:val="center"/>
          </w:tcPr>
          <w:p w14:paraId="5F7FC6B1">
            <w:pPr>
              <w:keepNext w:val="0"/>
              <w:keepLines w:val="0"/>
              <w:pageBreakBefore w:val="0"/>
              <w:widowControl w:val="0"/>
              <w:numPr>
                <w:ilvl w:val="0"/>
                <w:numId w:val="0"/>
              </w:numPr>
              <w:kinsoku/>
              <w:wordWrap/>
              <w:overflowPunct w:val="0"/>
              <w:topLinePunct w:val="0"/>
              <w:bidi w:val="0"/>
              <w:spacing w:line="360" w:lineRule="auto"/>
              <w:jc w:val="both"/>
              <w:rPr>
                <w:rFonts w:hint="eastAsia" w:asciiTheme="minorEastAsia" w:hAnsiTheme="minorEastAsia" w:eastAsiaTheme="minorEastAsia" w:cstheme="minorEastAsia"/>
                <w:color w:val="auto"/>
                <w:sz w:val="24"/>
                <w:szCs w:val="24"/>
                <w:vertAlign w:val="baseline"/>
                <w:lang w:val="en-US" w:eastAsia="zh-CN"/>
              </w:rPr>
            </w:pPr>
            <w:r>
              <w:rPr>
                <w:rFonts w:hint="eastAsia" w:asciiTheme="minorEastAsia" w:hAnsiTheme="minorEastAsia" w:eastAsiaTheme="minorEastAsia" w:cstheme="minorEastAsia"/>
                <w:color w:val="auto"/>
                <w:sz w:val="24"/>
                <w:szCs w:val="24"/>
                <w:vertAlign w:val="baseline"/>
                <w:lang w:val="en-US" w:eastAsia="zh-CN"/>
              </w:rPr>
              <w:t>因财产损失过重可能返贫或致贫的，参照（三）《因灾、丧失劳动力防贫保险金》标准执行。</w:t>
            </w:r>
          </w:p>
        </w:tc>
      </w:tr>
      <w:tr w14:paraId="25B988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57" w:type="dxa"/>
            <w:noWrap w:val="0"/>
            <w:vAlign w:val="top"/>
          </w:tcPr>
          <w:p w14:paraId="4D31E3F0">
            <w:pPr>
              <w:keepNext w:val="0"/>
              <w:keepLines w:val="0"/>
              <w:pageBreakBefore w:val="0"/>
              <w:widowControl w:val="0"/>
              <w:numPr>
                <w:ilvl w:val="0"/>
                <w:numId w:val="0"/>
              </w:numPr>
              <w:kinsoku/>
              <w:wordWrap/>
              <w:overflowPunct w:val="0"/>
              <w:topLinePunct w:val="0"/>
              <w:bidi w:val="0"/>
              <w:spacing w:line="360" w:lineRule="auto"/>
              <w:jc w:val="both"/>
              <w:rPr>
                <w:rFonts w:hint="eastAsia" w:asciiTheme="minorEastAsia" w:hAnsiTheme="minorEastAsia" w:eastAsiaTheme="minorEastAsia" w:cstheme="minorEastAsia"/>
                <w:color w:val="auto"/>
                <w:sz w:val="24"/>
                <w:szCs w:val="24"/>
                <w:vertAlign w:val="baseline"/>
                <w:lang w:val="en-US" w:eastAsia="zh-CN"/>
              </w:rPr>
            </w:pPr>
            <w:r>
              <w:rPr>
                <w:rFonts w:hint="eastAsia" w:asciiTheme="minorEastAsia" w:hAnsiTheme="minorEastAsia" w:eastAsiaTheme="minorEastAsia" w:cstheme="minorEastAsia"/>
                <w:color w:val="auto"/>
                <w:sz w:val="24"/>
                <w:szCs w:val="24"/>
                <w:vertAlign w:val="baseline"/>
                <w:lang w:val="en-US" w:eastAsia="zh-CN"/>
              </w:rPr>
              <w:t>“三类人员”、脱贫及其他农村低收入人群”</w:t>
            </w:r>
          </w:p>
        </w:tc>
        <w:tc>
          <w:tcPr>
            <w:tcW w:w="7819" w:type="dxa"/>
            <w:gridSpan w:val="4"/>
            <w:noWrap w:val="0"/>
            <w:vAlign w:val="top"/>
          </w:tcPr>
          <w:p w14:paraId="0757C1F3">
            <w:pPr>
              <w:keepNext w:val="0"/>
              <w:keepLines w:val="0"/>
              <w:pageBreakBefore w:val="0"/>
              <w:widowControl w:val="0"/>
              <w:numPr>
                <w:ilvl w:val="0"/>
                <w:numId w:val="0"/>
              </w:numPr>
              <w:kinsoku/>
              <w:wordWrap/>
              <w:overflowPunct w:val="0"/>
              <w:topLinePunct w:val="0"/>
              <w:bidi w:val="0"/>
              <w:spacing w:line="360" w:lineRule="auto"/>
              <w:jc w:val="both"/>
              <w:rPr>
                <w:rFonts w:hint="eastAsia" w:asciiTheme="minorEastAsia" w:hAnsiTheme="minorEastAsia" w:eastAsiaTheme="minorEastAsia" w:cstheme="minorEastAsia"/>
                <w:color w:val="auto"/>
                <w:sz w:val="24"/>
                <w:szCs w:val="24"/>
                <w:vertAlign w:val="baseline"/>
                <w:lang w:val="en-US" w:eastAsia="zh-CN"/>
              </w:rPr>
            </w:pPr>
            <w:r>
              <w:rPr>
                <w:rFonts w:hint="eastAsia" w:asciiTheme="minorEastAsia" w:hAnsiTheme="minorEastAsia" w:eastAsiaTheme="minorEastAsia" w:cstheme="minorEastAsia"/>
                <w:color w:val="auto"/>
                <w:sz w:val="24"/>
                <w:szCs w:val="24"/>
                <w:vertAlign w:val="baseline"/>
                <w:lang w:val="en-US" w:eastAsia="zh-CN"/>
              </w:rPr>
              <w:t>因医疗花费过高可能返贫或致贫的，参照（一）《因病防贫保险金》标准执行。因意外事故造成人员死亡，按每人3万元的标准发放防贫保险金，导致伤残丧失劳动力能力的，按每人最高1万元发放防贫保险金。交通类意外事故医疗费用最高发放限额每人不超过5万元。</w:t>
            </w:r>
          </w:p>
        </w:tc>
      </w:tr>
      <w:tr w14:paraId="2ABD62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3" w:hRule="atLeast"/>
        </w:trPr>
        <w:tc>
          <w:tcPr>
            <w:tcW w:w="9676" w:type="dxa"/>
            <w:gridSpan w:val="5"/>
            <w:noWrap w:val="0"/>
            <w:vAlign w:val="top"/>
          </w:tcPr>
          <w:p w14:paraId="701AD1CB">
            <w:pPr>
              <w:keepNext w:val="0"/>
              <w:keepLines w:val="0"/>
              <w:pageBreakBefore w:val="0"/>
              <w:widowControl w:val="0"/>
              <w:numPr>
                <w:ilvl w:val="0"/>
                <w:numId w:val="0"/>
              </w:numPr>
              <w:kinsoku/>
              <w:wordWrap/>
              <w:overflowPunct w:val="0"/>
              <w:topLinePunct w:val="0"/>
              <w:bidi w:val="0"/>
              <w:spacing w:line="360" w:lineRule="auto"/>
              <w:jc w:val="center"/>
              <w:rPr>
                <w:rFonts w:hint="eastAsia" w:asciiTheme="minorEastAsia" w:hAnsiTheme="minorEastAsia" w:eastAsiaTheme="minorEastAsia" w:cstheme="minorEastAsia"/>
                <w:color w:val="auto"/>
                <w:sz w:val="24"/>
                <w:szCs w:val="24"/>
                <w:vertAlign w:val="baseline"/>
                <w:lang w:val="en-US" w:eastAsia="zh-CN"/>
              </w:rPr>
            </w:pPr>
            <w:r>
              <w:rPr>
                <w:rFonts w:hint="eastAsia" w:asciiTheme="minorEastAsia" w:hAnsiTheme="minorEastAsia" w:eastAsiaTheme="minorEastAsia" w:cstheme="minorEastAsia"/>
                <w:color w:val="auto"/>
                <w:sz w:val="24"/>
                <w:szCs w:val="24"/>
                <w:vertAlign w:val="baseline"/>
                <w:lang w:val="en-US" w:eastAsia="zh-CN"/>
              </w:rPr>
              <w:t>（四）因个人责任无力赔偿防贫保险金</w:t>
            </w:r>
          </w:p>
        </w:tc>
      </w:tr>
      <w:tr w14:paraId="5B936D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2" w:hRule="atLeast"/>
        </w:trPr>
        <w:tc>
          <w:tcPr>
            <w:tcW w:w="1857" w:type="dxa"/>
            <w:noWrap w:val="0"/>
            <w:vAlign w:val="center"/>
          </w:tcPr>
          <w:p w14:paraId="52292470">
            <w:pPr>
              <w:keepNext w:val="0"/>
              <w:keepLines w:val="0"/>
              <w:pageBreakBefore w:val="0"/>
              <w:widowControl w:val="0"/>
              <w:numPr>
                <w:ilvl w:val="0"/>
                <w:numId w:val="0"/>
              </w:numPr>
              <w:kinsoku/>
              <w:wordWrap/>
              <w:overflowPunct w:val="0"/>
              <w:topLinePunct w:val="0"/>
              <w:bidi w:val="0"/>
              <w:spacing w:line="360" w:lineRule="auto"/>
              <w:ind w:left="0" w:leftChars="0" w:firstLine="0" w:firstLineChars="0"/>
              <w:jc w:val="center"/>
              <w:rPr>
                <w:rFonts w:hint="eastAsia" w:asciiTheme="minorEastAsia" w:hAnsiTheme="minorEastAsia" w:eastAsiaTheme="minorEastAsia" w:cstheme="minorEastAsia"/>
                <w:color w:val="auto"/>
                <w:kern w:val="2"/>
                <w:sz w:val="24"/>
                <w:szCs w:val="24"/>
                <w:vertAlign w:val="baseline"/>
                <w:lang w:val="en-US" w:eastAsia="zh-CN" w:bidi="ar-SA"/>
              </w:rPr>
            </w:pPr>
            <w:r>
              <w:rPr>
                <w:rFonts w:hint="eastAsia" w:asciiTheme="minorEastAsia" w:hAnsiTheme="minorEastAsia" w:eastAsiaTheme="minorEastAsia" w:cstheme="minorEastAsia"/>
                <w:color w:val="auto"/>
                <w:sz w:val="24"/>
                <w:szCs w:val="24"/>
                <w:vertAlign w:val="baseline"/>
                <w:lang w:val="en-US" w:eastAsia="zh-CN"/>
              </w:rPr>
              <w:t>保障对象</w:t>
            </w:r>
          </w:p>
        </w:tc>
        <w:tc>
          <w:tcPr>
            <w:tcW w:w="1352" w:type="dxa"/>
            <w:noWrap w:val="0"/>
            <w:vAlign w:val="center"/>
          </w:tcPr>
          <w:p w14:paraId="572110BC">
            <w:pPr>
              <w:keepNext w:val="0"/>
              <w:keepLines w:val="0"/>
              <w:pageBreakBefore w:val="0"/>
              <w:widowControl w:val="0"/>
              <w:numPr>
                <w:ilvl w:val="0"/>
                <w:numId w:val="0"/>
              </w:numPr>
              <w:kinsoku/>
              <w:wordWrap/>
              <w:overflowPunct w:val="0"/>
              <w:topLinePunct w:val="0"/>
              <w:bidi w:val="0"/>
              <w:spacing w:line="360" w:lineRule="auto"/>
              <w:jc w:val="center"/>
              <w:rPr>
                <w:rFonts w:hint="eastAsia" w:asciiTheme="minorEastAsia" w:hAnsiTheme="minorEastAsia" w:eastAsiaTheme="minorEastAsia" w:cstheme="minorEastAsia"/>
                <w:color w:val="auto"/>
                <w:sz w:val="24"/>
                <w:szCs w:val="24"/>
                <w:vertAlign w:val="baseline"/>
                <w:lang w:val="en-US" w:eastAsia="zh-CN"/>
              </w:rPr>
            </w:pPr>
            <w:r>
              <w:rPr>
                <w:rFonts w:hint="eastAsia" w:asciiTheme="minorEastAsia" w:hAnsiTheme="minorEastAsia" w:eastAsiaTheme="minorEastAsia" w:cstheme="minorEastAsia"/>
                <w:color w:val="auto"/>
                <w:sz w:val="24"/>
                <w:szCs w:val="24"/>
                <w:vertAlign w:val="baseline"/>
                <w:lang w:val="en-US" w:eastAsia="zh-CN"/>
              </w:rPr>
              <w:t>起付线</w:t>
            </w:r>
          </w:p>
          <w:p w14:paraId="4C5FB396">
            <w:pPr>
              <w:keepNext w:val="0"/>
              <w:keepLines w:val="0"/>
              <w:pageBreakBefore w:val="0"/>
              <w:widowControl w:val="0"/>
              <w:numPr>
                <w:ilvl w:val="0"/>
                <w:numId w:val="0"/>
              </w:numPr>
              <w:kinsoku/>
              <w:wordWrap/>
              <w:overflowPunct w:val="0"/>
              <w:topLinePunct w:val="0"/>
              <w:bidi w:val="0"/>
              <w:spacing w:line="360" w:lineRule="auto"/>
              <w:ind w:left="0" w:leftChars="0" w:firstLine="0" w:firstLineChars="0"/>
              <w:jc w:val="center"/>
              <w:rPr>
                <w:rFonts w:hint="eastAsia" w:asciiTheme="minorEastAsia" w:hAnsiTheme="minorEastAsia" w:eastAsiaTheme="minorEastAsia" w:cstheme="minorEastAsia"/>
                <w:color w:val="auto"/>
                <w:kern w:val="2"/>
                <w:sz w:val="24"/>
                <w:szCs w:val="24"/>
                <w:vertAlign w:val="baseline"/>
                <w:lang w:val="en-US" w:eastAsia="zh-CN" w:bidi="ar-SA"/>
              </w:rPr>
            </w:pPr>
            <w:r>
              <w:rPr>
                <w:rFonts w:hint="eastAsia" w:asciiTheme="minorEastAsia" w:hAnsiTheme="minorEastAsia" w:eastAsiaTheme="minorEastAsia" w:cstheme="minorEastAsia"/>
                <w:color w:val="auto"/>
                <w:sz w:val="24"/>
                <w:szCs w:val="24"/>
                <w:vertAlign w:val="baseline"/>
                <w:lang w:val="en-US" w:eastAsia="zh-CN"/>
              </w:rPr>
              <w:t>（元/次.人）</w:t>
            </w:r>
          </w:p>
        </w:tc>
        <w:tc>
          <w:tcPr>
            <w:tcW w:w="3245" w:type="dxa"/>
            <w:noWrap w:val="0"/>
            <w:vAlign w:val="center"/>
          </w:tcPr>
          <w:p w14:paraId="6024C3CC">
            <w:pPr>
              <w:keepNext w:val="0"/>
              <w:keepLines w:val="0"/>
              <w:pageBreakBefore w:val="0"/>
              <w:widowControl w:val="0"/>
              <w:numPr>
                <w:ilvl w:val="0"/>
                <w:numId w:val="0"/>
              </w:numPr>
              <w:kinsoku/>
              <w:wordWrap/>
              <w:overflowPunct w:val="0"/>
              <w:topLinePunct w:val="0"/>
              <w:bidi w:val="0"/>
              <w:spacing w:line="360" w:lineRule="auto"/>
              <w:ind w:left="0" w:leftChars="0" w:firstLine="0" w:firstLineChars="0"/>
              <w:jc w:val="center"/>
              <w:rPr>
                <w:rFonts w:hint="eastAsia" w:asciiTheme="minorEastAsia" w:hAnsiTheme="minorEastAsia" w:eastAsiaTheme="minorEastAsia" w:cstheme="minorEastAsia"/>
                <w:color w:val="auto"/>
                <w:kern w:val="2"/>
                <w:sz w:val="24"/>
                <w:szCs w:val="24"/>
                <w:vertAlign w:val="baseline"/>
                <w:lang w:val="en-US" w:eastAsia="zh-CN" w:bidi="ar-SA"/>
              </w:rPr>
            </w:pPr>
            <w:r>
              <w:rPr>
                <w:rFonts w:hint="eastAsia" w:asciiTheme="minorEastAsia" w:hAnsiTheme="minorEastAsia" w:eastAsiaTheme="minorEastAsia" w:cstheme="minorEastAsia"/>
                <w:color w:val="auto"/>
                <w:sz w:val="24"/>
                <w:szCs w:val="24"/>
                <w:vertAlign w:val="baseline"/>
                <w:lang w:val="en-US" w:eastAsia="zh-CN"/>
              </w:rPr>
              <w:t>超出起付线以上赔偿金支出</w:t>
            </w:r>
          </w:p>
        </w:tc>
        <w:tc>
          <w:tcPr>
            <w:tcW w:w="1286" w:type="dxa"/>
            <w:noWrap w:val="0"/>
            <w:vAlign w:val="center"/>
          </w:tcPr>
          <w:p w14:paraId="36E9C8FA">
            <w:pPr>
              <w:keepNext w:val="0"/>
              <w:keepLines w:val="0"/>
              <w:pageBreakBefore w:val="0"/>
              <w:widowControl w:val="0"/>
              <w:numPr>
                <w:ilvl w:val="0"/>
                <w:numId w:val="0"/>
              </w:numPr>
              <w:kinsoku/>
              <w:wordWrap/>
              <w:overflowPunct w:val="0"/>
              <w:topLinePunct w:val="0"/>
              <w:bidi w:val="0"/>
              <w:spacing w:line="360" w:lineRule="auto"/>
              <w:ind w:left="0" w:leftChars="0" w:firstLine="0" w:firstLineChars="0"/>
              <w:jc w:val="center"/>
              <w:rPr>
                <w:rFonts w:hint="eastAsia" w:asciiTheme="minorEastAsia" w:hAnsiTheme="minorEastAsia" w:eastAsiaTheme="minorEastAsia" w:cstheme="minorEastAsia"/>
                <w:color w:val="auto"/>
                <w:kern w:val="2"/>
                <w:sz w:val="24"/>
                <w:szCs w:val="24"/>
                <w:vertAlign w:val="baseline"/>
                <w:lang w:val="en-US" w:eastAsia="zh-CN" w:bidi="ar-SA"/>
              </w:rPr>
            </w:pPr>
            <w:r>
              <w:rPr>
                <w:rFonts w:hint="eastAsia" w:asciiTheme="minorEastAsia" w:hAnsiTheme="minorEastAsia" w:eastAsiaTheme="minorEastAsia" w:cstheme="minorEastAsia"/>
                <w:color w:val="auto"/>
                <w:sz w:val="24"/>
                <w:szCs w:val="24"/>
                <w:vertAlign w:val="baseline"/>
                <w:lang w:val="en-US" w:eastAsia="zh-CN"/>
              </w:rPr>
              <w:t>赔偿比例</w:t>
            </w:r>
          </w:p>
        </w:tc>
        <w:tc>
          <w:tcPr>
            <w:tcW w:w="1936" w:type="dxa"/>
            <w:noWrap w:val="0"/>
            <w:vAlign w:val="center"/>
          </w:tcPr>
          <w:p w14:paraId="2E1A36EE">
            <w:pPr>
              <w:keepNext w:val="0"/>
              <w:keepLines w:val="0"/>
              <w:pageBreakBefore w:val="0"/>
              <w:widowControl w:val="0"/>
              <w:numPr>
                <w:ilvl w:val="0"/>
                <w:numId w:val="0"/>
              </w:numPr>
              <w:kinsoku/>
              <w:wordWrap/>
              <w:overflowPunct w:val="0"/>
              <w:topLinePunct w:val="0"/>
              <w:bidi w:val="0"/>
              <w:spacing w:line="360" w:lineRule="auto"/>
              <w:ind w:left="0" w:leftChars="0" w:firstLine="0" w:firstLineChars="0"/>
              <w:jc w:val="center"/>
              <w:rPr>
                <w:rFonts w:hint="eastAsia" w:asciiTheme="minorEastAsia" w:hAnsiTheme="minorEastAsia" w:eastAsiaTheme="minorEastAsia" w:cstheme="minorEastAsia"/>
                <w:color w:val="auto"/>
                <w:kern w:val="2"/>
                <w:sz w:val="24"/>
                <w:szCs w:val="24"/>
                <w:vertAlign w:val="baseline"/>
                <w:lang w:val="en-US" w:eastAsia="zh-CN" w:bidi="ar-SA"/>
              </w:rPr>
            </w:pPr>
            <w:r>
              <w:rPr>
                <w:rFonts w:hint="eastAsia" w:asciiTheme="minorEastAsia" w:hAnsiTheme="minorEastAsia" w:eastAsiaTheme="minorEastAsia" w:cstheme="minorEastAsia"/>
                <w:color w:val="auto"/>
                <w:sz w:val="24"/>
                <w:szCs w:val="24"/>
                <w:vertAlign w:val="baseline"/>
                <w:lang w:val="en-US" w:eastAsia="zh-CN"/>
              </w:rPr>
              <w:t>备注</w:t>
            </w:r>
          </w:p>
        </w:tc>
      </w:tr>
      <w:tr w14:paraId="0CA938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57" w:type="dxa"/>
            <w:vMerge w:val="restart"/>
            <w:noWrap w:val="0"/>
            <w:vAlign w:val="center"/>
          </w:tcPr>
          <w:p w14:paraId="3479A812">
            <w:pPr>
              <w:keepNext w:val="0"/>
              <w:keepLines w:val="0"/>
              <w:pageBreakBefore w:val="0"/>
              <w:widowControl w:val="0"/>
              <w:numPr>
                <w:ilvl w:val="0"/>
                <w:numId w:val="0"/>
              </w:numPr>
              <w:kinsoku/>
              <w:wordWrap/>
              <w:overflowPunct w:val="0"/>
              <w:topLinePunct w:val="0"/>
              <w:bidi w:val="0"/>
              <w:spacing w:line="360" w:lineRule="auto"/>
              <w:jc w:val="center"/>
              <w:rPr>
                <w:rFonts w:hint="eastAsia" w:asciiTheme="minorEastAsia" w:hAnsiTheme="minorEastAsia" w:eastAsiaTheme="minorEastAsia" w:cstheme="minorEastAsia"/>
                <w:color w:val="auto"/>
                <w:sz w:val="24"/>
                <w:szCs w:val="24"/>
                <w:vertAlign w:val="baseline"/>
                <w:lang w:val="en-US" w:eastAsia="zh-CN"/>
              </w:rPr>
            </w:pPr>
            <w:r>
              <w:rPr>
                <w:rFonts w:hint="eastAsia" w:asciiTheme="minorEastAsia" w:hAnsiTheme="minorEastAsia" w:eastAsiaTheme="minorEastAsia" w:cstheme="minorEastAsia"/>
                <w:color w:val="auto"/>
                <w:sz w:val="24"/>
                <w:szCs w:val="24"/>
                <w:vertAlign w:val="baseline"/>
                <w:lang w:val="en-US" w:eastAsia="zh-CN"/>
              </w:rPr>
              <w:t>“三类人员”、脱贫及其他农村低收入人群”</w:t>
            </w:r>
          </w:p>
        </w:tc>
        <w:tc>
          <w:tcPr>
            <w:tcW w:w="1352" w:type="dxa"/>
            <w:vMerge w:val="restart"/>
            <w:noWrap w:val="0"/>
            <w:vAlign w:val="center"/>
          </w:tcPr>
          <w:p w14:paraId="5DB10380">
            <w:pPr>
              <w:keepNext w:val="0"/>
              <w:keepLines w:val="0"/>
              <w:pageBreakBefore w:val="0"/>
              <w:widowControl w:val="0"/>
              <w:numPr>
                <w:ilvl w:val="0"/>
                <w:numId w:val="0"/>
              </w:numPr>
              <w:kinsoku/>
              <w:wordWrap/>
              <w:overflowPunct w:val="0"/>
              <w:topLinePunct w:val="0"/>
              <w:bidi w:val="0"/>
              <w:spacing w:line="360" w:lineRule="auto"/>
              <w:jc w:val="center"/>
              <w:rPr>
                <w:rFonts w:hint="eastAsia" w:asciiTheme="minorEastAsia" w:hAnsiTheme="minorEastAsia" w:eastAsiaTheme="minorEastAsia" w:cstheme="minorEastAsia"/>
                <w:color w:val="auto"/>
                <w:sz w:val="24"/>
                <w:szCs w:val="24"/>
                <w:vertAlign w:val="baseline"/>
                <w:lang w:val="en-US" w:eastAsia="zh-CN"/>
              </w:rPr>
            </w:pPr>
            <w:r>
              <w:rPr>
                <w:rFonts w:hint="eastAsia" w:asciiTheme="minorEastAsia" w:hAnsiTheme="minorEastAsia" w:eastAsiaTheme="minorEastAsia" w:cstheme="minorEastAsia"/>
                <w:color w:val="auto"/>
                <w:sz w:val="24"/>
                <w:szCs w:val="24"/>
                <w:vertAlign w:val="baseline"/>
                <w:lang w:val="en-US" w:eastAsia="zh-CN"/>
              </w:rPr>
              <w:t>5000元</w:t>
            </w:r>
          </w:p>
        </w:tc>
        <w:tc>
          <w:tcPr>
            <w:tcW w:w="3245" w:type="dxa"/>
            <w:noWrap w:val="0"/>
            <w:vAlign w:val="top"/>
          </w:tcPr>
          <w:p w14:paraId="6D45BD4C">
            <w:pPr>
              <w:keepNext w:val="0"/>
              <w:keepLines w:val="0"/>
              <w:pageBreakBefore w:val="0"/>
              <w:widowControl w:val="0"/>
              <w:numPr>
                <w:ilvl w:val="0"/>
                <w:numId w:val="0"/>
              </w:numPr>
              <w:kinsoku/>
              <w:wordWrap/>
              <w:overflowPunct w:val="0"/>
              <w:topLinePunct w:val="0"/>
              <w:bidi w:val="0"/>
              <w:spacing w:line="360" w:lineRule="auto"/>
              <w:jc w:val="both"/>
              <w:rPr>
                <w:rFonts w:hint="eastAsia" w:asciiTheme="minorEastAsia" w:hAnsiTheme="minorEastAsia" w:eastAsiaTheme="minorEastAsia" w:cstheme="minorEastAsia"/>
                <w:color w:val="auto"/>
                <w:sz w:val="24"/>
                <w:szCs w:val="24"/>
                <w:vertAlign w:val="baseline"/>
                <w:lang w:val="en-US" w:eastAsia="zh-CN"/>
              </w:rPr>
            </w:pPr>
            <w:r>
              <w:rPr>
                <w:rFonts w:hint="eastAsia" w:asciiTheme="minorEastAsia" w:hAnsiTheme="minorEastAsia" w:eastAsiaTheme="minorEastAsia" w:cstheme="minorEastAsia"/>
                <w:color w:val="auto"/>
                <w:sz w:val="24"/>
                <w:szCs w:val="24"/>
                <w:vertAlign w:val="baseline"/>
                <w:lang w:val="en-US" w:eastAsia="zh-CN"/>
              </w:rPr>
              <w:t>3000元以下</w:t>
            </w:r>
          </w:p>
        </w:tc>
        <w:tc>
          <w:tcPr>
            <w:tcW w:w="1286" w:type="dxa"/>
            <w:noWrap w:val="0"/>
            <w:vAlign w:val="center"/>
          </w:tcPr>
          <w:p w14:paraId="7D46DFAF">
            <w:pPr>
              <w:keepNext w:val="0"/>
              <w:keepLines w:val="0"/>
              <w:pageBreakBefore w:val="0"/>
              <w:widowControl w:val="0"/>
              <w:numPr>
                <w:ilvl w:val="0"/>
                <w:numId w:val="0"/>
              </w:numPr>
              <w:kinsoku/>
              <w:wordWrap/>
              <w:overflowPunct w:val="0"/>
              <w:topLinePunct w:val="0"/>
              <w:bidi w:val="0"/>
              <w:spacing w:line="360" w:lineRule="auto"/>
              <w:ind w:left="0" w:leftChars="0" w:firstLine="0" w:firstLineChars="0"/>
              <w:jc w:val="center"/>
              <w:rPr>
                <w:rFonts w:hint="eastAsia" w:asciiTheme="minorEastAsia" w:hAnsiTheme="minorEastAsia" w:eastAsiaTheme="minorEastAsia" w:cstheme="minorEastAsia"/>
                <w:color w:val="auto"/>
                <w:kern w:val="2"/>
                <w:sz w:val="24"/>
                <w:szCs w:val="24"/>
                <w:vertAlign w:val="baseline"/>
                <w:lang w:val="en-US" w:eastAsia="zh-CN" w:bidi="ar-SA"/>
              </w:rPr>
            </w:pPr>
            <w:r>
              <w:rPr>
                <w:rFonts w:hint="eastAsia" w:asciiTheme="minorEastAsia" w:hAnsiTheme="minorEastAsia" w:eastAsiaTheme="minorEastAsia" w:cstheme="minorEastAsia"/>
                <w:color w:val="auto"/>
                <w:sz w:val="24"/>
                <w:szCs w:val="24"/>
                <w:vertAlign w:val="baseline"/>
                <w:lang w:val="en-US" w:eastAsia="zh-CN"/>
              </w:rPr>
              <w:t>100%</w:t>
            </w:r>
          </w:p>
        </w:tc>
        <w:tc>
          <w:tcPr>
            <w:tcW w:w="1936" w:type="dxa"/>
            <w:vMerge w:val="restart"/>
            <w:noWrap w:val="0"/>
            <w:vAlign w:val="center"/>
          </w:tcPr>
          <w:p w14:paraId="648B8E68">
            <w:pPr>
              <w:keepNext w:val="0"/>
              <w:keepLines w:val="0"/>
              <w:pageBreakBefore w:val="0"/>
              <w:widowControl w:val="0"/>
              <w:numPr>
                <w:ilvl w:val="0"/>
                <w:numId w:val="0"/>
              </w:numPr>
              <w:kinsoku/>
              <w:wordWrap/>
              <w:overflowPunct w:val="0"/>
              <w:topLinePunct w:val="0"/>
              <w:bidi w:val="0"/>
              <w:spacing w:line="360" w:lineRule="auto"/>
              <w:jc w:val="center"/>
              <w:rPr>
                <w:rFonts w:hint="eastAsia" w:asciiTheme="minorEastAsia" w:hAnsiTheme="minorEastAsia" w:eastAsiaTheme="minorEastAsia" w:cstheme="minorEastAsia"/>
                <w:color w:val="auto"/>
                <w:sz w:val="24"/>
                <w:szCs w:val="24"/>
                <w:vertAlign w:val="baseline"/>
                <w:lang w:val="en-US" w:eastAsia="zh-CN"/>
              </w:rPr>
            </w:pPr>
            <w:r>
              <w:rPr>
                <w:rFonts w:hint="eastAsia" w:asciiTheme="minorEastAsia" w:hAnsiTheme="minorEastAsia" w:eastAsiaTheme="minorEastAsia" w:cstheme="minorEastAsia"/>
                <w:color w:val="auto"/>
                <w:sz w:val="24"/>
                <w:szCs w:val="24"/>
                <w:vertAlign w:val="baseline"/>
                <w:lang w:val="en-US" w:eastAsia="zh-CN"/>
              </w:rPr>
              <w:t>最高每户限额不超过3万元</w:t>
            </w:r>
          </w:p>
        </w:tc>
      </w:tr>
      <w:tr w14:paraId="74ECDC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57" w:type="dxa"/>
            <w:vMerge w:val="continue"/>
            <w:noWrap w:val="0"/>
            <w:vAlign w:val="top"/>
          </w:tcPr>
          <w:p w14:paraId="556C8FE9">
            <w:pPr>
              <w:keepNext w:val="0"/>
              <w:keepLines w:val="0"/>
              <w:pageBreakBefore w:val="0"/>
              <w:widowControl w:val="0"/>
              <w:numPr>
                <w:ilvl w:val="0"/>
                <w:numId w:val="0"/>
              </w:numPr>
              <w:kinsoku/>
              <w:wordWrap/>
              <w:overflowPunct w:val="0"/>
              <w:topLinePunct w:val="0"/>
              <w:bidi w:val="0"/>
              <w:spacing w:line="360" w:lineRule="auto"/>
              <w:jc w:val="both"/>
              <w:rPr>
                <w:rFonts w:hint="eastAsia" w:asciiTheme="minorEastAsia" w:hAnsiTheme="minorEastAsia" w:eastAsiaTheme="minorEastAsia" w:cstheme="minorEastAsia"/>
                <w:color w:val="auto"/>
                <w:sz w:val="24"/>
                <w:szCs w:val="24"/>
                <w:vertAlign w:val="baseline"/>
                <w:lang w:val="en-US" w:eastAsia="zh-CN"/>
              </w:rPr>
            </w:pPr>
          </w:p>
        </w:tc>
        <w:tc>
          <w:tcPr>
            <w:tcW w:w="1352" w:type="dxa"/>
            <w:vMerge w:val="continue"/>
            <w:noWrap w:val="0"/>
            <w:vAlign w:val="top"/>
          </w:tcPr>
          <w:p w14:paraId="25008322">
            <w:pPr>
              <w:keepNext w:val="0"/>
              <w:keepLines w:val="0"/>
              <w:pageBreakBefore w:val="0"/>
              <w:widowControl w:val="0"/>
              <w:numPr>
                <w:ilvl w:val="0"/>
                <w:numId w:val="0"/>
              </w:numPr>
              <w:kinsoku/>
              <w:wordWrap/>
              <w:overflowPunct w:val="0"/>
              <w:topLinePunct w:val="0"/>
              <w:bidi w:val="0"/>
              <w:spacing w:line="360" w:lineRule="auto"/>
              <w:jc w:val="both"/>
              <w:rPr>
                <w:rFonts w:hint="eastAsia" w:asciiTheme="minorEastAsia" w:hAnsiTheme="minorEastAsia" w:eastAsiaTheme="minorEastAsia" w:cstheme="minorEastAsia"/>
                <w:color w:val="auto"/>
                <w:sz w:val="24"/>
                <w:szCs w:val="24"/>
                <w:vertAlign w:val="baseline"/>
                <w:lang w:val="en-US" w:eastAsia="zh-CN"/>
              </w:rPr>
            </w:pPr>
          </w:p>
        </w:tc>
        <w:tc>
          <w:tcPr>
            <w:tcW w:w="3245" w:type="dxa"/>
            <w:noWrap w:val="0"/>
            <w:vAlign w:val="top"/>
          </w:tcPr>
          <w:p w14:paraId="66924F25">
            <w:pPr>
              <w:keepNext w:val="0"/>
              <w:keepLines w:val="0"/>
              <w:pageBreakBefore w:val="0"/>
              <w:widowControl w:val="0"/>
              <w:numPr>
                <w:ilvl w:val="0"/>
                <w:numId w:val="0"/>
              </w:numPr>
              <w:kinsoku/>
              <w:wordWrap/>
              <w:overflowPunct w:val="0"/>
              <w:topLinePunct w:val="0"/>
              <w:bidi w:val="0"/>
              <w:spacing w:line="360" w:lineRule="auto"/>
              <w:ind w:left="0" w:leftChars="0" w:firstLine="0" w:firstLineChars="0"/>
              <w:jc w:val="both"/>
              <w:rPr>
                <w:rFonts w:hint="eastAsia" w:asciiTheme="minorEastAsia" w:hAnsiTheme="minorEastAsia" w:eastAsiaTheme="minorEastAsia" w:cstheme="minorEastAsia"/>
                <w:color w:val="auto"/>
                <w:kern w:val="2"/>
                <w:sz w:val="24"/>
                <w:szCs w:val="24"/>
                <w:vertAlign w:val="baseline"/>
                <w:lang w:val="en-US" w:eastAsia="zh-CN" w:bidi="ar-SA"/>
              </w:rPr>
            </w:pPr>
            <w:r>
              <w:rPr>
                <w:rFonts w:hint="eastAsia" w:asciiTheme="minorEastAsia" w:hAnsiTheme="minorEastAsia" w:eastAsiaTheme="minorEastAsia" w:cstheme="minorEastAsia"/>
                <w:color w:val="auto"/>
                <w:sz w:val="24"/>
                <w:szCs w:val="24"/>
                <w:vertAlign w:val="baseline"/>
                <w:lang w:val="en-US" w:eastAsia="zh-CN"/>
              </w:rPr>
              <w:t>3000元（含）-5000元以下</w:t>
            </w:r>
          </w:p>
        </w:tc>
        <w:tc>
          <w:tcPr>
            <w:tcW w:w="1286" w:type="dxa"/>
            <w:noWrap w:val="0"/>
            <w:vAlign w:val="top"/>
          </w:tcPr>
          <w:p w14:paraId="1A4DD579">
            <w:pPr>
              <w:keepNext w:val="0"/>
              <w:keepLines w:val="0"/>
              <w:pageBreakBefore w:val="0"/>
              <w:widowControl w:val="0"/>
              <w:numPr>
                <w:ilvl w:val="0"/>
                <w:numId w:val="0"/>
              </w:numPr>
              <w:kinsoku/>
              <w:wordWrap/>
              <w:overflowPunct w:val="0"/>
              <w:topLinePunct w:val="0"/>
              <w:bidi w:val="0"/>
              <w:spacing w:line="360" w:lineRule="auto"/>
              <w:ind w:left="0" w:leftChars="0" w:firstLine="0" w:firstLineChars="0"/>
              <w:jc w:val="center"/>
              <w:rPr>
                <w:rFonts w:hint="eastAsia" w:asciiTheme="minorEastAsia" w:hAnsiTheme="minorEastAsia" w:eastAsiaTheme="minorEastAsia" w:cstheme="minorEastAsia"/>
                <w:color w:val="auto"/>
                <w:kern w:val="2"/>
                <w:sz w:val="24"/>
                <w:szCs w:val="24"/>
                <w:vertAlign w:val="baseline"/>
                <w:lang w:val="en-US" w:eastAsia="zh-CN" w:bidi="ar-SA"/>
              </w:rPr>
            </w:pPr>
            <w:r>
              <w:rPr>
                <w:rFonts w:hint="eastAsia" w:asciiTheme="minorEastAsia" w:hAnsiTheme="minorEastAsia" w:eastAsiaTheme="minorEastAsia" w:cstheme="minorEastAsia"/>
                <w:color w:val="auto"/>
                <w:sz w:val="24"/>
                <w:szCs w:val="24"/>
                <w:vertAlign w:val="baseline"/>
                <w:lang w:val="en-US" w:eastAsia="zh-CN"/>
              </w:rPr>
              <w:t>80%</w:t>
            </w:r>
          </w:p>
        </w:tc>
        <w:tc>
          <w:tcPr>
            <w:tcW w:w="1936" w:type="dxa"/>
            <w:vMerge w:val="continue"/>
            <w:noWrap w:val="0"/>
            <w:vAlign w:val="top"/>
          </w:tcPr>
          <w:p w14:paraId="5CE2B17F">
            <w:pPr>
              <w:keepNext w:val="0"/>
              <w:keepLines w:val="0"/>
              <w:pageBreakBefore w:val="0"/>
              <w:widowControl w:val="0"/>
              <w:numPr>
                <w:ilvl w:val="0"/>
                <w:numId w:val="0"/>
              </w:numPr>
              <w:kinsoku/>
              <w:wordWrap/>
              <w:overflowPunct w:val="0"/>
              <w:topLinePunct w:val="0"/>
              <w:bidi w:val="0"/>
              <w:spacing w:line="360" w:lineRule="auto"/>
              <w:jc w:val="both"/>
              <w:rPr>
                <w:rFonts w:hint="eastAsia" w:asciiTheme="minorEastAsia" w:hAnsiTheme="minorEastAsia" w:eastAsiaTheme="minorEastAsia" w:cstheme="minorEastAsia"/>
                <w:color w:val="auto"/>
                <w:sz w:val="24"/>
                <w:szCs w:val="24"/>
                <w:vertAlign w:val="baseline"/>
                <w:lang w:val="en-US" w:eastAsia="zh-CN"/>
              </w:rPr>
            </w:pPr>
          </w:p>
        </w:tc>
      </w:tr>
      <w:tr w14:paraId="0DC25D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57" w:type="dxa"/>
            <w:vMerge w:val="continue"/>
            <w:noWrap w:val="0"/>
            <w:vAlign w:val="top"/>
          </w:tcPr>
          <w:p w14:paraId="33988474">
            <w:pPr>
              <w:keepNext w:val="0"/>
              <w:keepLines w:val="0"/>
              <w:pageBreakBefore w:val="0"/>
              <w:widowControl w:val="0"/>
              <w:numPr>
                <w:ilvl w:val="0"/>
                <w:numId w:val="0"/>
              </w:numPr>
              <w:kinsoku/>
              <w:wordWrap/>
              <w:overflowPunct w:val="0"/>
              <w:topLinePunct w:val="0"/>
              <w:bidi w:val="0"/>
              <w:spacing w:line="360" w:lineRule="auto"/>
              <w:jc w:val="both"/>
              <w:rPr>
                <w:rFonts w:hint="eastAsia" w:asciiTheme="minorEastAsia" w:hAnsiTheme="minorEastAsia" w:eastAsiaTheme="minorEastAsia" w:cstheme="minorEastAsia"/>
                <w:color w:val="auto"/>
                <w:sz w:val="24"/>
                <w:szCs w:val="24"/>
                <w:vertAlign w:val="baseline"/>
                <w:lang w:val="en-US" w:eastAsia="zh-CN"/>
              </w:rPr>
            </w:pPr>
          </w:p>
        </w:tc>
        <w:tc>
          <w:tcPr>
            <w:tcW w:w="1352" w:type="dxa"/>
            <w:vMerge w:val="continue"/>
            <w:noWrap w:val="0"/>
            <w:vAlign w:val="top"/>
          </w:tcPr>
          <w:p w14:paraId="73DCDD98">
            <w:pPr>
              <w:keepNext w:val="0"/>
              <w:keepLines w:val="0"/>
              <w:pageBreakBefore w:val="0"/>
              <w:widowControl w:val="0"/>
              <w:numPr>
                <w:ilvl w:val="0"/>
                <w:numId w:val="0"/>
              </w:numPr>
              <w:kinsoku/>
              <w:wordWrap/>
              <w:overflowPunct w:val="0"/>
              <w:topLinePunct w:val="0"/>
              <w:bidi w:val="0"/>
              <w:spacing w:line="360" w:lineRule="auto"/>
              <w:jc w:val="both"/>
              <w:rPr>
                <w:rFonts w:hint="eastAsia" w:asciiTheme="minorEastAsia" w:hAnsiTheme="minorEastAsia" w:eastAsiaTheme="minorEastAsia" w:cstheme="minorEastAsia"/>
                <w:color w:val="auto"/>
                <w:sz w:val="24"/>
                <w:szCs w:val="24"/>
                <w:vertAlign w:val="baseline"/>
                <w:lang w:val="en-US" w:eastAsia="zh-CN"/>
              </w:rPr>
            </w:pPr>
          </w:p>
        </w:tc>
        <w:tc>
          <w:tcPr>
            <w:tcW w:w="3245" w:type="dxa"/>
            <w:noWrap w:val="0"/>
            <w:vAlign w:val="top"/>
          </w:tcPr>
          <w:p w14:paraId="0661EE2E">
            <w:pPr>
              <w:keepNext w:val="0"/>
              <w:keepLines w:val="0"/>
              <w:pageBreakBefore w:val="0"/>
              <w:widowControl w:val="0"/>
              <w:numPr>
                <w:ilvl w:val="0"/>
                <w:numId w:val="0"/>
              </w:numPr>
              <w:kinsoku/>
              <w:wordWrap/>
              <w:overflowPunct w:val="0"/>
              <w:topLinePunct w:val="0"/>
              <w:bidi w:val="0"/>
              <w:spacing w:line="360" w:lineRule="auto"/>
              <w:ind w:left="0" w:leftChars="0" w:firstLine="0" w:firstLineChars="0"/>
              <w:jc w:val="both"/>
              <w:rPr>
                <w:rFonts w:hint="eastAsia" w:asciiTheme="minorEastAsia" w:hAnsiTheme="minorEastAsia" w:eastAsiaTheme="minorEastAsia" w:cstheme="minorEastAsia"/>
                <w:color w:val="auto"/>
                <w:kern w:val="2"/>
                <w:sz w:val="24"/>
                <w:szCs w:val="24"/>
                <w:vertAlign w:val="baseline"/>
                <w:lang w:val="en-US" w:eastAsia="zh-CN" w:bidi="ar-SA"/>
              </w:rPr>
            </w:pPr>
            <w:r>
              <w:rPr>
                <w:rFonts w:hint="eastAsia" w:asciiTheme="minorEastAsia" w:hAnsiTheme="minorEastAsia" w:eastAsiaTheme="minorEastAsia" w:cstheme="minorEastAsia"/>
                <w:color w:val="auto"/>
                <w:sz w:val="24"/>
                <w:szCs w:val="24"/>
                <w:vertAlign w:val="baseline"/>
                <w:lang w:val="en-US" w:eastAsia="zh-CN"/>
              </w:rPr>
              <w:t>5000元以上</w:t>
            </w:r>
          </w:p>
        </w:tc>
        <w:tc>
          <w:tcPr>
            <w:tcW w:w="1286" w:type="dxa"/>
            <w:noWrap w:val="0"/>
            <w:vAlign w:val="top"/>
          </w:tcPr>
          <w:p w14:paraId="3F2F3F67">
            <w:pPr>
              <w:keepNext w:val="0"/>
              <w:keepLines w:val="0"/>
              <w:pageBreakBefore w:val="0"/>
              <w:widowControl w:val="0"/>
              <w:numPr>
                <w:ilvl w:val="0"/>
                <w:numId w:val="0"/>
              </w:numPr>
              <w:kinsoku/>
              <w:wordWrap/>
              <w:overflowPunct w:val="0"/>
              <w:topLinePunct w:val="0"/>
              <w:bidi w:val="0"/>
              <w:spacing w:line="360" w:lineRule="auto"/>
              <w:ind w:left="0" w:leftChars="0" w:firstLine="0" w:firstLineChars="0"/>
              <w:jc w:val="center"/>
              <w:rPr>
                <w:rFonts w:hint="eastAsia" w:asciiTheme="minorEastAsia" w:hAnsiTheme="minorEastAsia" w:eastAsiaTheme="minorEastAsia" w:cstheme="minorEastAsia"/>
                <w:color w:val="auto"/>
                <w:kern w:val="2"/>
                <w:sz w:val="24"/>
                <w:szCs w:val="24"/>
                <w:vertAlign w:val="baseline"/>
                <w:lang w:val="en-US" w:eastAsia="zh-CN" w:bidi="ar-SA"/>
              </w:rPr>
            </w:pPr>
            <w:r>
              <w:rPr>
                <w:rFonts w:hint="eastAsia" w:asciiTheme="minorEastAsia" w:hAnsiTheme="minorEastAsia" w:eastAsiaTheme="minorEastAsia" w:cstheme="minorEastAsia"/>
                <w:color w:val="auto"/>
                <w:sz w:val="24"/>
                <w:szCs w:val="24"/>
                <w:vertAlign w:val="baseline"/>
                <w:lang w:val="en-US" w:eastAsia="zh-CN"/>
              </w:rPr>
              <w:t>60%</w:t>
            </w:r>
          </w:p>
        </w:tc>
        <w:tc>
          <w:tcPr>
            <w:tcW w:w="1936" w:type="dxa"/>
            <w:vMerge w:val="continue"/>
            <w:noWrap w:val="0"/>
            <w:vAlign w:val="top"/>
          </w:tcPr>
          <w:p w14:paraId="24700EC3">
            <w:pPr>
              <w:keepNext w:val="0"/>
              <w:keepLines w:val="0"/>
              <w:pageBreakBefore w:val="0"/>
              <w:widowControl w:val="0"/>
              <w:numPr>
                <w:ilvl w:val="0"/>
                <w:numId w:val="0"/>
              </w:numPr>
              <w:kinsoku/>
              <w:wordWrap/>
              <w:overflowPunct w:val="0"/>
              <w:topLinePunct w:val="0"/>
              <w:bidi w:val="0"/>
              <w:spacing w:line="360" w:lineRule="auto"/>
              <w:jc w:val="both"/>
              <w:rPr>
                <w:rFonts w:hint="eastAsia" w:asciiTheme="minorEastAsia" w:hAnsiTheme="minorEastAsia" w:eastAsiaTheme="minorEastAsia" w:cstheme="minorEastAsia"/>
                <w:color w:val="auto"/>
                <w:sz w:val="24"/>
                <w:szCs w:val="24"/>
                <w:vertAlign w:val="baseline"/>
                <w:lang w:val="en-US" w:eastAsia="zh-CN"/>
              </w:rPr>
            </w:pPr>
          </w:p>
        </w:tc>
      </w:tr>
      <w:tr w14:paraId="125AA7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2" w:hRule="atLeast"/>
        </w:trPr>
        <w:tc>
          <w:tcPr>
            <w:tcW w:w="9676" w:type="dxa"/>
            <w:gridSpan w:val="5"/>
            <w:noWrap w:val="0"/>
            <w:vAlign w:val="top"/>
          </w:tcPr>
          <w:p w14:paraId="31B9AC96">
            <w:pPr>
              <w:keepNext w:val="0"/>
              <w:keepLines w:val="0"/>
              <w:pageBreakBefore w:val="0"/>
              <w:widowControl w:val="0"/>
              <w:numPr>
                <w:ilvl w:val="0"/>
                <w:numId w:val="0"/>
              </w:numPr>
              <w:kinsoku/>
              <w:wordWrap/>
              <w:overflowPunct w:val="0"/>
              <w:topLinePunct w:val="0"/>
              <w:bidi w:val="0"/>
              <w:spacing w:line="360" w:lineRule="auto"/>
              <w:jc w:val="center"/>
              <w:rPr>
                <w:rFonts w:hint="eastAsia" w:asciiTheme="minorEastAsia" w:hAnsiTheme="minorEastAsia" w:eastAsiaTheme="minorEastAsia" w:cstheme="minorEastAsia"/>
                <w:color w:val="auto"/>
                <w:sz w:val="24"/>
                <w:szCs w:val="24"/>
                <w:vertAlign w:val="baseline"/>
                <w:lang w:val="en-US" w:eastAsia="zh-CN"/>
              </w:rPr>
            </w:pPr>
            <w:r>
              <w:rPr>
                <w:rFonts w:hint="eastAsia" w:asciiTheme="minorEastAsia" w:hAnsiTheme="minorEastAsia" w:eastAsiaTheme="minorEastAsia" w:cstheme="minorEastAsia"/>
                <w:color w:val="auto"/>
                <w:sz w:val="24"/>
                <w:szCs w:val="24"/>
                <w:vertAlign w:val="baseline"/>
                <w:lang w:val="en-US" w:eastAsia="zh-CN"/>
              </w:rPr>
              <w:t>（五）因生产资料损失防贫保险金</w:t>
            </w:r>
          </w:p>
        </w:tc>
      </w:tr>
      <w:tr w14:paraId="599198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57" w:type="dxa"/>
            <w:noWrap w:val="0"/>
            <w:vAlign w:val="center"/>
          </w:tcPr>
          <w:p w14:paraId="68E3A079">
            <w:pPr>
              <w:keepNext w:val="0"/>
              <w:keepLines w:val="0"/>
              <w:pageBreakBefore w:val="0"/>
              <w:widowControl w:val="0"/>
              <w:numPr>
                <w:ilvl w:val="0"/>
                <w:numId w:val="0"/>
              </w:numPr>
              <w:kinsoku/>
              <w:wordWrap/>
              <w:overflowPunct w:val="0"/>
              <w:topLinePunct w:val="0"/>
              <w:bidi w:val="0"/>
              <w:spacing w:line="360" w:lineRule="auto"/>
              <w:ind w:left="0" w:leftChars="0" w:firstLine="0" w:firstLineChars="0"/>
              <w:jc w:val="center"/>
              <w:rPr>
                <w:rFonts w:hint="eastAsia" w:asciiTheme="minorEastAsia" w:hAnsiTheme="minorEastAsia" w:eastAsiaTheme="minorEastAsia" w:cstheme="minorEastAsia"/>
                <w:color w:val="auto"/>
                <w:kern w:val="2"/>
                <w:sz w:val="24"/>
                <w:szCs w:val="24"/>
                <w:vertAlign w:val="baseline"/>
                <w:lang w:val="en-US" w:eastAsia="zh-CN" w:bidi="ar-SA"/>
              </w:rPr>
            </w:pPr>
            <w:r>
              <w:rPr>
                <w:rFonts w:hint="eastAsia" w:asciiTheme="minorEastAsia" w:hAnsiTheme="minorEastAsia" w:eastAsiaTheme="minorEastAsia" w:cstheme="minorEastAsia"/>
                <w:color w:val="auto"/>
                <w:sz w:val="24"/>
                <w:szCs w:val="24"/>
                <w:vertAlign w:val="baseline"/>
                <w:lang w:val="en-US" w:eastAsia="zh-CN"/>
              </w:rPr>
              <w:t>保障对象</w:t>
            </w:r>
          </w:p>
        </w:tc>
        <w:tc>
          <w:tcPr>
            <w:tcW w:w="1352" w:type="dxa"/>
            <w:noWrap w:val="0"/>
            <w:vAlign w:val="center"/>
          </w:tcPr>
          <w:p w14:paraId="2106E51A">
            <w:pPr>
              <w:keepNext w:val="0"/>
              <w:keepLines w:val="0"/>
              <w:pageBreakBefore w:val="0"/>
              <w:widowControl w:val="0"/>
              <w:numPr>
                <w:ilvl w:val="0"/>
                <w:numId w:val="0"/>
              </w:numPr>
              <w:kinsoku/>
              <w:wordWrap/>
              <w:overflowPunct w:val="0"/>
              <w:topLinePunct w:val="0"/>
              <w:bidi w:val="0"/>
              <w:spacing w:line="360" w:lineRule="auto"/>
              <w:jc w:val="center"/>
              <w:rPr>
                <w:rFonts w:hint="eastAsia" w:asciiTheme="minorEastAsia" w:hAnsiTheme="minorEastAsia" w:eastAsiaTheme="minorEastAsia" w:cstheme="minorEastAsia"/>
                <w:color w:val="auto"/>
                <w:sz w:val="24"/>
                <w:szCs w:val="24"/>
                <w:vertAlign w:val="baseline"/>
                <w:lang w:val="en-US" w:eastAsia="zh-CN"/>
              </w:rPr>
            </w:pPr>
            <w:r>
              <w:rPr>
                <w:rFonts w:hint="eastAsia" w:asciiTheme="minorEastAsia" w:hAnsiTheme="minorEastAsia" w:eastAsiaTheme="minorEastAsia" w:cstheme="minorEastAsia"/>
                <w:color w:val="auto"/>
                <w:sz w:val="24"/>
                <w:szCs w:val="24"/>
                <w:vertAlign w:val="baseline"/>
                <w:lang w:val="en-US" w:eastAsia="zh-CN"/>
              </w:rPr>
              <w:t>起付线</w:t>
            </w:r>
          </w:p>
          <w:p w14:paraId="716D4100">
            <w:pPr>
              <w:keepNext w:val="0"/>
              <w:keepLines w:val="0"/>
              <w:pageBreakBefore w:val="0"/>
              <w:widowControl w:val="0"/>
              <w:numPr>
                <w:ilvl w:val="0"/>
                <w:numId w:val="0"/>
              </w:numPr>
              <w:kinsoku/>
              <w:wordWrap/>
              <w:overflowPunct w:val="0"/>
              <w:topLinePunct w:val="0"/>
              <w:bidi w:val="0"/>
              <w:spacing w:line="360" w:lineRule="auto"/>
              <w:ind w:left="0" w:leftChars="0" w:firstLine="0" w:firstLineChars="0"/>
              <w:jc w:val="center"/>
              <w:rPr>
                <w:rFonts w:hint="eastAsia" w:asciiTheme="minorEastAsia" w:hAnsiTheme="minorEastAsia" w:eastAsiaTheme="minorEastAsia" w:cstheme="minorEastAsia"/>
                <w:color w:val="auto"/>
                <w:kern w:val="2"/>
                <w:sz w:val="24"/>
                <w:szCs w:val="24"/>
                <w:vertAlign w:val="baseline"/>
                <w:lang w:val="en-US" w:eastAsia="zh-CN" w:bidi="ar-SA"/>
              </w:rPr>
            </w:pPr>
            <w:r>
              <w:rPr>
                <w:rFonts w:hint="eastAsia" w:asciiTheme="minorEastAsia" w:hAnsiTheme="minorEastAsia" w:eastAsiaTheme="minorEastAsia" w:cstheme="minorEastAsia"/>
                <w:color w:val="auto"/>
                <w:sz w:val="24"/>
                <w:szCs w:val="24"/>
                <w:vertAlign w:val="baseline"/>
                <w:lang w:val="en-US" w:eastAsia="zh-CN"/>
              </w:rPr>
              <w:t>（元/次.人）</w:t>
            </w:r>
          </w:p>
        </w:tc>
        <w:tc>
          <w:tcPr>
            <w:tcW w:w="3245" w:type="dxa"/>
            <w:noWrap w:val="0"/>
            <w:vAlign w:val="center"/>
          </w:tcPr>
          <w:p w14:paraId="1809533C">
            <w:pPr>
              <w:keepNext w:val="0"/>
              <w:keepLines w:val="0"/>
              <w:pageBreakBefore w:val="0"/>
              <w:widowControl w:val="0"/>
              <w:numPr>
                <w:ilvl w:val="0"/>
                <w:numId w:val="0"/>
              </w:numPr>
              <w:kinsoku/>
              <w:wordWrap/>
              <w:overflowPunct w:val="0"/>
              <w:topLinePunct w:val="0"/>
              <w:bidi w:val="0"/>
              <w:spacing w:line="360" w:lineRule="auto"/>
              <w:ind w:left="0" w:leftChars="0" w:firstLine="0" w:firstLineChars="0"/>
              <w:jc w:val="center"/>
              <w:rPr>
                <w:rFonts w:hint="eastAsia" w:asciiTheme="minorEastAsia" w:hAnsiTheme="minorEastAsia" w:eastAsiaTheme="minorEastAsia" w:cstheme="minorEastAsia"/>
                <w:color w:val="auto"/>
                <w:kern w:val="2"/>
                <w:sz w:val="24"/>
                <w:szCs w:val="24"/>
                <w:vertAlign w:val="baseline"/>
                <w:lang w:val="en-US" w:eastAsia="zh-CN" w:bidi="ar-SA"/>
              </w:rPr>
            </w:pPr>
            <w:r>
              <w:rPr>
                <w:rFonts w:hint="eastAsia" w:asciiTheme="minorEastAsia" w:hAnsiTheme="minorEastAsia" w:eastAsiaTheme="minorEastAsia" w:cstheme="minorEastAsia"/>
                <w:color w:val="auto"/>
                <w:sz w:val="24"/>
                <w:szCs w:val="24"/>
                <w:vertAlign w:val="baseline"/>
                <w:lang w:val="en-US" w:eastAsia="zh-CN"/>
              </w:rPr>
              <w:t>超出起付线以上赔偿金支出</w:t>
            </w:r>
          </w:p>
        </w:tc>
        <w:tc>
          <w:tcPr>
            <w:tcW w:w="1286" w:type="dxa"/>
            <w:noWrap w:val="0"/>
            <w:vAlign w:val="center"/>
          </w:tcPr>
          <w:p w14:paraId="436152B8">
            <w:pPr>
              <w:keepNext w:val="0"/>
              <w:keepLines w:val="0"/>
              <w:pageBreakBefore w:val="0"/>
              <w:widowControl w:val="0"/>
              <w:numPr>
                <w:ilvl w:val="0"/>
                <w:numId w:val="0"/>
              </w:numPr>
              <w:kinsoku/>
              <w:wordWrap/>
              <w:overflowPunct w:val="0"/>
              <w:topLinePunct w:val="0"/>
              <w:bidi w:val="0"/>
              <w:spacing w:line="360" w:lineRule="auto"/>
              <w:ind w:left="0" w:leftChars="0" w:firstLine="0" w:firstLineChars="0"/>
              <w:jc w:val="center"/>
              <w:rPr>
                <w:rFonts w:hint="eastAsia" w:asciiTheme="minorEastAsia" w:hAnsiTheme="minorEastAsia" w:eastAsiaTheme="minorEastAsia" w:cstheme="minorEastAsia"/>
                <w:color w:val="auto"/>
                <w:kern w:val="2"/>
                <w:sz w:val="24"/>
                <w:szCs w:val="24"/>
                <w:vertAlign w:val="baseline"/>
                <w:lang w:val="en-US" w:eastAsia="zh-CN" w:bidi="ar-SA"/>
              </w:rPr>
            </w:pPr>
            <w:r>
              <w:rPr>
                <w:rFonts w:hint="eastAsia" w:asciiTheme="minorEastAsia" w:hAnsiTheme="minorEastAsia" w:eastAsiaTheme="minorEastAsia" w:cstheme="minorEastAsia"/>
                <w:color w:val="auto"/>
                <w:sz w:val="24"/>
                <w:szCs w:val="24"/>
                <w:vertAlign w:val="baseline"/>
                <w:lang w:val="en-US" w:eastAsia="zh-CN"/>
              </w:rPr>
              <w:t>赔偿比例</w:t>
            </w:r>
          </w:p>
        </w:tc>
        <w:tc>
          <w:tcPr>
            <w:tcW w:w="1936" w:type="dxa"/>
            <w:noWrap w:val="0"/>
            <w:vAlign w:val="center"/>
          </w:tcPr>
          <w:p w14:paraId="39D6D6E2">
            <w:pPr>
              <w:keepNext w:val="0"/>
              <w:keepLines w:val="0"/>
              <w:pageBreakBefore w:val="0"/>
              <w:widowControl w:val="0"/>
              <w:numPr>
                <w:ilvl w:val="0"/>
                <w:numId w:val="0"/>
              </w:numPr>
              <w:kinsoku/>
              <w:wordWrap/>
              <w:overflowPunct w:val="0"/>
              <w:topLinePunct w:val="0"/>
              <w:bidi w:val="0"/>
              <w:spacing w:line="360" w:lineRule="auto"/>
              <w:jc w:val="center"/>
              <w:rPr>
                <w:rFonts w:hint="eastAsia" w:asciiTheme="minorEastAsia" w:hAnsiTheme="minorEastAsia" w:eastAsiaTheme="minorEastAsia" w:cstheme="minorEastAsia"/>
                <w:color w:val="auto"/>
                <w:sz w:val="24"/>
                <w:szCs w:val="24"/>
                <w:vertAlign w:val="baseline"/>
                <w:lang w:val="en-US" w:eastAsia="zh-CN"/>
              </w:rPr>
            </w:pPr>
            <w:r>
              <w:rPr>
                <w:rFonts w:hint="eastAsia" w:asciiTheme="minorEastAsia" w:hAnsiTheme="minorEastAsia" w:eastAsiaTheme="minorEastAsia" w:cstheme="minorEastAsia"/>
                <w:color w:val="auto"/>
                <w:sz w:val="24"/>
                <w:szCs w:val="24"/>
                <w:vertAlign w:val="baseline"/>
                <w:lang w:val="en-US" w:eastAsia="zh-CN"/>
              </w:rPr>
              <w:t>备注</w:t>
            </w:r>
          </w:p>
        </w:tc>
      </w:tr>
      <w:tr w14:paraId="4D3810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57" w:type="dxa"/>
            <w:vMerge w:val="restart"/>
            <w:noWrap w:val="0"/>
            <w:vAlign w:val="top"/>
          </w:tcPr>
          <w:p w14:paraId="1333AC4D">
            <w:pPr>
              <w:keepNext w:val="0"/>
              <w:keepLines w:val="0"/>
              <w:pageBreakBefore w:val="0"/>
              <w:widowControl w:val="0"/>
              <w:numPr>
                <w:ilvl w:val="0"/>
                <w:numId w:val="0"/>
              </w:numPr>
              <w:kinsoku/>
              <w:wordWrap/>
              <w:overflowPunct w:val="0"/>
              <w:topLinePunct w:val="0"/>
              <w:bidi w:val="0"/>
              <w:spacing w:line="360" w:lineRule="auto"/>
              <w:jc w:val="both"/>
              <w:rPr>
                <w:rFonts w:hint="eastAsia" w:asciiTheme="minorEastAsia" w:hAnsiTheme="minorEastAsia" w:eastAsiaTheme="minorEastAsia" w:cstheme="minorEastAsia"/>
                <w:color w:val="auto"/>
                <w:sz w:val="24"/>
                <w:szCs w:val="24"/>
                <w:vertAlign w:val="baseline"/>
                <w:lang w:val="en-US" w:eastAsia="zh-CN"/>
              </w:rPr>
            </w:pPr>
            <w:r>
              <w:rPr>
                <w:rFonts w:hint="eastAsia" w:asciiTheme="minorEastAsia" w:hAnsiTheme="minorEastAsia" w:eastAsiaTheme="minorEastAsia" w:cstheme="minorEastAsia"/>
                <w:color w:val="auto"/>
                <w:sz w:val="24"/>
                <w:szCs w:val="24"/>
                <w:vertAlign w:val="baseline"/>
                <w:lang w:val="en-US" w:eastAsia="zh-CN"/>
              </w:rPr>
              <w:t>“三类人员”、脱贫及其他农村低收入人群</w:t>
            </w:r>
          </w:p>
        </w:tc>
        <w:tc>
          <w:tcPr>
            <w:tcW w:w="1352" w:type="dxa"/>
            <w:vMerge w:val="restart"/>
            <w:noWrap w:val="0"/>
            <w:vAlign w:val="top"/>
          </w:tcPr>
          <w:p w14:paraId="2C5E0BB5">
            <w:pPr>
              <w:keepNext w:val="0"/>
              <w:keepLines w:val="0"/>
              <w:pageBreakBefore w:val="0"/>
              <w:widowControl w:val="0"/>
              <w:numPr>
                <w:ilvl w:val="0"/>
                <w:numId w:val="0"/>
              </w:numPr>
              <w:kinsoku/>
              <w:wordWrap/>
              <w:overflowPunct w:val="0"/>
              <w:topLinePunct w:val="0"/>
              <w:bidi w:val="0"/>
              <w:spacing w:line="360" w:lineRule="auto"/>
              <w:jc w:val="both"/>
              <w:rPr>
                <w:rFonts w:hint="eastAsia" w:asciiTheme="minorEastAsia" w:hAnsiTheme="minorEastAsia" w:eastAsiaTheme="minorEastAsia" w:cstheme="minorEastAsia"/>
                <w:color w:val="auto"/>
                <w:sz w:val="24"/>
                <w:szCs w:val="24"/>
                <w:vertAlign w:val="baseline"/>
                <w:lang w:val="en-US" w:eastAsia="zh-CN"/>
              </w:rPr>
            </w:pPr>
            <w:r>
              <w:rPr>
                <w:rFonts w:hint="eastAsia" w:asciiTheme="minorEastAsia" w:hAnsiTheme="minorEastAsia" w:eastAsiaTheme="minorEastAsia" w:cstheme="minorEastAsia"/>
                <w:color w:val="auto"/>
                <w:sz w:val="24"/>
                <w:szCs w:val="24"/>
                <w:vertAlign w:val="baseline"/>
                <w:lang w:val="en-US" w:eastAsia="zh-CN"/>
              </w:rPr>
              <w:t>10000元</w:t>
            </w:r>
          </w:p>
        </w:tc>
        <w:tc>
          <w:tcPr>
            <w:tcW w:w="3245" w:type="dxa"/>
            <w:noWrap w:val="0"/>
            <w:vAlign w:val="top"/>
          </w:tcPr>
          <w:p w14:paraId="766EFE42">
            <w:pPr>
              <w:keepNext w:val="0"/>
              <w:keepLines w:val="0"/>
              <w:pageBreakBefore w:val="0"/>
              <w:widowControl w:val="0"/>
              <w:numPr>
                <w:ilvl w:val="0"/>
                <w:numId w:val="0"/>
              </w:numPr>
              <w:kinsoku/>
              <w:wordWrap/>
              <w:overflowPunct w:val="0"/>
              <w:topLinePunct w:val="0"/>
              <w:bidi w:val="0"/>
              <w:spacing w:line="360" w:lineRule="auto"/>
              <w:ind w:left="0" w:leftChars="0" w:firstLine="0" w:firstLineChars="0"/>
              <w:jc w:val="both"/>
              <w:rPr>
                <w:rFonts w:hint="eastAsia" w:asciiTheme="minorEastAsia" w:hAnsiTheme="minorEastAsia" w:eastAsiaTheme="minorEastAsia" w:cstheme="minorEastAsia"/>
                <w:color w:val="auto"/>
                <w:kern w:val="2"/>
                <w:sz w:val="24"/>
                <w:szCs w:val="24"/>
                <w:vertAlign w:val="baseline"/>
                <w:lang w:val="en-US" w:eastAsia="zh-CN" w:bidi="ar-SA"/>
              </w:rPr>
            </w:pPr>
            <w:r>
              <w:rPr>
                <w:rFonts w:hint="eastAsia" w:asciiTheme="minorEastAsia" w:hAnsiTheme="minorEastAsia" w:eastAsiaTheme="minorEastAsia" w:cstheme="minorEastAsia"/>
                <w:color w:val="auto"/>
                <w:sz w:val="24"/>
                <w:szCs w:val="24"/>
                <w:vertAlign w:val="baseline"/>
                <w:lang w:val="en-US" w:eastAsia="zh-CN"/>
              </w:rPr>
              <w:t>3000元以下</w:t>
            </w:r>
          </w:p>
        </w:tc>
        <w:tc>
          <w:tcPr>
            <w:tcW w:w="1286" w:type="dxa"/>
            <w:noWrap w:val="0"/>
            <w:vAlign w:val="center"/>
          </w:tcPr>
          <w:p w14:paraId="7617BC42">
            <w:pPr>
              <w:keepNext w:val="0"/>
              <w:keepLines w:val="0"/>
              <w:pageBreakBefore w:val="0"/>
              <w:widowControl w:val="0"/>
              <w:numPr>
                <w:ilvl w:val="0"/>
                <w:numId w:val="0"/>
              </w:numPr>
              <w:kinsoku/>
              <w:wordWrap/>
              <w:overflowPunct w:val="0"/>
              <w:topLinePunct w:val="0"/>
              <w:bidi w:val="0"/>
              <w:spacing w:line="360" w:lineRule="auto"/>
              <w:ind w:left="0" w:leftChars="0" w:firstLine="0" w:firstLineChars="0"/>
              <w:jc w:val="center"/>
              <w:rPr>
                <w:rFonts w:hint="eastAsia" w:asciiTheme="minorEastAsia" w:hAnsiTheme="minorEastAsia" w:eastAsiaTheme="minorEastAsia" w:cstheme="minorEastAsia"/>
                <w:color w:val="auto"/>
                <w:kern w:val="2"/>
                <w:sz w:val="24"/>
                <w:szCs w:val="24"/>
                <w:vertAlign w:val="baseline"/>
                <w:lang w:val="en-US" w:eastAsia="zh-CN" w:bidi="ar-SA"/>
              </w:rPr>
            </w:pPr>
            <w:r>
              <w:rPr>
                <w:rFonts w:hint="eastAsia" w:asciiTheme="minorEastAsia" w:hAnsiTheme="minorEastAsia" w:eastAsiaTheme="minorEastAsia" w:cstheme="minorEastAsia"/>
                <w:color w:val="auto"/>
                <w:sz w:val="24"/>
                <w:szCs w:val="24"/>
                <w:vertAlign w:val="baseline"/>
                <w:lang w:val="en-US" w:eastAsia="zh-CN"/>
              </w:rPr>
              <w:t>100%</w:t>
            </w:r>
          </w:p>
        </w:tc>
        <w:tc>
          <w:tcPr>
            <w:tcW w:w="1936" w:type="dxa"/>
            <w:vMerge w:val="restart"/>
            <w:noWrap w:val="0"/>
            <w:vAlign w:val="center"/>
          </w:tcPr>
          <w:p w14:paraId="568248C7">
            <w:pPr>
              <w:keepNext w:val="0"/>
              <w:keepLines w:val="0"/>
              <w:pageBreakBefore w:val="0"/>
              <w:widowControl w:val="0"/>
              <w:numPr>
                <w:ilvl w:val="0"/>
                <w:numId w:val="0"/>
              </w:numPr>
              <w:kinsoku/>
              <w:wordWrap/>
              <w:overflowPunct w:val="0"/>
              <w:topLinePunct w:val="0"/>
              <w:bidi w:val="0"/>
              <w:spacing w:line="360" w:lineRule="auto"/>
              <w:jc w:val="center"/>
              <w:rPr>
                <w:rFonts w:hint="eastAsia" w:asciiTheme="minorEastAsia" w:hAnsiTheme="minorEastAsia" w:eastAsiaTheme="minorEastAsia" w:cstheme="minorEastAsia"/>
                <w:color w:val="auto"/>
                <w:sz w:val="24"/>
                <w:szCs w:val="24"/>
                <w:vertAlign w:val="baseline"/>
                <w:lang w:val="en-US" w:eastAsia="zh-CN"/>
              </w:rPr>
            </w:pPr>
            <w:r>
              <w:rPr>
                <w:rFonts w:hint="eastAsia" w:asciiTheme="minorEastAsia" w:hAnsiTheme="minorEastAsia" w:eastAsiaTheme="minorEastAsia" w:cstheme="minorEastAsia"/>
                <w:color w:val="auto"/>
                <w:sz w:val="24"/>
                <w:szCs w:val="24"/>
                <w:vertAlign w:val="baseline"/>
                <w:lang w:val="en-US" w:eastAsia="zh-CN"/>
              </w:rPr>
              <w:t>最高每户限额不超过2万元</w:t>
            </w:r>
          </w:p>
          <w:p w14:paraId="380DF531">
            <w:pPr>
              <w:keepNext w:val="0"/>
              <w:keepLines w:val="0"/>
              <w:pageBreakBefore w:val="0"/>
              <w:widowControl w:val="0"/>
              <w:numPr>
                <w:ilvl w:val="0"/>
                <w:numId w:val="0"/>
              </w:numPr>
              <w:kinsoku/>
              <w:wordWrap/>
              <w:overflowPunct w:val="0"/>
              <w:topLinePunct w:val="0"/>
              <w:bidi w:val="0"/>
              <w:spacing w:line="360" w:lineRule="auto"/>
              <w:jc w:val="center"/>
              <w:rPr>
                <w:rFonts w:hint="eastAsia" w:asciiTheme="minorEastAsia" w:hAnsiTheme="minorEastAsia" w:eastAsiaTheme="minorEastAsia" w:cstheme="minorEastAsia"/>
                <w:color w:val="auto"/>
                <w:sz w:val="24"/>
                <w:szCs w:val="24"/>
                <w:vertAlign w:val="baseline"/>
                <w:lang w:val="en-US" w:eastAsia="zh-CN"/>
              </w:rPr>
            </w:pPr>
          </w:p>
        </w:tc>
      </w:tr>
      <w:tr w14:paraId="1200FD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57" w:type="dxa"/>
            <w:vMerge w:val="continue"/>
            <w:noWrap w:val="0"/>
            <w:vAlign w:val="top"/>
          </w:tcPr>
          <w:p w14:paraId="0143446B">
            <w:pPr>
              <w:keepNext w:val="0"/>
              <w:keepLines w:val="0"/>
              <w:pageBreakBefore w:val="0"/>
              <w:widowControl w:val="0"/>
              <w:numPr>
                <w:ilvl w:val="0"/>
                <w:numId w:val="0"/>
              </w:numPr>
              <w:kinsoku/>
              <w:wordWrap/>
              <w:overflowPunct w:val="0"/>
              <w:topLinePunct w:val="0"/>
              <w:bidi w:val="0"/>
              <w:spacing w:line="360" w:lineRule="auto"/>
              <w:jc w:val="both"/>
              <w:rPr>
                <w:rFonts w:hint="eastAsia" w:asciiTheme="minorEastAsia" w:hAnsiTheme="minorEastAsia" w:eastAsiaTheme="minorEastAsia" w:cstheme="minorEastAsia"/>
                <w:color w:val="auto"/>
                <w:sz w:val="24"/>
                <w:szCs w:val="24"/>
                <w:vertAlign w:val="baseline"/>
                <w:lang w:val="en-US" w:eastAsia="zh-CN"/>
              </w:rPr>
            </w:pPr>
          </w:p>
        </w:tc>
        <w:tc>
          <w:tcPr>
            <w:tcW w:w="1352" w:type="dxa"/>
            <w:vMerge w:val="continue"/>
            <w:noWrap w:val="0"/>
            <w:vAlign w:val="top"/>
          </w:tcPr>
          <w:p w14:paraId="14F512AD">
            <w:pPr>
              <w:keepNext w:val="0"/>
              <w:keepLines w:val="0"/>
              <w:pageBreakBefore w:val="0"/>
              <w:widowControl w:val="0"/>
              <w:numPr>
                <w:ilvl w:val="0"/>
                <w:numId w:val="0"/>
              </w:numPr>
              <w:kinsoku/>
              <w:wordWrap/>
              <w:overflowPunct w:val="0"/>
              <w:topLinePunct w:val="0"/>
              <w:bidi w:val="0"/>
              <w:spacing w:line="360" w:lineRule="auto"/>
              <w:jc w:val="both"/>
              <w:rPr>
                <w:rFonts w:hint="eastAsia" w:asciiTheme="minorEastAsia" w:hAnsiTheme="minorEastAsia" w:eastAsiaTheme="minorEastAsia" w:cstheme="minorEastAsia"/>
                <w:color w:val="auto"/>
                <w:sz w:val="24"/>
                <w:szCs w:val="24"/>
                <w:vertAlign w:val="baseline"/>
                <w:lang w:val="en-US" w:eastAsia="zh-CN"/>
              </w:rPr>
            </w:pPr>
          </w:p>
        </w:tc>
        <w:tc>
          <w:tcPr>
            <w:tcW w:w="3245" w:type="dxa"/>
            <w:noWrap w:val="0"/>
            <w:vAlign w:val="top"/>
          </w:tcPr>
          <w:p w14:paraId="0CD85406">
            <w:pPr>
              <w:keepNext w:val="0"/>
              <w:keepLines w:val="0"/>
              <w:pageBreakBefore w:val="0"/>
              <w:widowControl w:val="0"/>
              <w:numPr>
                <w:ilvl w:val="0"/>
                <w:numId w:val="0"/>
              </w:numPr>
              <w:kinsoku/>
              <w:wordWrap/>
              <w:overflowPunct w:val="0"/>
              <w:topLinePunct w:val="0"/>
              <w:bidi w:val="0"/>
              <w:spacing w:line="360" w:lineRule="auto"/>
              <w:ind w:left="0" w:leftChars="0" w:firstLine="0" w:firstLineChars="0"/>
              <w:jc w:val="both"/>
              <w:rPr>
                <w:rFonts w:hint="eastAsia" w:asciiTheme="minorEastAsia" w:hAnsiTheme="minorEastAsia" w:eastAsiaTheme="minorEastAsia" w:cstheme="minorEastAsia"/>
                <w:color w:val="auto"/>
                <w:kern w:val="2"/>
                <w:sz w:val="24"/>
                <w:szCs w:val="24"/>
                <w:vertAlign w:val="baseline"/>
                <w:lang w:val="en-US" w:eastAsia="zh-CN" w:bidi="ar-SA"/>
              </w:rPr>
            </w:pPr>
            <w:r>
              <w:rPr>
                <w:rFonts w:hint="eastAsia" w:asciiTheme="minorEastAsia" w:hAnsiTheme="minorEastAsia" w:eastAsiaTheme="minorEastAsia" w:cstheme="minorEastAsia"/>
                <w:color w:val="auto"/>
                <w:sz w:val="24"/>
                <w:szCs w:val="24"/>
                <w:vertAlign w:val="baseline"/>
                <w:lang w:val="en-US" w:eastAsia="zh-CN"/>
              </w:rPr>
              <w:t>3000元（含）-5000元以下</w:t>
            </w:r>
          </w:p>
        </w:tc>
        <w:tc>
          <w:tcPr>
            <w:tcW w:w="1286" w:type="dxa"/>
            <w:noWrap w:val="0"/>
            <w:vAlign w:val="top"/>
          </w:tcPr>
          <w:p w14:paraId="57817426">
            <w:pPr>
              <w:keepNext w:val="0"/>
              <w:keepLines w:val="0"/>
              <w:pageBreakBefore w:val="0"/>
              <w:widowControl w:val="0"/>
              <w:numPr>
                <w:ilvl w:val="0"/>
                <w:numId w:val="0"/>
              </w:numPr>
              <w:kinsoku/>
              <w:wordWrap/>
              <w:overflowPunct w:val="0"/>
              <w:topLinePunct w:val="0"/>
              <w:bidi w:val="0"/>
              <w:spacing w:line="360" w:lineRule="auto"/>
              <w:ind w:left="0" w:leftChars="0" w:firstLine="0" w:firstLineChars="0"/>
              <w:jc w:val="center"/>
              <w:rPr>
                <w:rFonts w:hint="eastAsia" w:asciiTheme="minorEastAsia" w:hAnsiTheme="minorEastAsia" w:eastAsiaTheme="minorEastAsia" w:cstheme="minorEastAsia"/>
                <w:color w:val="auto"/>
                <w:kern w:val="2"/>
                <w:sz w:val="24"/>
                <w:szCs w:val="24"/>
                <w:vertAlign w:val="baseline"/>
                <w:lang w:val="en-US" w:eastAsia="zh-CN" w:bidi="ar-SA"/>
              </w:rPr>
            </w:pPr>
            <w:r>
              <w:rPr>
                <w:rFonts w:hint="eastAsia" w:asciiTheme="minorEastAsia" w:hAnsiTheme="minorEastAsia" w:eastAsiaTheme="minorEastAsia" w:cstheme="minorEastAsia"/>
                <w:color w:val="auto"/>
                <w:sz w:val="24"/>
                <w:szCs w:val="24"/>
                <w:vertAlign w:val="baseline"/>
                <w:lang w:val="en-US" w:eastAsia="zh-CN"/>
              </w:rPr>
              <w:t>80%</w:t>
            </w:r>
          </w:p>
        </w:tc>
        <w:tc>
          <w:tcPr>
            <w:tcW w:w="1936" w:type="dxa"/>
            <w:vMerge w:val="continue"/>
            <w:noWrap w:val="0"/>
            <w:vAlign w:val="top"/>
          </w:tcPr>
          <w:p w14:paraId="438AA5D6">
            <w:pPr>
              <w:keepNext w:val="0"/>
              <w:keepLines w:val="0"/>
              <w:pageBreakBefore w:val="0"/>
              <w:widowControl w:val="0"/>
              <w:numPr>
                <w:ilvl w:val="0"/>
                <w:numId w:val="0"/>
              </w:numPr>
              <w:kinsoku/>
              <w:wordWrap/>
              <w:overflowPunct w:val="0"/>
              <w:topLinePunct w:val="0"/>
              <w:bidi w:val="0"/>
              <w:spacing w:line="360" w:lineRule="auto"/>
              <w:jc w:val="both"/>
              <w:rPr>
                <w:rFonts w:hint="eastAsia" w:asciiTheme="minorEastAsia" w:hAnsiTheme="minorEastAsia" w:eastAsiaTheme="minorEastAsia" w:cstheme="minorEastAsia"/>
                <w:color w:val="auto"/>
                <w:sz w:val="24"/>
                <w:szCs w:val="24"/>
                <w:vertAlign w:val="baseline"/>
                <w:lang w:val="en-US" w:eastAsia="zh-CN"/>
              </w:rPr>
            </w:pPr>
          </w:p>
        </w:tc>
      </w:tr>
      <w:tr w14:paraId="3A73D3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57" w:type="dxa"/>
            <w:vMerge w:val="continue"/>
            <w:noWrap w:val="0"/>
            <w:vAlign w:val="top"/>
          </w:tcPr>
          <w:p w14:paraId="695B88BF">
            <w:pPr>
              <w:keepNext w:val="0"/>
              <w:keepLines w:val="0"/>
              <w:pageBreakBefore w:val="0"/>
              <w:widowControl w:val="0"/>
              <w:numPr>
                <w:ilvl w:val="0"/>
                <w:numId w:val="0"/>
              </w:numPr>
              <w:kinsoku/>
              <w:wordWrap/>
              <w:overflowPunct w:val="0"/>
              <w:topLinePunct w:val="0"/>
              <w:bidi w:val="0"/>
              <w:spacing w:line="360" w:lineRule="auto"/>
              <w:jc w:val="both"/>
              <w:rPr>
                <w:rFonts w:hint="eastAsia" w:asciiTheme="minorEastAsia" w:hAnsiTheme="minorEastAsia" w:eastAsiaTheme="minorEastAsia" w:cstheme="minorEastAsia"/>
                <w:color w:val="auto"/>
                <w:sz w:val="24"/>
                <w:szCs w:val="24"/>
                <w:vertAlign w:val="baseline"/>
                <w:lang w:val="en-US" w:eastAsia="zh-CN"/>
              </w:rPr>
            </w:pPr>
          </w:p>
        </w:tc>
        <w:tc>
          <w:tcPr>
            <w:tcW w:w="1352" w:type="dxa"/>
            <w:vMerge w:val="continue"/>
            <w:noWrap w:val="0"/>
            <w:vAlign w:val="top"/>
          </w:tcPr>
          <w:p w14:paraId="279ED594">
            <w:pPr>
              <w:keepNext w:val="0"/>
              <w:keepLines w:val="0"/>
              <w:pageBreakBefore w:val="0"/>
              <w:widowControl w:val="0"/>
              <w:numPr>
                <w:ilvl w:val="0"/>
                <w:numId w:val="0"/>
              </w:numPr>
              <w:kinsoku/>
              <w:wordWrap/>
              <w:overflowPunct w:val="0"/>
              <w:topLinePunct w:val="0"/>
              <w:bidi w:val="0"/>
              <w:spacing w:line="360" w:lineRule="auto"/>
              <w:jc w:val="both"/>
              <w:rPr>
                <w:rFonts w:hint="eastAsia" w:asciiTheme="minorEastAsia" w:hAnsiTheme="minorEastAsia" w:eastAsiaTheme="minorEastAsia" w:cstheme="minorEastAsia"/>
                <w:color w:val="auto"/>
                <w:sz w:val="24"/>
                <w:szCs w:val="24"/>
                <w:vertAlign w:val="baseline"/>
                <w:lang w:val="en-US" w:eastAsia="zh-CN"/>
              </w:rPr>
            </w:pPr>
          </w:p>
        </w:tc>
        <w:tc>
          <w:tcPr>
            <w:tcW w:w="3245" w:type="dxa"/>
            <w:noWrap w:val="0"/>
            <w:vAlign w:val="top"/>
          </w:tcPr>
          <w:p w14:paraId="4C6C1F72">
            <w:pPr>
              <w:keepNext w:val="0"/>
              <w:keepLines w:val="0"/>
              <w:pageBreakBefore w:val="0"/>
              <w:widowControl w:val="0"/>
              <w:numPr>
                <w:ilvl w:val="0"/>
                <w:numId w:val="0"/>
              </w:numPr>
              <w:kinsoku/>
              <w:wordWrap/>
              <w:overflowPunct w:val="0"/>
              <w:topLinePunct w:val="0"/>
              <w:bidi w:val="0"/>
              <w:spacing w:line="360" w:lineRule="auto"/>
              <w:ind w:left="0" w:leftChars="0" w:firstLine="0" w:firstLineChars="0"/>
              <w:jc w:val="both"/>
              <w:rPr>
                <w:rFonts w:hint="eastAsia" w:asciiTheme="minorEastAsia" w:hAnsiTheme="minorEastAsia" w:eastAsiaTheme="minorEastAsia" w:cstheme="minorEastAsia"/>
                <w:color w:val="auto"/>
                <w:kern w:val="2"/>
                <w:sz w:val="24"/>
                <w:szCs w:val="24"/>
                <w:vertAlign w:val="baseline"/>
                <w:lang w:val="en-US" w:eastAsia="zh-CN" w:bidi="ar-SA"/>
              </w:rPr>
            </w:pPr>
            <w:r>
              <w:rPr>
                <w:rFonts w:hint="eastAsia" w:asciiTheme="minorEastAsia" w:hAnsiTheme="minorEastAsia" w:eastAsiaTheme="minorEastAsia" w:cstheme="minorEastAsia"/>
                <w:color w:val="auto"/>
                <w:sz w:val="24"/>
                <w:szCs w:val="24"/>
                <w:vertAlign w:val="baseline"/>
                <w:lang w:val="en-US" w:eastAsia="zh-CN"/>
              </w:rPr>
              <w:t>5000元以上</w:t>
            </w:r>
          </w:p>
        </w:tc>
        <w:tc>
          <w:tcPr>
            <w:tcW w:w="1286" w:type="dxa"/>
            <w:noWrap w:val="0"/>
            <w:vAlign w:val="top"/>
          </w:tcPr>
          <w:p w14:paraId="6EDFD90E">
            <w:pPr>
              <w:keepNext w:val="0"/>
              <w:keepLines w:val="0"/>
              <w:pageBreakBefore w:val="0"/>
              <w:widowControl w:val="0"/>
              <w:numPr>
                <w:ilvl w:val="0"/>
                <w:numId w:val="0"/>
              </w:numPr>
              <w:kinsoku/>
              <w:wordWrap/>
              <w:overflowPunct w:val="0"/>
              <w:topLinePunct w:val="0"/>
              <w:bidi w:val="0"/>
              <w:spacing w:line="360" w:lineRule="auto"/>
              <w:ind w:left="0" w:leftChars="0" w:firstLine="0" w:firstLineChars="0"/>
              <w:jc w:val="center"/>
              <w:rPr>
                <w:rFonts w:hint="eastAsia" w:asciiTheme="minorEastAsia" w:hAnsiTheme="minorEastAsia" w:eastAsiaTheme="minorEastAsia" w:cstheme="minorEastAsia"/>
                <w:color w:val="auto"/>
                <w:kern w:val="2"/>
                <w:sz w:val="24"/>
                <w:szCs w:val="24"/>
                <w:vertAlign w:val="baseline"/>
                <w:lang w:val="en-US" w:eastAsia="zh-CN" w:bidi="ar-SA"/>
              </w:rPr>
            </w:pPr>
            <w:r>
              <w:rPr>
                <w:rFonts w:hint="eastAsia" w:asciiTheme="minorEastAsia" w:hAnsiTheme="minorEastAsia" w:eastAsiaTheme="minorEastAsia" w:cstheme="minorEastAsia"/>
                <w:color w:val="auto"/>
                <w:sz w:val="24"/>
                <w:szCs w:val="24"/>
                <w:vertAlign w:val="baseline"/>
                <w:lang w:val="en-US" w:eastAsia="zh-CN"/>
              </w:rPr>
              <w:t>60%</w:t>
            </w:r>
          </w:p>
        </w:tc>
        <w:tc>
          <w:tcPr>
            <w:tcW w:w="1936" w:type="dxa"/>
            <w:vMerge w:val="continue"/>
            <w:noWrap w:val="0"/>
            <w:vAlign w:val="top"/>
          </w:tcPr>
          <w:p w14:paraId="50003F74">
            <w:pPr>
              <w:keepNext w:val="0"/>
              <w:keepLines w:val="0"/>
              <w:pageBreakBefore w:val="0"/>
              <w:widowControl w:val="0"/>
              <w:numPr>
                <w:ilvl w:val="0"/>
                <w:numId w:val="0"/>
              </w:numPr>
              <w:kinsoku/>
              <w:wordWrap/>
              <w:overflowPunct w:val="0"/>
              <w:topLinePunct w:val="0"/>
              <w:bidi w:val="0"/>
              <w:spacing w:line="360" w:lineRule="auto"/>
              <w:jc w:val="both"/>
              <w:rPr>
                <w:rFonts w:hint="eastAsia" w:asciiTheme="minorEastAsia" w:hAnsiTheme="minorEastAsia" w:eastAsiaTheme="minorEastAsia" w:cstheme="minorEastAsia"/>
                <w:color w:val="auto"/>
                <w:sz w:val="24"/>
                <w:szCs w:val="24"/>
                <w:vertAlign w:val="baseline"/>
                <w:lang w:val="en-US" w:eastAsia="zh-CN"/>
              </w:rPr>
            </w:pPr>
          </w:p>
        </w:tc>
      </w:tr>
    </w:tbl>
    <w:p w14:paraId="17ED5784">
      <w:pPr>
        <w:keepNext w:val="0"/>
        <w:keepLines w:val="0"/>
        <w:pageBreakBefore w:val="0"/>
        <w:kinsoku/>
        <w:wordWrap/>
        <w:overflowPunct w:val="0"/>
        <w:topLinePunct w:val="0"/>
        <w:bidi w:val="0"/>
        <w:spacing w:line="360" w:lineRule="auto"/>
        <w:jc w:val="both"/>
        <w:rPr>
          <w:rFonts w:hint="eastAsia" w:asciiTheme="minorEastAsia" w:hAnsiTheme="minorEastAsia" w:eastAsiaTheme="minorEastAsia" w:cstheme="minorEastAsia"/>
          <w:b/>
          <w:bCs w:val="0"/>
          <w:color w:val="auto"/>
          <w:sz w:val="24"/>
          <w:szCs w:val="24"/>
          <w:lang w:val="en-US" w:eastAsia="zh-CN"/>
        </w:rPr>
      </w:pPr>
      <w:r>
        <w:rPr>
          <w:rFonts w:hint="eastAsia" w:asciiTheme="minorEastAsia" w:hAnsiTheme="minorEastAsia" w:eastAsiaTheme="minorEastAsia" w:cstheme="minorEastAsia"/>
          <w:b/>
          <w:bCs w:val="0"/>
          <w:color w:val="auto"/>
          <w:sz w:val="24"/>
          <w:szCs w:val="24"/>
          <w:lang w:val="en-US" w:eastAsia="zh-CN"/>
        </w:rPr>
        <w:t>7、责任免除</w:t>
      </w:r>
    </w:p>
    <w:p w14:paraId="06C5EC94">
      <w:pPr>
        <w:keepNext w:val="0"/>
        <w:keepLines w:val="0"/>
        <w:pageBreakBefore w:val="0"/>
        <w:kinsoku/>
        <w:wordWrap/>
        <w:overflowPunct w:val="0"/>
        <w:topLinePunct w:val="0"/>
        <w:bidi w:val="0"/>
        <w:spacing w:line="360" w:lineRule="auto"/>
        <w:ind w:firstLine="480" w:firstLineChars="200"/>
        <w:rPr>
          <w:rFonts w:hint="eastAsia" w:asciiTheme="minorEastAsia" w:hAnsiTheme="minorEastAsia" w:eastAsiaTheme="minorEastAsia" w:cstheme="minorEastAsia"/>
          <w:bCs/>
          <w:color w:val="auto"/>
          <w:sz w:val="24"/>
          <w:szCs w:val="24"/>
          <w:lang w:val="en-US" w:eastAsia="zh-CN"/>
        </w:rPr>
      </w:pPr>
      <w:r>
        <w:rPr>
          <w:rFonts w:hint="eastAsia" w:asciiTheme="minorEastAsia" w:hAnsiTheme="minorEastAsia" w:eastAsiaTheme="minorEastAsia" w:cstheme="minorEastAsia"/>
          <w:bCs/>
          <w:color w:val="auto"/>
          <w:sz w:val="24"/>
          <w:szCs w:val="24"/>
          <w:lang w:val="en-US" w:eastAsia="zh-CN"/>
        </w:rPr>
        <w:t>不符合县巩固脱贫攻坚成果领导小组认定的“三类人员”标准的人员不予发放防贫保险金。</w:t>
      </w:r>
    </w:p>
    <w:p w14:paraId="04E930BA">
      <w:pPr>
        <w:keepNext w:val="0"/>
        <w:keepLines w:val="0"/>
        <w:pageBreakBefore w:val="0"/>
        <w:kinsoku/>
        <w:wordWrap/>
        <w:overflowPunct w:val="0"/>
        <w:topLinePunct w:val="0"/>
        <w:bidi w:val="0"/>
        <w:spacing w:line="360" w:lineRule="auto"/>
        <w:ind w:firstLine="480" w:firstLineChars="200"/>
        <w:rPr>
          <w:rFonts w:hint="eastAsia" w:asciiTheme="minorEastAsia" w:hAnsiTheme="minorEastAsia" w:eastAsiaTheme="minorEastAsia" w:cstheme="minorEastAsia"/>
          <w:bCs/>
          <w:color w:val="auto"/>
          <w:sz w:val="24"/>
          <w:szCs w:val="24"/>
          <w:lang w:val="en-US" w:eastAsia="zh-CN"/>
        </w:rPr>
      </w:pPr>
      <w:r>
        <w:rPr>
          <w:rFonts w:hint="eastAsia" w:asciiTheme="minorEastAsia" w:hAnsiTheme="minorEastAsia" w:eastAsiaTheme="minorEastAsia" w:cstheme="minorEastAsia"/>
          <w:bCs/>
          <w:color w:val="auto"/>
          <w:sz w:val="24"/>
          <w:szCs w:val="24"/>
          <w:lang w:val="en-US" w:eastAsia="zh-CN"/>
        </w:rPr>
        <w:t>非因病、因学、因灾(含意外事故)、因赔偿责任、因生产资料损失等致贫或返贫的，不予发放防贫保险金。</w:t>
      </w:r>
    </w:p>
    <w:p w14:paraId="25AF3397">
      <w:pPr>
        <w:keepNext w:val="0"/>
        <w:keepLines w:val="0"/>
        <w:pageBreakBefore w:val="0"/>
        <w:kinsoku/>
        <w:wordWrap/>
        <w:overflowPunct w:val="0"/>
        <w:topLinePunct w:val="0"/>
        <w:bidi w:val="0"/>
        <w:spacing w:line="360" w:lineRule="auto"/>
        <w:ind w:firstLine="480" w:firstLineChars="200"/>
        <w:rPr>
          <w:rFonts w:hint="eastAsia" w:asciiTheme="minorEastAsia" w:hAnsiTheme="minorEastAsia" w:eastAsiaTheme="minorEastAsia" w:cstheme="minorEastAsia"/>
          <w:bCs/>
          <w:color w:val="auto"/>
          <w:sz w:val="24"/>
          <w:szCs w:val="24"/>
          <w:lang w:val="en-US" w:eastAsia="zh-CN"/>
        </w:rPr>
      </w:pPr>
      <w:r>
        <w:rPr>
          <w:rFonts w:hint="eastAsia" w:asciiTheme="minorEastAsia" w:hAnsiTheme="minorEastAsia" w:eastAsiaTheme="minorEastAsia" w:cstheme="minorEastAsia"/>
          <w:bCs/>
          <w:color w:val="auto"/>
          <w:sz w:val="24"/>
          <w:szCs w:val="24"/>
          <w:lang w:val="en-US" w:eastAsia="zh-CN"/>
        </w:rPr>
        <w:t>因下列原因之一，直接或间接造成的住院医疗费用支出的，保险人不予发放防贫保险金。</w:t>
      </w:r>
    </w:p>
    <w:p w14:paraId="4B76E978">
      <w:pPr>
        <w:keepNext w:val="0"/>
        <w:keepLines w:val="0"/>
        <w:pageBreakBefore w:val="0"/>
        <w:kinsoku/>
        <w:wordWrap/>
        <w:overflowPunct w:val="0"/>
        <w:topLinePunct w:val="0"/>
        <w:bidi w:val="0"/>
        <w:spacing w:line="360" w:lineRule="auto"/>
        <w:ind w:firstLine="480" w:firstLineChars="200"/>
        <w:rPr>
          <w:rFonts w:hint="eastAsia" w:asciiTheme="minorEastAsia" w:hAnsiTheme="minorEastAsia" w:eastAsiaTheme="minorEastAsia" w:cstheme="minorEastAsia"/>
          <w:bCs/>
          <w:color w:val="auto"/>
          <w:sz w:val="24"/>
          <w:szCs w:val="24"/>
          <w:lang w:val="en-US" w:eastAsia="zh-CN"/>
        </w:rPr>
      </w:pPr>
      <w:r>
        <w:rPr>
          <w:rFonts w:hint="eastAsia" w:asciiTheme="minorEastAsia" w:hAnsiTheme="minorEastAsia" w:eastAsiaTheme="minorEastAsia" w:cstheme="minorEastAsia"/>
          <w:bCs/>
          <w:color w:val="auto"/>
          <w:sz w:val="24"/>
          <w:szCs w:val="24"/>
          <w:lang w:val="en-US" w:eastAsia="zh-CN"/>
        </w:rPr>
        <w:t>1、因被保险人挑衅或故意行为而导致的打斗、被袭击或被谋杀;</w:t>
      </w:r>
    </w:p>
    <w:p w14:paraId="29EDBD48">
      <w:pPr>
        <w:keepNext w:val="0"/>
        <w:keepLines w:val="0"/>
        <w:pageBreakBefore w:val="0"/>
        <w:kinsoku/>
        <w:wordWrap/>
        <w:overflowPunct w:val="0"/>
        <w:topLinePunct w:val="0"/>
        <w:bidi w:val="0"/>
        <w:spacing w:line="360" w:lineRule="auto"/>
        <w:ind w:firstLine="480" w:firstLineChars="200"/>
        <w:rPr>
          <w:rFonts w:hint="eastAsia" w:asciiTheme="minorEastAsia" w:hAnsiTheme="minorEastAsia" w:eastAsiaTheme="minorEastAsia" w:cstheme="minorEastAsia"/>
          <w:bCs/>
          <w:color w:val="auto"/>
          <w:sz w:val="24"/>
          <w:szCs w:val="24"/>
          <w:lang w:val="en-US" w:eastAsia="zh-CN"/>
        </w:rPr>
      </w:pPr>
      <w:r>
        <w:rPr>
          <w:rFonts w:hint="eastAsia" w:asciiTheme="minorEastAsia" w:hAnsiTheme="minorEastAsia" w:eastAsiaTheme="minorEastAsia" w:cstheme="minorEastAsia"/>
          <w:bCs/>
          <w:color w:val="auto"/>
          <w:sz w:val="24"/>
          <w:szCs w:val="24"/>
          <w:lang w:val="en-US" w:eastAsia="zh-CN"/>
        </w:rPr>
        <w:t>2、被保险人违法、犯罪或者抗拒依法采取的刑事强制措施;</w:t>
      </w:r>
    </w:p>
    <w:p w14:paraId="3E203D78">
      <w:pPr>
        <w:keepNext w:val="0"/>
        <w:keepLines w:val="0"/>
        <w:pageBreakBefore w:val="0"/>
        <w:kinsoku/>
        <w:wordWrap/>
        <w:overflowPunct w:val="0"/>
        <w:topLinePunct w:val="0"/>
        <w:bidi w:val="0"/>
        <w:spacing w:line="360" w:lineRule="auto"/>
        <w:ind w:firstLine="480" w:firstLineChars="200"/>
        <w:rPr>
          <w:rFonts w:hint="eastAsia" w:asciiTheme="minorEastAsia" w:hAnsiTheme="minorEastAsia" w:eastAsiaTheme="minorEastAsia" w:cstheme="minorEastAsia"/>
          <w:bCs/>
          <w:color w:val="auto"/>
          <w:sz w:val="24"/>
          <w:szCs w:val="24"/>
          <w:lang w:val="en-US" w:eastAsia="zh-CN"/>
        </w:rPr>
      </w:pPr>
      <w:r>
        <w:rPr>
          <w:rFonts w:hint="eastAsia" w:asciiTheme="minorEastAsia" w:hAnsiTheme="minorEastAsia" w:eastAsiaTheme="minorEastAsia" w:cstheme="minorEastAsia"/>
          <w:bCs/>
          <w:color w:val="auto"/>
          <w:sz w:val="24"/>
          <w:szCs w:val="24"/>
          <w:lang w:val="en-US" w:eastAsia="zh-CN"/>
        </w:rPr>
        <w:t>3、被保险人未遵医嘱私自服用、涂用、注射药物;</w:t>
      </w:r>
    </w:p>
    <w:p w14:paraId="74CB2EAC">
      <w:pPr>
        <w:keepNext w:val="0"/>
        <w:keepLines w:val="0"/>
        <w:pageBreakBefore w:val="0"/>
        <w:kinsoku/>
        <w:wordWrap/>
        <w:overflowPunct w:val="0"/>
        <w:topLinePunct w:val="0"/>
        <w:bidi w:val="0"/>
        <w:spacing w:line="360" w:lineRule="auto"/>
        <w:ind w:firstLine="480" w:firstLineChars="200"/>
        <w:rPr>
          <w:rFonts w:hint="eastAsia" w:asciiTheme="minorEastAsia" w:hAnsiTheme="minorEastAsia" w:eastAsiaTheme="minorEastAsia" w:cstheme="minorEastAsia"/>
          <w:bCs/>
          <w:color w:val="auto"/>
          <w:sz w:val="24"/>
          <w:szCs w:val="24"/>
          <w:lang w:val="en-US" w:eastAsia="zh-CN"/>
        </w:rPr>
      </w:pPr>
      <w:r>
        <w:rPr>
          <w:rFonts w:hint="eastAsia" w:asciiTheme="minorEastAsia" w:hAnsiTheme="minorEastAsia" w:eastAsiaTheme="minorEastAsia" w:cstheme="minorEastAsia"/>
          <w:bCs/>
          <w:color w:val="auto"/>
          <w:sz w:val="24"/>
          <w:szCs w:val="24"/>
          <w:lang w:val="en-US" w:eastAsia="zh-CN"/>
        </w:rPr>
        <w:t>4、被保险人醉酒或受毒品、管制药物的影响。</w:t>
      </w:r>
    </w:p>
    <w:p w14:paraId="2D8C7FF5">
      <w:pPr>
        <w:keepNext w:val="0"/>
        <w:keepLines w:val="0"/>
        <w:pageBreakBefore w:val="0"/>
        <w:kinsoku/>
        <w:wordWrap/>
        <w:overflowPunct w:val="0"/>
        <w:topLinePunct w:val="0"/>
        <w:bidi w:val="0"/>
        <w:spacing w:line="360" w:lineRule="auto"/>
        <w:ind w:firstLine="480" w:firstLineChars="200"/>
        <w:rPr>
          <w:rFonts w:hint="eastAsia" w:asciiTheme="minorEastAsia" w:hAnsiTheme="minorEastAsia" w:eastAsiaTheme="minorEastAsia" w:cstheme="minorEastAsia"/>
          <w:bCs/>
          <w:color w:val="auto"/>
          <w:sz w:val="24"/>
          <w:szCs w:val="24"/>
          <w:lang w:val="en-US" w:eastAsia="zh-CN"/>
        </w:rPr>
      </w:pPr>
      <w:r>
        <w:rPr>
          <w:rFonts w:hint="eastAsia" w:asciiTheme="minorEastAsia" w:hAnsiTheme="minorEastAsia" w:eastAsiaTheme="minorEastAsia" w:cstheme="minorEastAsia"/>
          <w:bCs/>
          <w:color w:val="auto"/>
          <w:sz w:val="24"/>
          <w:szCs w:val="24"/>
          <w:lang w:val="en-US" w:eastAsia="zh-CN"/>
        </w:rPr>
        <w:t>下列费用，保险人不负发放防贫保险金责任:</w:t>
      </w:r>
    </w:p>
    <w:p w14:paraId="5FD31DA6">
      <w:pPr>
        <w:keepNext w:val="0"/>
        <w:keepLines w:val="0"/>
        <w:pageBreakBefore w:val="0"/>
        <w:kinsoku/>
        <w:wordWrap/>
        <w:overflowPunct w:val="0"/>
        <w:topLinePunct w:val="0"/>
        <w:bidi w:val="0"/>
        <w:spacing w:line="360" w:lineRule="auto"/>
        <w:ind w:firstLine="480" w:firstLineChars="200"/>
        <w:rPr>
          <w:rFonts w:hint="eastAsia" w:asciiTheme="minorEastAsia" w:hAnsiTheme="minorEastAsia" w:eastAsiaTheme="minorEastAsia" w:cstheme="minorEastAsia"/>
          <w:bCs/>
          <w:color w:val="auto"/>
          <w:sz w:val="24"/>
          <w:szCs w:val="24"/>
          <w:lang w:val="en-US" w:eastAsia="zh-CN"/>
        </w:rPr>
      </w:pPr>
      <w:r>
        <w:rPr>
          <w:rFonts w:hint="eastAsia" w:asciiTheme="minorEastAsia" w:hAnsiTheme="minorEastAsia" w:eastAsiaTheme="minorEastAsia" w:cstheme="minorEastAsia"/>
          <w:bCs/>
          <w:color w:val="auto"/>
          <w:sz w:val="24"/>
          <w:szCs w:val="24"/>
          <w:lang w:val="en-US" w:eastAsia="zh-CN"/>
        </w:rPr>
        <w:t>1、用于矫形、整容、美容、器官移植或修复、安装及购买残疾用具(如轮椅、假肢、助听器、假眼、配镜等)的费用;</w:t>
      </w:r>
    </w:p>
    <w:p w14:paraId="69258A0C">
      <w:pPr>
        <w:keepNext w:val="0"/>
        <w:keepLines w:val="0"/>
        <w:pageBreakBefore w:val="0"/>
        <w:kinsoku/>
        <w:wordWrap/>
        <w:overflowPunct w:val="0"/>
        <w:topLinePunct w:val="0"/>
        <w:bidi w:val="0"/>
        <w:spacing w:line="360" w:lineRule="auto"/>
        <w:ind w:firstLine="480" w:firstLineChars="200"/>
        <w:rPr>
          <w:rFonts w:hint="eastAsia" w:asciiTheme="minorEastAsia" w:hAnsiTheme="minorEastAsia" w:eastAsiaTheme="minorEastAsia" w:cstheme="minorEastAsia"/>
          <w:bCs/>
          <w:color w:val="auto"/>
          <w:sz w:val="24"/>
          <w:szCs w:val="24"/>
          <w:lang w:val="en-US" w:eastAsia="zh-CN"/>
        </w:rPr>
      </w:pPr>
      <w:r>
        <w:rPr>
          <w:rFonts w:hint="eastAsia" w:asciiTheme="minorEastAsia" w:hAnsiTheme="minorEastAsia" w:eastAsiaTheme="minorEastAsia" w:cstheme="minorEastAsia"/>
          <w:bCs/>
          <w:color w:val="auto"/>
          <w:sz w:val="24"/>
          <w:szCs w:val="24"/>
          <w:lang w:val="en-US" w:eastAsia="zh-CN"/>
        </w:rPr>
        <w:t>2、被保险人体检、疗养、心理咨询或康复治疗的费用;</w:t>
      </w:r>
    </w:p>
    <w:p w14:paraId="48686FC6">
      <w:pPr>
        <w:keepNext w:val="0"/>
        <w:keepLines w:val="0"/>
        <w:pageBreakBefore w:val="0"/>
        <w:kinsoku/>
        <w:wordWrap/>
        <w:overflowPunct w:val="0"/>
        <w:topLinePunct w:val="0"/>
        <w:bidi w:val="0"/>
        <w:spacing w:line="360" w:lineRule="auto"/>
        <w:ind w:firstLine="480" w:firstLineChars="200"/>
        <w:rPr>
          <w:rFonts w:hint="eastAsia" w:asciiTheme="minorEastAsia" w:hAnsiTheme="minorEastAsia" w:eastAsiaTheme="minorEastAsia" w:cstheme="minorEastAsia"/>
          <w:bCs/>
          <w:color w:val="auto"/>
          <w:sz w:val="24"/>
          <w:szCs w:val="24"/>
          <w:lang w:val="en-US" w:eastAsia="zh-CN"/>
        </w:rPr>
      </w:pPr>
      <w:r>
        <w:rPr>
          <w:rFonts w:hint="eastAsia" w:asciiTheme="minorEastAsia" w:hAnsiTheme="minorEastAsia" w:eastAsiaTheme="minorEastAsia" w:cstheme="minorEastAsia"/>
          <w:bCs/>
          <w:color w:val="auto"/>
          <w:sz w:val="24"/>
          <w:szCs w:val="24"/>
          <w:lang w:val="en-US" w:eastAsia="zh-CN"/>
        </w:rPr>
        <w:t>3、交通费、食宿费、生活补助费及被保险人的误工费;</w:t>
      </w:r>
    </w:p>
    <w:p w14:paraId="4C7447E2">
      <w:pPr>
        <w:keepNext w:val="0"/>
        <w:keepLines w:val="0"/>
        <w:pageBreakBefore w:val="0"/>
        <w:kinsoku/>
        <w:wordWrap/>
        <w:overflowPunct w:val="0"/>
        <w:topLinePunct w:val="0"/>
        <w:bidi w:val="0"/>
        <w:spacing w:line="360" w:lineRule="auto"/>
        <w:ind w:firstLine="480" w:firstLineChars="200"/>
        <w:rPr>
          <w:rFonts w:hint="eastAsia" w:asciiTheme="minorEastAsia" w:hAnsiTheme="minorEastAsia" w:eastAsiaTheme="minorEastAsia" w:cstheme="minorEastAsia"/>
          <w:bCs/>
          <w:color w:val="auto"/>
          <w:sz w:val="24"/>
          <w:szCs w:val="24"/>
          <w:lang w:val="en-US" w:eastAsia="zh-CN"/>
        </w:rPr>
      </w:pPr>
      <w:r>
        <w:rPr>
          <w:rFonts w:hint="eastAsia" w:asciiTheme="minorEastAsia" w:hAnsiTheme="minorEastAsia" w:eastAsiaTheme="minorEastAsia" w:cstheme="minorEastAsia"/>
          <w:bCs/>
          <w:color w:val="auto"/>
          <w:sz w:val="24"/>
          <w:szCs w:val="24"/>
          <w:lang w:val="en-US" w:eastAsia="zh-CN"/>
        </w:rPr>
        <w:t>以欺诈、伪造证明材料或其他手段骗取防贫保险金的不赔。</w:t>
      </w:r>
    </w:p>
    <w:p w14:paraId="0A02D5B8">
      <w:pPr>
        <w:keepNext w:val="0"/>
        <w:keepLines w:val="0"/>
        <w:pageBreakBefore w:val="0"/>
        <w:kinsoku/>
        <w:wordWrap/>
        <w:overflowPunct w:val="0"/>
        <w:topLinePunct w:val="0"/>
        <w:bidi w:val="0"/>
        <w:spacing w:line="360" w:lineRule="auto"/>
        <w:ind w:firstLine="480" w:firstLineChars="200"/>
        <w:rPr>
          <w:rFonts w:hint="eastAsia" w:asciiTheme="minorEastAsia" w:hAnsiTheme="minorEastAsia" w:eastAsiaTheme="minorEastAsia" w:cstheme="minorEastAsia"/>
          <w:bCs/>
          <w:color w:val="auto"/>
          <w:sz w:val="24"/>
          <w:szCs w:val="24"/>
          <w:lang w:val="en-US" w:eastAsia="zh-CN"/>
        </w:rPr>
      </w:pPr>
      <w:r>
        <w:rPr>
          <w:rFonts w:hint="eastAsia" w:asciiTheme="minorEastAsia" w:hAnsiTheme="minorEastAsia" w:eastAsiaTheme="minorEastAsia" w:cstheme="minorEastAsia"/>
          <w:bCs/>
          <w:color w:val="auto"/>
          <w:sz w:val="24"/>
          <w:szCs w:val="24"/>
          <w:lang w:val="en-US" w:eastAsia="zh-CN"/>
        </w:rPr>
        <w:t>按照有关规定不予发放的其他情形。</w:t>
      </w:r>
    </w:p>
    <w:p w14:paraId="0F9A6130">
      <w:pPr>
        <w:keepNext w:val="0"/>
        <w:keepLines w:val="0"/>
        <w:pageBreakBefore w:val="0"/>
        <w:kinsoku/>
        <w:wordWrap/>
        <w:overflowPunct w:val="0"/>
        <w:topLinePunct w:val="0"/>
        <w:bidi w:val="0"/>
        <w:spacing w:line="360" w:lineRule="auto"/>
        <w:jc w:val="both"/>
        <w:rPr>
          <w:rFonts w:hint="eastAsia" w:asciiTheme="minorEastAsia" w:hAnsiTheme="minorEastAsia" w:eastAsiaTheme="minorEastAsia" w:cstheme="minorEastAsia"/>
          <w:bCs/>
          <w:color w:val="auto"/>
          <w:sz w:val="24"/>
          <w:szCs w:val="24"/>
          <w:lang w:val="en-US" w:eastAsia="zh-CN"/>
        </w:rPr>
      </w:pPr>
      <w:r>
        <w:rPr>
          <w:rFonts w:hint="eastAsia" w:asciiTheme="minorEastAsia" w:hAnsiTheme="minorEastAsia" w:eastAsiaTheme="minorEastAsia" w:cstheme="minorEastAsia"/>
          <w:b/>
          <w:bCs w:val="0"/>
          <w:color w:val="auto"/>
          <w:sz w:val="24"/>
          <w:szCs w:val="24"/>
          <w:lang w:val="en-US" w:eastAsia="zh-CN"/>
        </w:rPr>
        <w:t>8、核查时效和支付流程</w:t>
      </w:r>
    </w:p>
    <w:p w14:paraId="5A660FE1">
      <w:pPr>
        <w:keepNext w:val="0"/>
        <w:keepLines w:val="0"/>
        <w:pageBreakBefore w:val="0"/>
        <w:kinsoku/>
        <w:wordWrap/>
        <w:overflowPunct w:val="0"/>
        <w:topLinePunct w:val="0"/>
        <w:bidi w:val="0"/>
        <w:spacing w:line="360" w:lineRule="auto"/>
        <w:ind w:firstLine="480" w:firstLineChars="200"/>
        <w:rPr>
          <w:rFonts w:hint="eastAsia" w:asciiTheme="minorEastAsia" w:hAnsiTheme="minorEastAsia" w:eastAsiaTheme="minorEastAsia" w:cstheme="minorEastAsia"/>
          <w:bCs/>
          <w:color w:val="auto"/>
          <w:sz w:val="24"/>
          <w:szCs w:val="24"/>
          <w:lang w:val="en-US" w:eastAsia="zh-CN"/>
        </w:rPr>
      </w:pPr>
      <w:r>
        <w:rPr>
          <w:rFonts w:hint="eastAsia" w:asciiTheme="minorEastAsia" w:hAnsiTheme="minorEastAsia" w:eastAsiaTheme="minorEastAsia" w:cstheme="minorEastAsia"/>
          <w:bCs/>
          <w:color w:val="auto"/>
          <w:sz w:val="24"/>
          <w:szCs w:val="24"/>
          <w:lang w:val="en-US" w:eastAsia="zh-CN"/>
        </w:rPr>
        <w:t>案件查勘。乙方接到防贫对象所辖乡(镇)转办任务后，应迅速开展核查工作，第一时间开展防贫识别工作，对被核查人的房屋、家庭收入、重大开支等情况进行调查取证，县内3个工作日、县外10个工作日内完成核查工作，如遇特殊情况可适当延长核查时间，做到每单必查并出具核查报告。</w:t>
      </w:r>
    </w:p>
    <w:p w14:paraId="3416BD44">
      <w:pPr>
        <w:keepNext w:val="0"/>
        <w:keepLines w:val="0"/>
        <w:pageBreakBefore w:val="0"/>
        <w:kinsoku/>
        <w:wordWrap/>
        <w:overflowPunct w:val="0"/>
        <w:topLinePunct w:val="0"/>
        <w:bidi w:val="0"/>
        <w:spacing w:line="360" w:lineRule="auto"/>
        <w:ind w:firstLine="480" w:firstLineChars="200"/>
        <w:rPr>
          <w:rFonts w:hint="eastAsia" w:asciiTheme="minorEastAsia" w:hAnsiTheme="minorEastAsia" w:eastAsiaTheme="minorEastAsia" w:cstheme="minorEastAsia"/>
          <w:bCs/>
          <w:color w:val="auto"/>
          <w:sz w:val="24"/>
          <w:szCs w:val="24"/>
          <w:lang w:val="en-US" w:eastAsia="zh-CN"/>
        </w:rPr>
      </w:pPr>
      <w:r>
        <w:rPr>
          <w:rFonts w:hint="eastAsia" w:asciiTheme="minorEastAsia" w:hAnsiTheme="minorEastAsia" w:eastAsiaTheme="minorEastAsia" w:cstheme="minorEastAsia"/>
          <w:bCs/>
          <w:color w:val="auto"/>
          <w:sz w:val="24"/>
          <w:szCs w:val="24"/>
          <w:lang w:val="en-US" w:eastAsia="zh-CN"/>
        </w:rPr>
        <w:t>乙方查勘后将出具核查报告反馈至所在乡镇，由所在村进行民主评议并公示。</w:t>
      </w:r>
    </w:p>
    <w:p w14:paraId="32FAAB0B">
      <w:pPr>
        <w:keepNext w:val="0"/>
        <w:keepLines w:val="0"/>
        <w:pageBreakBefore w:val="0"/>
        <w:kinsoku/>
        <w:wordWrap/>
        <w:overflowPunct w:val="0"/>
        <w:topLinePunct w:val="0"/>
        <w:bidi w:val="0"/>
        <w:spacing w:line="360" w:lineRule="auto"/>
        <w:ind w:firstLine="480" w:firstLineChars="200"/>
        <w:rPr>
          <w:rFonts w:hint="eastAsia" w:asciiTheme="minorEastAsia" w:hAnsiTheme="minorEastAsia" w:eastAsiaTheme="minorEastAsia" w:cstheme="minorEastAsia"/>
          <w:bCs/>
          <w:color w:val="auto"/>
          <w:sz w:val="24"/>
          <w:szCs w:val="24"/>
          <w:lang w:val="en-US" w:eastAsia="zh-CN"/>
        </w:rPr>
      </w:pPr>
      <w:r>
        <w:rPr>
          <w:rFonts w:hint="eastAsia" w:asciiTheme="minorEastAsia" w:hAnsiTheme="minorEastAsia" w:eastAsiaTheme="minorEastAsia" w:cstheme="minorEastAsia"/>
          <w:bCs/>
          <w:color w:val="auto"/>
          <w:sz w:val="24"/>
          <w:szCs w:val="24"/>
          <w:lang w:val="en-US" w:eastAsia="zh-CN"/>
        </w:rPr>
        <w:t>所在村评议公示无异议后，经所辖乡镇审核后、通知乙方发放防贫保险金。乙方负责按照标准进行防贫保险金发放，并建立理赔工作台账报所辖乡镇。</w:t>
      </w:r>
    </w:p>
    <w:p w14:paraId="3737CD57">
      <w:pPr>
        <w:keepNext w:val="0"/>
        <w:keepLines w:val="0"/>
        <w:pageBreakBefore w:val="0"/>
        <w:kinsoku/>
        <w:wordWrap/>
        <w:overflowPunct w:val="0"/>
        <w:topLinePunct w:val="0"/>
        <w:bidi w:val="0"/>
        <w:spacing w:line="360" w:lineRule="auto"/>
        <w:ind w:firstLine="480" w:firstLineChars="200"/>
        <w:rPr>
          <w:rFonts w:hint="eastAsia" w:asciiTheme="minorEastAsia" w:hAnsiTheme="minorEastAsia" w:eastAsiaTheme="minorEastAsia" w:cstheme="minorEastAsia"/>
          <w:bCs/>
          <w:color w:val="auto"/>
          <w:sz w:val="24"/>
          <w:szCs w:val="24"/>
          <w:lang w:val="en-US" w:eastAsia="zh-CN"/>
        </w:rPr>
      </w:pPr>
      <w:r>
        <w:rPr>
          <w:rFonts w:hint="eastAsia" w:asciiTheme="minorEastAsia" w:hAnsiTheme="minorEastAsia" w:eastAsiaTheme="minorEastAsia" w:cstheme="minorEastAsia"/>
          <w:bCs/>
          <w:color w:val="auto"/>
          <w:sz w:val="24"/>
          <w:szCs w:val="24"/>
          <w:lang w:val="en-US" w:eastAsia="zh-CN"/>
        </w:rPr>
        <w:t>乙方应及时将防贫保险赔付金转账至防贫对象所提供的银行账户上，应在接到发放通知后10个工作日内给予支付，如遇特殊情况可适当延长时间，但最长不超过20个工作日。</w:t>
      </w:r>
    </w:p>
    <w:p w14:paraId="26E40CE0">
      <w:pPr>
        <w:keepNext w:val="0"/>
        <w:keepLines w:val="0"/>
        <w:pageBreakBefore w:val="0"/>
        <w:kinsoku/>
        <w:wordWrap/>
        <w:overflowPunct w:val="0"/>
        <w:topLinePunct w:val="0"/>
        <w:bidi w:val="0"/>
        <w:spacing w:line="360" w:lineRule="auto"/>
        <w:jc w:val="both"/>
        <w:rPr>
          <w:rFonts w:hint="eastAsia" w:asciiTheme="minorEastAsia" w:hAnsiTheme="minorEastAsia" w:eastAsiaTheme="minorEastAsia" w:cstheme="minorEastAsia"/>
          <w:bCs/>
          <w:color w:val="auto"/>
          <w:sz w:val="24"/>
          <w:szCs w:val="24"/>
          <w:lang w:val="en-US" w:eastAsia="zh-CN"/>
        </w:rPr>
      </w:pPr>
      <w:r>
        <w:rPr>
          <w:rFonts w:hint="eastAsia" w:asciiTheme="minorEastAsia" w:hAnsiTheme="minorEastAsia" w:eastAsiaTheme="minorEastAsia" w:cstheme="minorEastAsia"/>
          <w:b/>
          <w:bCs w:val="0"/>
          <w:color w:val="auto"/>
          <w:sz w:val="24"/>
          <w:szCs w:val="24"/>
          <w:lang w:val="en-US" w:eastAsia="zh-CN"/>
        </w:rPr>
        <w:t>9、争议处理</w:t>
      </w:r>
    </w:p>
    <w:p w14:paraId="0CC320F6">
      <w:pPr>
        <w:keepNext w:val="0"/>
        <w:keepLines w:val="0"/>
        <w:pageBreakBefore w:val="0"/>
        <w:kinsoku/>
        <w:wordWrap/>
        <w:overflowPunct w:val="0"/>
        <w:topLinePunct w:val="0"/>
        <w:bidi w:val="0"/>
        <w:spacing w:line="360" w:lineRule="auto"/>
        <w:ind w:firstLine="480" w:firstLineChars="200"/>
        <w:rPr>
          <w:rFonts w:hint="eastAsia" w:asciiTheme="minorEastAsia" w:hAnsiTheme="minorEastAsia" w:eastAsiaTheme="minorEastAsia" w:cstheme="minorEastAsia"/>
          <w:bCs/>
          <w:color w:val="auto"/>
          <w:sz w:val="24"/>
          <w:szCs w:val="24"/>
          <w:lang w:val="en-US" w:eastAsia="zh-CN"/>
        </w:rPr>
      </w:pPr>
      <w:r>
        <w:rPr>
          <w:rFonts w:hint="eastAsia" w:asciiTheme="minorEastAsia" w:hAnsiTheme="minorEastAsia" w:eastAsiaTheme="minorEastAsia" w:cstheme="minorEastAsia"/>
          <w:bCs/>
          <w:color w:val="auto"/>
          <w:sz w:val="24"/>
          <w:szCs w:val="24"/>
          <w:lang w:val="en-US" w:eastAsia="zh-CN"/>
        </w:rPr>
        <w:t>乙方要对所有承担工作认真负责，并定期征求甲方对工作的意见和建议，对存在问题要及时处理；耐心听取所辖镇、村干部和群众的意见和建议，并做好及时处理和反馈。</w:t>
      </w:r>
    </w:p>
    <w:p w14:paraId="05B91562">
      <w:pPr>
        <w:keepNext w:val="0"/>
        <w:keepLines w:val="0"/>
        <w:pageBreakBefore w:val="0"/>
        <w:kinsoku/>
        <w:wordWrap/>
        <w:overflowPunct w:val="0"/>
        <w:topLinePunct w:val="0"/>
        <w:bidi w:val="0"/>
        <w:spacing w:line="360" w:lineRule="auto"/>
        <w:ind w:firstLine="480" w:firstLineChars="200"/>
        <w:rPr>
          <w:rFonts w:hint="eastAsia" w:asciiTheme="minorEastAsia" w:hAnsiTheme="minorEastAsia" w:eastAsiaTheme="minorEastAsia" w:cstheme="minorEastAsia"/>
          <w:bCs/>
          <w:color w:val="auto"/>
          <w:sz w:val="24"/>
          <w:szCs w:val="24"/>
          <w:lang w:val="en-US" w:eastAsia="zh-CN"/>
        </w:rPr>
      </w:pPr>
      <w:r>
        <w:rPr>
          <w:rFonts w:hint="eastAsia" w:asciiTheme="minorEastAsia" w:hAnsiTheme="minorEastAsia" w:eastAsiaTheme="minorEastAsia" w:cstheme="minorEastAsia"/>
          <w:bCs/>
          <w:color w:val="auto"/>
          <w:sz w:val="24"/>
          <w:szCs w:val="24"/>
          <w:lang w:val="en-US" w:eastAsia="zh-CN"/>
        </w:rPr>
        <w:t>如对乙方的调查和支付结果发生争议时，应通过协商的办法解决，协商不能达成一致意见时，可联合有关部门共同协商解决。</w:t>
      </w:r>
    </w:p>
    <w:p w14:paraId="399F738E">
      <w:pPr>
        <w:keepNext w:val="0"/>
        <w:keepLines w:val="0"/>
        <w:pageBreakBefore w:val="0"/>
        <w:kinsoku/>
        <w:wordWrap/>
        <w:overflowPunct w:val="0"/>
        <w:topLinePunct w:val="0"/>
        <w:bidi w:val="0"/>
        <w:spacing w:line="360" w:lineRule="auto"/>
        <w:rPr>
          <w:rFonts w:hint="eastAsia" w:asciiTheme="minorEastAsia" w:hAnsiTheme="minorEastAsia" w:eastAsiaTheme="minorEastAsia" w:cstheme="minorEastAsia"/>
          <w:b/>
          <w:bCs w:val="0"/>
          <w:color w:val="auto"/>
          <w:sz w:val="24"/>
          <w:szCs w:val="24"/>
          <w:lang w:val="en-US" w:eastAsia="zh-CN"/>
        </w:rPr>
      </w:pPr>
      <w:r>
        <w:rPr>
          <w:rFonts w:hint="eastAsia" w:asciiTheme="minorEastAsia" w:hAnsiTheme="minorEastAsia" w:eastAsiaTheme="minorEastAsia" w:cstheme="minorEastAsia"/>
          <w:b/>
          <w:bCs w:val="0"/>
          <w:color w:val="auto"/>
          <w:sz w:val="24"/>
          <w:szCs w:val="24"/>
          <w:lang w:val="en-US" w:eastAsia="zh-CN"/>
        </w:rPr>
        <w:t>10、其他事项</w:t>
      </w:r>
    </w:p>
    <w:p w14:paraId="1EF6A5AA">
      <w:pPr>
        <w:keepNext w:val="0"/>
        <w:keepLines w:val="0"/>
        <w:pageBreakBefore w:val="0"/>
        <w:kinsoku/>
        <w:wordWrap/>
        <w:overflowPunct w:val="0"/>
        <w:topLinePunct w:val="0"/>
        <w:bidi w:val="0"/>
        <w:spacing w:line="360" w:lineRule="auto"/>
        <w:ind w:firstLine="480" w:firstLineChars="200"/>
        <w:rPr>
          <w:rFonts w:hint="eastAsia" w:asciiTheme="minorEastAsia" w:hAnsiTheme="minorEastAsia" w:eastAsiaTheme="minorEastAsia" w:cstheme="minorEastAsia"/>
          <w:bCs/>
          <w:color w:val="auto"/>
          <w:sz w:val="24"/>
          <w:szCs w:val="24"/>
          <w:lang w:val="en-US" w:eastAsia="zh-CN"/>
        </w:rPr>
      </w:pPr>
      <w:r>
        <w:rPr>
          <w:rFonts w:hint="eastAsia" w:asciiTheme="minorEastAsia" w:hAnsiTheme="minorEastAsia" w:eastAsiaTheme="minorEastAsia" w:cstheme="minorEastAsia"/>
          <w:bCs/>
          <w:color w:val="auto"/>
          <w:sz w:val="24"/>
          <w:szCs w:val="24"/>
          <w:lang w:val="en-US" w:eastAsia="zh-CN"/>
        </w:rPr>
        <w:t>经甲、乙双方协商确定，保险期结束后，乙方在扣除赔款及赔付金额的10%运营费用(包含税金)后如发生资金结余的，若续约则将结余资金抵扣下一年度保险费，若不续约则将结余资金退还甲方;</w:t>
      </w:r>
      <w:r>
        <w:rPr>
          <w:rFonts w:hint="eastAsia" w:asciiTheme="minorEastAsia" w:hAnsiTheme="minorEastAsia" w:eastAsiaTheme="minorEastAsia" w:cstheme="minorEastAsia"/>
          <w:color w:val="auto"/>
          <w:sz w:val="24"/>
          <w:szCs w:val="24"/>
        </w:rPr>
        <w:t>如</w:t>
      </w:r>
      <w:r>
        <w:rPr>
          <w:rFonts w:hint="eastAsia" w:asciiTheme="minorEastAsia" w:hAnsiTheme="minorEastAsia" w:eastAsiaTheme="minorEastAsia" w:cstheme="minorEastAsia"/>
          <w:color w:val="auto"/>
          <w:spacing w:val="-3"/>
          <w:sz w:val="24"/>
          <w:szCs w:val="24"/>
        </w:rPr>
        <w:t>出现政策性和不可抗拒的亏损，对</w:t>
      </w:r>
      <w:r>
        <w:rPr>
          <w:rFonts w:hint="eastAsia" w:asciiTheme="minorEastAsia" w:hAnsiTheme="minorEastAsia" w:eastAsiaTheme="minorEastAsia" w:cstheme="minorEastAsia"/>
          <w:color w:val="auto"/>
          <w:spacing w:val="1"/>
          <w:sz w:val="24"/>
          <w:szCs w:val="24"/>
        </w:rPr>
        <w:t>承保机构实行尽职免责政策，亏损部分由甲方负担</w:t>
      </w:r>
      <w:r>
        <w:rPr>
          <w:rFonts w:hint="eastAsia" w:asciiTheme="minorEastAsia" w:hAnsiTheme="minorEastAsia" w:eastAsiaTheme="minorEastAsia" w:cstheme="minorEastAsia"/>
          <w:color w:val="auto"/>
          <w:spacing w:val="1"/>
          <w:sz w:val="24"/>
          <w:szCs w:val="24"/>
          <w:lang w:val="en-US" w:eastAsia="zh-CN"/>
        </w:rPr>
        <w:t>80</w:t>
      </w:r>
      <w:r>
        <w:rPr>
          <w:rFonts w:hint="eastAsia" w:asciiTheme="minorEastAsia" w:hAnsiTheme="minorEastAsia" w:eastAsiaTheme="minorEastAsia" w:cstheme="minorEastAsia"/>
          <w:color w:val="auto"/>
          <w:spacing w:val="1"/>
          <w:sz w:val="24"/>
          <w:szCs w:val="24"/>
        </w:rPr>
        <w:t>%</w:t>
      </w:r>
      <w:r>
        <w:rPr>
          <w:rFonts w:hint="eastAsia" w:asciiTheme="minorEastAsia" w:hAnsiTheme="minorEastAsia" w:eastAsiaTheme="minorEastAsia" w:cstheme="minorEastAsia"/>
          <w:color w:val="auto"/>
          <w:spacing w:val="1"/>
          <w:sz w:val="24"/>
          <w:szCs w:val="24"/>
          <w:lang w:eastAsia="zh-CN"/>
        </w:rPr>
        <w:t>，</w:t>
      </w:r>
      <w:r>
        <w:rPr>
          <w:rFonts w:hint="eastAsia" w:asciiTheme="minorEastAsia" w:hAnsiTheme="minorEastAsia" w:eastAsiaTheme="minorEastAsia" w:cstheme="minorEastAsia"/>
          <w:color w:val="auto"/>
          <w:spacing w:val="1"/>
          <w:sz w:val="24"/>
          <w:szCs w:val="24"/>
          <w:lang w:val="en-US" w:eastAsia="zh-CN"/>
        </w:rPr>
        <w:t>乙方负担20%</w:t>
      </w:r>
      <w:r>
        <w:rPr>
          <w:rFonts w:hint="eastAsia" w:asciiTheme="minorEastAsia" w:hAnsiTheme="minorEastAsia" w:eastAsiaTheme="minorEastAsia" w:cstheme="minorEastAsia"/>
          <w:color w:val="auto"/>
          <w:spacing w:val="1"/>
          <w:sz w:val="24"/>
          <w:szCs w:val="24"/>
        </w:rPr>
        <w:t>。</w:t>
      </w:r>
    </w:p>
    <w:p w14:paraId="618A2F14">
      <w:pPr>
        <w:keepNext w:val="0"/>
        <w:keepLines w:val="0"/>
        <w:pageBreakBefore w:val="0"/>
        <w:kinsoku/>
        <w:wordWrap/>
        <w:overflowPunct w:val="0"/>
        <w:topLinePunct w:val="0"/>
        <w:bidi w:val="0"/>
        <w:spacing w:line="360" w:lineRule="auto"/>
        <w:ind w:firstLine="480" w:firstLineChars="200"/>
        <w:rPr>
          <w:color w:val="auto"/>
          <w:highlight w:val="none"/>
          <w:lang w:eastAsia="zh-CN"/>
        </w:rPr>
      </w:pPr>
      <w:r>
        <w:rPr>
          <w:rFonts w:hint="eastAsia" w:asciiTheme="minorEastAsia" w:hAnsiTheme="minorEastAsia" w:eastAsiaTheme="minorEastAsia" w:cstheme="minorEastAsia"/>
          <w:bCs/>
          <w:color w:val="auto"/>
          <w:sz w:val="24"/>
          <w:szCs w:val="24"/>
          <w:lang w:val="en-US" w:eastAsia="zh-CN"/>
        </w:rPr>
        <w:t>甲方有权指派专人不定期按照框架协议规定、综合服务能力和承诺开展督查检查。检查中如发现乙方未按照规定和承诺履行协议，乙方应及时整改，并将整改结果及时向甲方反馈,不整改的将视情况调减运营费用直至取消承保资格。</w:t>
      </w:r>
    </w:p>
    <w:p w14:paraId="3984AE0C">
      <w:bookmarkStart w:id="0" w:name="_GoBack"/>
      <w:bookmarkEnd w:id="0"/>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9C17A4">
    <w:pPr>
      <w:pStyle w:val="3"/>
      <w:rPr>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5" name="文本框 5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0F15292">
                          <w:pPr>
                            <w:pStyle w:val="3"/>
                          </w:pPr>
                          <w:r>
                            <w:fldChar w:fldCharType="begin"/>
                          </w:r>
                          <w:r>
                            <w:instrText xml:space="preserve"> PAGE  \* MERGEFORMAT </w:instrText>
                          </w:r>
                          <w:r>
                            <w:fldChar w:fldCharType="separate"/>
                          </w:r>
                          <w:r>
                            <w:t>61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J74X8zAgAAYw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PJ74X8zAgAAYwQAAA4AAAAAAAAAAQAgAAAAHwEAAGRycy9lMm9Eb2MueG1sUEsF&#10;BgAAAAAGAAYAWQEAAMQFAAAAAA==&#10;">
              <v:fill on="f" focussize="0,0"/>
              <v:stroke on="f" weight="0.5pt"/>
              <v:imagedata o:title=""/>
              <o:lock v:ext="edit" aspectratio="f"/>
              <v:textbox inset="0mm,0mm,0mm,0mm" style="mso-fit-shape-to-text:t;">
                <w:txbxContent>
                  <w:p w14:paraId="50F15292">
                    <w:pPr>
                      <w:pStyle w:val="3"/>
                    </w:pPr>
                    <w:r>
                      <w:fldChar w:fldCharType="begin"/>
                    </w:r>
                    <w:r>
                      <w:instrText xml:space="preserve"> PAGE  \* MERGEFORMAT </w:instrText>
                    </w:r>
                    <w:r>
                      <w:fldChar w:fldCharType="separate"/>
                    </w:r>
                    <w:r>
                      <w:t>61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90F53CB"/>
    <w:rsid w:val="2F0A118D"/>
    <w:rsid w:val="3971644D"/>
    <w:rsid w:val="5B1A029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6">
    <w:name w:val="Default Paragraph Font"/>
    <w:semiHidden/>
    <w:qFormat/>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Body Text"/>
    <w:basedOn w:val="1"/>
    <w:qFormat/>
    <w:uiPriority w:val="0"/>
    <w:rPr>
      <w:rFonts w:ascii="仿宋" w:hAnsi="仿宋" w:eastAsia="仿宋" w:cs="仿宋"/>
      <w:sz w:val="30"/>
      <w:szCs w:val="30"/>
    </w:rPr>
  </w:style>
  <w:style w:type="paragraph" w:styleId="3">
    <w:name w:val="footer"/>
    <w:basedOn w:val="1"/>
    <w:qFormat/>
    <w:uiPriority w:val="0"/>
    <w:pPr>
      <w:tabs>
        <w:tab w:val="center" w:pos="4153"/>
        <w:tab w:val="right" w:pos="8306"/>
      </w:tabs>
    </w:pPr>
    <w:rPr>
      <w:sz w:val="18"/>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2026-06-11T08:57:05Z</dcterms:created>
  <dc:creator>21186</dc:creator>
  <cp:lastModifiedBy>两山咨询公司</cp:lastModifiedBy>
  <dcterms:modified xsi:type="dcterms:W3CDTF">2026-06-11T08:59:43Z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eyJoZGlkIjoiOTE2YzRkMzFhZTVjOGE1Nzg4OGUzODA2ZDNjODdmMzIiLCJ1c2VySWQiOiIxNTU2OTMyODc1In0=</vt:lpwstr>
  </property>
  <property fmtid="{D5CDD505-2E9C-101B-9397-08002B2CF9AE}" pid="4" name="ICV">
    <vt:lpwstr>532E87D681104C5B8387CED2F52E161E_12</vt:lpwstr>
  </property>
</Properties>
</file>