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52BDECE">
      <w:pPr>
        <w:pageBreakBefore w:val="0"/>
        <w:widowControl w:val="0"/>
        <w:wordWrap/>
        <w:overflowPunct/>
        <w:topLinePunct w:val="0"/>
        <w:bidi w:val="0"/>
        <w:spacing w:before="47" w:line="219" w:lineRule="auto"/>
        <w:ind w:left="3805"/>
        <w:outlineLvl w:val="2"/>
        <w:rPr>
          <w:rFonts w:ascii="宋体" w:hAnsi="宋体" w:eastAsia="宋体" w:cs="宋体"/>
          <w:color w:val="auto"/>
          <w:sz w:val="24"/>
          <w:szCs w:val="24"/>
          <w:highlight w:val="none"/>
        </w:rPr>
      </w:pPr>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采购</w:t>
      </w: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要</w:t>
      </w:r>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求</w:t>
      </w:r>
    </w:p>
    <w:p w14:paraId="361694B9">
      <w:pPr>
        <w:pageBreakBefore w:val="0"/>
        <w:widowControl w:val="0"/>
        <w:wordWrap/>
        <w:overflowPunct/>
        <w:topLinePunct w:val="0"/>
        <w:bidi w:val="0"/>
        <w:spacing w:line="257" w:lineRule="auto"/>
        <w:rPr>
          <w:color w:val="auto"/>
          <w:highlight w:val="none"/>
        </w:rPr>
      </w:pPr>
    </w:p>
    <w:p w14:paraId="0B282012">
      <w:pPr>
        <w:pageBreakBefore w:val="0"/>
        <w:widowControl w:val="0"/>
        <w:wordWrap/>
        <w:overflowPunct/>
        <w:topLinePunct w:val="0"/>
        <w:bidi w:val="0"/>
        <w:spacing w:line="258" w:lineRule="auto"/>
        <w:rPr>
          <w:color w:val="auto"/>
          <w:highlight w:val="none"/>
        </w:rPr>
      </w:pPr>
    </w:p>
    <w:p w14:paraId="57320F94">
      <w:pPr>
        <w:keepNext w:val="0"/>
        <w:keepLines w:val="0"/>
        <w:pageBreakBefore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（一）响应供应商须提供符合质量标准的合格服务。</w:t>
      </w:r>
    </w:p>
    <w:p w14:paraId="47C157C9">
      <w:pPr>
        <w:keepNext w:val="0"/>
        <w:keepLines w:val="0"/>
        <w:pageBreakBefore w:val="0"/>
        <w:widowControl/>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（二）所有</w:t>
      </w:r>
      <w:r>
        <w:rPr>
          <w:rFonts w:hint="eastAsia" w:ascii="宋体" w:hAnsi="宋体" w:eastAsia="宋体" w:cs="宋体"/>
          <w:color w:val="auto"/>
          <w:kern w:val="0"/>
          <w:sz w:val="24"/>
          <w:szCs w:val="24"/>
          <w:highlight w:val="none"/>
          <w:lang w:val="en-US" w:eastAsia="zh-CN"/>
        </w:rPr>
        <w:t>服务</w:t>
      </w:r>
      <w:r>
        <w:rPr>
          <w:rFonts w:hint="eastAsia" w:ascii="宋体" w:hAnsi="宋体" w:eastAsia="宋体" w:cs="宋体"/>
          <w:color w:val="auto"/>
          <w:kern w:val="0"/>
          <w:sz w:val="24"/>
          <w:szCs w:val="24"/>
          <w:highlight w:val="none"/>
        </w:rPr>
        <w:t>的知识产权问题，由响应供应商自行负责。</w:t>
      </w:r>
    </w:p>
    <w:p w14:paraId="38AD37EC">
      <w:pPr>
        <w:keepNext w:val="0"/>
        <w:keepLines w:val="0"/>
        <w:pageBreakBefore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（三）本磋商文件提出的是最低限度的要求，响应供应商的方案应达到或优于本磋商文件要求，且符合国家有关标准和规范要求。</w:t>
      </w:r>
    </w:p>
    <w:p w14:paraId="7DE598C6">
      <w:pPr>
        <w:keepNext w:val="0"/>
        <w:keepLines w:val="0"/>
        <w:pageBreakBefore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color w:val="auto"/>
          <w:kern w:val="0"/>
          <w:sz w:val="24"/>
          <w:szCs w:val="24"/>
          <w:highlight w:val="none"/>
          <w:lang w:val="en-US" w:eastAsia="zh-CN"/>
        </w:rPr>
      </w:pPr>
      <w:r>
        <w:rPr>
          <w:rFonts w:hint="eastAsia" w:ascii="宋体" w:hAnsi="宋体" w:eastAsia="宋体" w:cs="宋体"/>
          <w:color w:val="auto"/>
          <w:kern w:val="0"/>
          <w:sz w:val="24"/>
          <w:szCs w:val="24"/>
          <w:highlight w:val="none"/>
        </w:rPr>
        <w:t>（</w:t>
      </w:r>
      <w:r>
        <w:rPr>
          <w:rFonts w:hint="eastAsia" w:ascii="宋体" w:hAnsi="宋体" w:eastAsia="宋体" w:cs="宋体"/>
          <w:color w:val="auto"/>
          <w:kern w:val="0"/>
          <w:sz w:val="24"/>
          <w:szCs w:val="24"/>
          <w:highlight w:val="none"/>
          <w:lang w:val="en-US" w:eastAsia="zh-CN"/>
        </w:rPr>
        <w:t>四</w:t>
      </w:r>
      <w:r>
        <w:rPr>
          <w:rFonts w:hint="eastAsia" w:ascii="宋体" w:hAnsi="宋体" w:eastAsia="宋体" w:cs="宋体"/>
          <w:color w:val="auto"/>
          <w:kern w:val="0"/>
          <w:sz w:val="24"/>
          <w:szCs w:val="24"/>
          <w:highlight w:val="none"/>
        </w:rPr>
        <w:t>）采购标的对应的中小企业划分标准所属行业</w:t>
      </w:r>
      <w:r>
        <w:rPr>
          <w:rFonts w:hint="eastAsia" w:ascii="宋体" w:hAnsi="宋体" w:eastAsia="宋体" w:cs="宋体"/>
          <w:color w:val="auto"/>
          <w:kern w:val="0"/>
          <w:sz w:val="24"/>
          <w:szCs w:val="24"/>
          <w:highlight w:val="none"/>
          <w:lang w:val="en-US" w:eastAsia="zh-CN"/>
        </w:rPr>
        <w:t>：</w:t>
      </w:r>
      <w:r>
        <w:rPr>
          <w:rFonts w:hint="eastAsia" w:ascii="宋体" w:hAnsi="宋体" w:eastAsia="宋体" w:cs="宋体"/>
          <w:b/>
          <w:bCs/>
          <w:color w:val="auto"/>
          <w:kern w:val="0"/>
          <w:sz w:val="24"/>
          <w:szCs w:val="24"/>
          <w:highlight w:val="none"/>
          <w:lang w:val="en-US" w:eastAsia="zh-CN"/>
        </w:rPr>
        <w:t>其他未列明行业。</w:t>
      </w:r>
      <w:r>
        <w:rPr>
          <w:rFonts w:hint="eastAsia" w:ascii="宋体" w:hAnsi="宋体" w:eastAsia="宋体" w:cs="宋体"/>
          <w:color w:val="auto"/>
          <w:kern w:val="0"/>
          <w:sz w:val="24"/>
          <w:szCs w:val="24"/>
          <w:highlight w:val="none"/>
          <w:lang w:val="en-US" w:eastAsia="zh-CN"/>
        </w:rPr>
        <w:t xml:space="preserve"> </w:t>
      </w:r>
    </w:p>
    <w:p w14:paraId="17702C3F">
      <w:pPr>
        <w:pageBreakBefore w:val="0"/>
        <w:widowControl w:val="0"/>
        <w:wordWrap/>
        <w:overflowPunct/>
        <w:topLinePunct w:val="0"/>
        <w:bidi w:val="0"/>
        <w:spacing w:line="258" w:lineRule="auto"/>
        <w:rPr>
          <w:color w:val="auto"/>
          <w:highlight w:val="none"/>
        </w:rPr>
      </w:pPr>
    </w:p>
    <w:p w14:paraId="5B2BA00D">
      <w:pPr>
        <w:pageBreakBefore w:val="0"/>
        <w:widowControl w:val="0"/>
        <w:wordWrap/>
        <w:overflowPunct/>
        <w:topLinePunct w:val="0"/>
        <w:bidi w:val="0"/>
        <w:spacing w:before="78" w:line="219" w:lineRule="auto"/>
        <w:ind w:firstLine="460" w:firstLineChars="200"/>
        <w:rPr>
          <w:rFonts w:ascii="宋体" w:hAnsi="宋体" w:eastAsia="宋体" w:cs="宋体"/>
          <w:color w:val="auto"/>
          <w:sz w:val="24"/>
          <w:szCs w:val="24"/>
          <w:highlight w:val="none"/>
        </w:rPr>
      </w:pPr>
      <w:r>
        <w:rPr>
          <w:rFonts w:ascii="宋体" w:hAnsi="宋体" w:eastAsia="宋体" w:cs="宋体"/>
          <w:color w:val="auto"/>
          <w:spacing w:val="-5"/>
          <w:sz w:val="24"/>
          <w:szCs w:val="24"/>
          <w:highlight w:val="none"/>
        </w:rPr>
        <w:t>（</w:t>
      </w:r>
      <w:r>
        <w:rPr>
          <w:rFonts w:hint="eastAsia" w:ascii="宋体" w:hAnsi="宋体" w:eastAsia="宋体" w:cs="宋体"/>
          <w:color w:val="auto"/>
          <w:spacing w:val="-5"/>
          <w:sz w:val="24"/>
          <w:szCs w:val="24"/>
          <w:highlight w:val="none"/>
          <w:lang w:val="en-US" w:eastAsia="zh-CN"/>
        </w:rPr>
        <w:t>五</w:t>
      </w:r>
      <w:r>
        <w:rPr>
          <w:rFonts w:ascii="宋体" w:hAnsi="宋体" w:eastAsia="宋体" w:cs="宋体"/>
          <w:color w:val="auto"/>
          <w:spacing w:val="-5"/>
          <w:sz w:val="24"/>
          <w:szCs w:val="24"/>
          <w:highlight w:val="none"/>
        </w:rPr>
        <w:t>）</w:t>
      </w:r>
      <w:r>
        <w:rPr>
          <w:rFonts w:ascii="宋体" w:hAnsi="宋体" w:eastAsia="宋体" w:cs="宋体"/>
          <w:color w:val="auto"/>
          <w:spacing w:val="25"/>
          <w:sz w:val="24"/>
          <w:szCs w:val="24"/>
          <w:highlight w:val="none"/>
        </w:rPr>
        <w:t xml:space="preserve"> </w:t>
      </w:r>
      <w:r>
        <w:rPr>
          <w:rFonts w:hint="eastAsia" w:ascii="宋体" w:hAnsi="宋体" w:eastAsia="宋体" w:cs="宋体"/>
          <w:color w:val="auto"/>
          <w:spacing w:val="-5"/>
          <w:sz w:val="24"/>
          <w:szCs w:val="24"/>
          <w:highlight w:val="none"/>
          <w:lang w:val="en-US" w:eastAsia="zh-CN"/>
        </w:rPr>
        <w:t>服务</w:t>
      </w:r>
      <w:r>
        <w:rPr>
          <w:rFonts w:ascii="宋体" w:hAnsi="宋体" w:eastAsia="宋体" w:cs="宋体"/>
          <w:color w:val="auto"/>
          <w:spacing w:val="-5"/>
          <w:sz w:val="24"/>
          <w:szCs w:val="24"/>
          <w:highlight w:val="none"/>
        </w:rPr>
        <w:t>需求</w:t>
      </w:r>
    </w:p>
    <w:p w14:paraId="6512B8D0">
      <w:pPr>
        <w:keepNext w:val="0"/>
        <w:keepLines w:val="0"/>
        <w:pageBreakBefore w:val="0"/>
        <w:widowControl/>
        <w:numPr>
          <w:ilvl w:val="0"/>
          <w:numId w:val="0"/>
        </w:numPr>
        <w:shd w:val="clear" w:color="auto" w:fill="FFFFFF"/>
        <w:kinsoku/>
        <w:wordWrap/>
        <w:overflowPunct/>
        <w:topLinePunct w:val="0"/>
        <w:autoSpaceDE/>
        <w:autoSpaceDN/>
        <w:bidi w:val="0"/>
        <w:adjustRightInd/>
        <w:snapToGrid/>
        <w:spacing w:line="560" w:lineRule="exact"/>
        <w:ind w:firstLine="361" w:firstLineChars="150"/>
        <w:jc w:val="left"/>
        <w:textAlignment w:val="auto"/>
        <w:rPr>
          <w:rFonts w:hint="eastAsia" w:ascii="宋体" w:hAnsi="宋体" w:eastAsia="宋体" w:cs="宋体"/>
          <w:bCs/>
          <w:color w:val="auto"/>
          <w:kern w:val="2"/>
          <w:sz w:val="24"/>
          <w:szCs w:val="24"/>
          <w:highlight w:val="none"/>
          <w:lang w:val="en-US" w:eastAsia="zh-CN" w:bidi="ar-SA"/>
        </w:rPr>
      </w:pPr>
      <w:r>
        <w:rPr>
          <w:rFonts w:hint="eastAsia" w:ascii="宋体" w:hAnsi="宋体" w:eastAsia="宋体" w:cs="宋体"/>
          <w:b/>
          <w:bCs w:val="0"/>
          <w:color w:val="auto"/>
          <w:kern w:val="2"/>
          <w:sz w:val="24"/>
          <w:szCs w:val="24"/>
          <w:highlight w:val="none"/>
          <w:lang w:val="en-US" w:eastAsia="zh-CN" w:bidi="ar-SA"/>
        </w:rPr>
        <w:t>1.项目任务</w:t>
      </w:r>
      <w:r>
        <w:rPr>
          <w:rFonts w:hint="eastAsia" w:ascii="宋体" w:hAnsi="宋体" w:eastAsia="宋体" w:cs="宋体"/>
          <w:bCs/>
          <w:color w:val="auto"/>
          <w:kern w:val="2"/>
          <w:sz w:val="24"/>
          <w:szCs w:val="24"/>
          <w:highlight w:val="none"/>
          <w:lang w:val="en-US" w:eastAsia="zh-CN" w:bidi="ar-SA"/>
        </w:rPr>
        <w:t>：根据通知，今年第二批招标计划任务为1800批次。</w:t>
      </w:r>
    </w:p>
    <w:p w14:paraId="6B26A3F1">
      <w:pPr>
        <w:keepNext w:val="0"/>
        <w:keepLines w:val="0"/>
        <w:pageBreakBefore w:val="0"/>
        <w:widowControl/>
        <w:numPr>
          <w:ilvl w:val="0"/>
          <w:numId w:val="0"/>
        </w:numPr>
        <w:shd w:val="clear" w:color="auto" w:fill="FFFFFF"/>
        <w:kinsoku/>
        <w:wordWrap/>
        <w:overflowPunct/>
        <w:topLinePunct w:val="0"/>
        <w:autoSpaceDE/>
        <w:autoSpaceDN/>
        <w:bidi w:val="0"/>
        <w:adjustRightInd/>
        <w:snapToGrid/>
        <w:spacing w:line="560" w:lineRule="exact"/>
        <w:ind w:firstLine="361" w:firstLineChars="150"/>
        <w:jc w:val="left"/>
        <w:textAlignment w:val="auto"/>
        <w:rPr>
          <w:rFonts w:hint="eastAsia" w:ascii="宋体" w:hAnsi="宋体" w:eastAsia="宋体" w:cs="宋体"/>
          <w:bCs/>
          <w:color w:val="auto"/>
          <w:kern w:val="2"/>
          <w:sz w:val="24"/>
          <w:szCs w:val="24"/>
          <w:highlight w:val="none"/>
          <w:lang w:val="en-US" w:eastAsia="zh-CN" w:bidi="ar-SA"/>
        </w:rPr>
      </w:pPr>
      <w:r>
        <w:rPr>
          <w:rFonts w:hint="eastAsia" w:ascii="宋体" w:hAnsi="宋体" w:eastAsia="宋体" w:cs="宋体"/>
          <w:b/>
          <w:bCs w:val="0"/>
          <w:color w:val="auto"/>
          <w:kern w:val="2"/>
          <w:sz w:val="24"/>
          <w:szCs w:val="24"/>
          <w:highlight w:val="none"/>
          <w:lang w:val="en-US" w:eastAsia="zh-CN" w:bidi="ar-SA"/>
        </w:rPr>
        <w:t>2.抽检工作目标</w:t>
      </w:r>
      <w:r>
        <w:rPr>
          <w:rFonts w:hint="eastAsia" w:ascii="宋体" w:hAnsi="宋体" w:eastAsia="宋体" w:cs="宋体"/>
          <w:bCs/>
          <w:color w:val="auto"/>
          <w:kern w:val="2"/>
          <w:sz w:val="24"/>
          <w:szCs w:val="24"/>
          <w:highlight w:val="none"/>
          <w:lang w:val="en-US" w:eastAsia="zh-CN" w:bidi="ar-SA"/>
        </w:rPr>
        <w:t>：落实“四个最严”要求，围绕“讲政治、强监管、促发展、保安全”的工作思路，深化食用农产品抽检新模式，推动食品抽检精准化、数据管理规范化、预警交流多元化、核查处置系统化科学高效做好食品安全抽检工作，推动“两个责任”落实，着力提高风险防控能力。充分发挥食品抽检监测技术支撑作用，推动我市食品安全各环节精准监管，助力食品产业高质量发展。</w:t>
      </w:r>
    </w:p>
    <w:p w14:paraId="003CA642">
      <w:pPr>
        <w:keepNext w:val="0"/>
        <w:keepLines w:val="0"/>
        <w:pageBreakBefore w:val="0"/>
        <w:widowControl/>
        <w:numPr>
          <w:ilvl w:val="0"/>
          <w:numId w:val="0"/>
        </w:numPr>
        <w:shd w:val="clear" w:color="auto" w:fill="FFFFFF"/>
        <w:kinsoku/>
        <w:wordWrap/>
        <w:overflowPunct/>
        <w:topLinePunct w:val="0"/>
        <w:autoSpaceDE/>
        <w:autoSpaceDN/>
        <w:bidi w:val="0"/>
        <w:adjustRightInd/>
        <w:snapToGrid/>
        <w:spacing w:line="560" w:lineRule="exact"/>
        <w:ind w:firstLine="361" w:firstLineChars="150"/>
        <w:jc w:val="left"/>
        <w:textAlignment w:val="auto"/>
        <w:rPr>
          <w:rFonts w:hint="eastAsia" w:ascii="宋体" w:hAnsi="宋体" w:eastAsia="宋体" w:cs="宋体"/>
          <w:bCs/>
          <w:color w:val="auto"/>
          <w:kern w:val="2"/>
          <w:sz w:val="24"/>
          <w:szCs w:val="24"/>
          <w:highlight w:val="none"/>
          <w:lang w:val="en-US" w:eastAsia="zh-CN" w:bidi="ar-SA"/>
        </w:rPr>
      </w:pPr>
      <w:r>
        <w:rPr>
          <w:rFonts w:hint="eastAsia" w:ascii="宋体" w:hAnsi="宋体" w:eastAsia="宋体" w:cs="宋体"/>
          <w:b/>
          <w:bCs w:val="0"/>
          <w:color w:val="auto"/>
          <w:kern w:val="2"/>
          <w:sz w:val="24"/>
          <w:szCs w:val="24"/>
          <w:highlight w:val="none"/>
          <w:lang w:val="en-US" w:eastAsia="zh-CN" w:bidi="ar-SA"/>
        </w:rPr>
        <w:t>3.抽检工作要求</w:t>
      </w:r>
      <w:r>
        <w:rPr>
          <w:rFonts w:hint="eastAsia" w:ascii="宋体" w:hAnsi="宋体" w:eastAsia="宋体" w:cs="宋体"/>
          <w:bCs/>
          <w:color w:val="auto"/>
          <w:kern w:val="2"/>
          <w:sz w:val="24"/>
          <w:szCs w:val="24"/>
          <w:highlight w:val="none"/>
          <w:lang w:val="en-US" w:eastAsia="zh-CN" w:bidi="ar-SA"/>
        </w:rPr>
        <w:t>：</w:t>
      </w:r>
    </w:p>
    <w:p w14:paraId="1C851037">
      <w:pPr>
        <w:keepNext w:val="0"/>
        <w:keepLines w:val="0"/>
        <w:pageBreakBefore w:val="0"/>
        <w:widowControl/>
        <w:numPr>
          <w:ilvl w:val="0"/>
          <w:numId w:val="0"/>
        </w:numPr>
        <w:shd w:val="clear" w:color="auto" w:fill="FFFFFF"/>
        <w:kinsoku/>
        <w:wordWrap/>
        <w:overflowPunct/>
        <w:topLinePunct w:val="0"/>
        <w:autoSpaceDE/>
        <w:autoSpaceDN/>
        <w:bidi w:val="0"/>
        <w:adjustRightInd/>
        <w:snapToGrid/>
        <w:spacing w:line="560" w:lineRule="exact"/>
        <w:ind w:firstLine="360" w:firstLineChars="150"/>
        <w:jc w:val="left"/>
        <w:textAlignment w:val="auto"/>
        <w:rPr>
          <w:rFonts w:hint="eastAsia" w:ascii="宋体" w:hAnsi="宋体" w:eastAsia="宋体" w:cs="宋体"/>
          <w:bCs/>
          <w:color w:val="auto"/>
          <w:kern w:val="2"/>
          <w:sz w:val="24"/>
          <w:szCs w:val="24"/>
          <w:highlight w:val="none"/>
          <w:lang w:val="en-US" w:eastAsia="zh-CN" w:bidi="ar-SA"/>
        </w:rPr>
      </w:pPr>
      <w:r>
        <w:rPr>
          <w:rFonts w:hint="eastAsia" w:ascii="宋体" w:hAnsi="宋体" w:eastAsia="宋体" w:cs="宋体"/>
          <w:bCs/>
          <w:color w:val="auto"/>
          <w:kern w:val="2"/>
          <w:sz w:val="24"/>
          <w:szCs w:val="24"/>
          <w:highlight w:val="none"/>
          <w:lang w:val="en-US" w:eastAsia="zh-CN" w:bidi="ar-SA"/>
        </w:rPr>
        <w:t>3.1.按照有关文件要求执行；样品主要抽取食品流通、餐饮及网络环节中我区生产和销售的食品。今年第二批招标计划任务为1800批次纳入公开招标计划（最终批次以市局最终文件为准，结算金额以实际完成批次为准）。</w:t>
      </w:r>
    </w:p>
    <w:p w14:paraId="16FFD540">
      <w:pPr>
        <w:keepNext w:val="0"/>
        <w:keepLines w:val="0"/>
        <w:pageBreakBefore w:val="0"/>
        <w:widowControl/>
        <w:numPr>
          <w:ilvl w:val="0"/>
          <w:numId w:val="0"/>
        </w:numPr>
        <w:shd w:val="clear" w:color="auto" w:fill="FFFFFF"/>
        <w:kinsoku/>
        <w:wordWrap/>
        <w:overflowPunct/>
        <w:topLinePunct w:val="0"/>
        <w:autoSpaceDE/>
        <w:autoSpaceDN/>
        <w:bidi w:val="0"/>
        <w:adjustRightInd/>
        <w:snapToGrid/>
        <w:spacing w:line="560" w:lineRule="exact"/>
        <w:ind w:firstLine="360" w:firstLineChars="150"/>
        <w:jc w:val="left"/>
        <w:textAlignment w:val="auto"/>
        <w:rPr>
          <w:rFonts w:hint="eastAsia" w:ascii="宋体" w:hAnsi="宋体" w:eastAsia="宋体" w:cs="宋体"/>
          <w:bCs/>
          <w:color w:val="auto"/>
          <w:kern w:val="2"/>
          <w:sz w:val="24"/>
          <w:szCs w:val="24"/>
          <w:highlight w:val="none"/>
          <w:lang w:val="en-US" w:eastAsia="zh-CN" w:bidi="ar-SA"/>
        </w:rPr>
      </w:pPr>
      <w:r>
        <w:rPr>
          <w:rFonts w:hint="eastAsia" w:ascii="宋体" w:hAnsi="宋体" w:eastAsia="宋体" w:cs="宋体"/>
          <w:bCs/>
          <w:color w:val="auto"/>
          <w:kern w:val="2"/>
          <w:sz w:val="24"/>
          <w:szCs w:val="24"/>
          <w:highlight w:val="none"/>
          <w:lang w:val="en-US" w:eastAsia="zh-CN" w:bidi="ar-SA"/>
        </w:rPr>
        <w:t>3.2.节日（两会）食品抽检要求：</w:t>
      </w:r>
    </w:p>
    <w:p w14:paraId="15F0EA9A">
      <w:pPr>
        <w:keepNext w:val="0"/>
        <w:keepLines w:val="0"/>
        <w:pageBreakBefore w:val="0"/>
        <w:widowControl/>
        <w:numPr>
          <w:ilvl w:val="0"/>
          <w:numId w:val="0"/>
        </w:numPr>
        <w:shd w:val="clear" w:color="auto" w:fill="FFFFFF"/>
        <w:kinsoku/>
        <w:wordWrap/>
        <w:overflowPunct/>
        <w:topLinePunct w:val="0"/>
        <w:autoSpaceDE/>
        <w:autoSpaceDN/>
        <w:bidi w:val="0"/>
        <w:adjustRightInd/>
        <w:snapToGrid/>
        <w:spacing w:line="560" w:lineRule="exact"/>
        <w:ind w:firstLine="360" w:firstLineChars="150"/>
        <w:jc w:val="left"/>
        <w:textAlignment w:val="auto"/>
        <w:rPr>
          <w:rFonts w:hint="eastAsia" w:ascii="宋体" w:hAnsi="宋体" w:eastAsia="宋体" w:cs="宋体"/>
          <w:bCs/>
          <w:color w:val="auto"/>
          <w:kern w:val="2"/>
          <w:sz w:val="24"/>
          <w:szCs w:val="24"/>
          <w:highlight w:val="none"/>
          <w:lang w:val="en-US" w:eastAsia="zh-CN" w:bidi="ar-SA"/>
        </w:rPr>
      </w:pPr>
      <w:r>
        <w:rPr>
          <w:rFonts w:hint="eastAsia" w:ascii="宋体" w:hAnsi="宋体" w:eastAsia="宋体" w:cs="宋体"/>
          <w:bCs/>
          <w:color w:val="auto"/>
          <w:kern w:val="2"/>
          <w:sz w:val="24"/>
          <w:szCs w:val="24"/>
          <w:highlight w:val="none"/>
          <w:lang w:val="en-US" w:eastAsia="zh-CN" w:bidi="ar-SA"/>
        </w:rPr>
        <w:t>3.2.1每个节日（两会、五一、端午、中秋、十一）应覆盖抽检食品大类，抽检食品中普通食品应占90%（原则上预包装食品占60%，非定量包装和无包装食品占30%），食用农产品不超过10%。其中，节令食品（元宵、粽子、咸蛋、月饼）在相应节日抽检量不低于30%。可根据我区食品的消费特点，选择有代表性食品开展抽检；</w:t>
      </w:r>
    </w:p>
    <w:p w14:paraId="51BEB23A">
      <w:pPr>
        <w:keepNext w:val="0"/>
        <w:keepLines w:val="0"/>
        <w:pageBreakBefore w:val="0"/>
        <w:widowControl/>
        <w:numPr>
          <w:ilvl w:val="0"/>
          <w:numId w:val="0"/>
        </w:numPr>
        <w:shd w:val="clear" w:color="auto" w:fill="FFFFFF"/>
        <w:kinsoku/>
        <w:wordWrap/>
        <w:overflowPunct/>
        <w:topLinePunct w:val="0"/>
        <w:autoSpaceDE/>
        <w:autoSpaceDN/>
        <w:bidi w:val="0"/>
        <w:adjustRightInd/>
        <w:snapToGrid/>
        <w:spacing w:line="560" w:lineRule="exact"/>
        <w:ind w:firstLine="360" w:firstLineChars="150"/>
        <w:jc w:val="left"/>
        <w:textAlignment w:val="auto"/>
        <w:rPr>
          <w:rFonts w:hint="eastAsia" w:ascii="宋体" w:hAnsi="宋体" w:eastAsia="宋体" w:cs="宋体"/>
          <w:bCs/>
          <w:color w:val="auto"/>
          <w:kern w:val="2"/>
          <w:sz w:val="24"/>
          <w:szCs w:val="24"/>
          <w:highlight w:val="none"/>
          <w:lang w:val="en-US" w:eastAsia="zh-CN" w:bidi="ar-SA"/>
        </w:rPr>
      </w:pPr>
      <w:r>
        <w:rPr>
          <w:rFonts w:hint="eastAsia" w:ascii="宋体" w:hAnsi="宋体" w:eastAsia="宋体" w:cs="宋体"/>
          <w:bCs/>
          <w:color w:val="auto"/>
          <w:kern w:val="2"/>
          <w:sz w:val="24"/>
          <w:szCs w:val="24"/>
          <w:highlight w:val="none"/>
          <w:lang w:val="en-US" w:eastAsia="zh-CN" w:bidi="ar-SA"/>
        </w:rPr>
        <w:t>3.2.2抽检区域和场所：抽检样品应在流通环节抽样，抽检工作应结合当地食品经营和消费实际，以大型连锁企业、大型食品批发企业、农批(贸)市场、网络经营单位等节日食品消费量大的抽检区域和场所为重点。其中，抽检批发市场和农贸市场食品占40%，商场和超市占40%，网店和网络交易平台(仅限于江西省内的食品生产和经营单位)等食品占20%。</w:t>
      </w:r>
    </w:p>
    <w:p w14:paraId="6A81B81A">
      <w:pPr>
        <w:keepNext w:val="0"/>
        <w:keepLines w:val="0"/>
        <w:pageBreakBefore w:val="0"/>
        <w:widowControl/>
        <w:numPr>
          <w:ilvl w:val="0"/>
          <w:numId w:val="0"/>
        </w:numPr>
        <w:shd w:val="clear" w:color="auto" w:fill="FFFFFF"/>
        <w:kinsoku/>
        <w:wordWrap/>
        <w:overflowPunct/>
        <w:topLinePunct w:val="0"/>
        <w:autoSpaceDE/>
        <w:autoSpaceDN/>
        <w:bidi w:val="0"/>
        <w:adjustRightInd/>
        <w:snapToGrid/>
        <w:spacing w:line="560" w:lineRule="exact"/>
        <w:ind w:firstLine="360" w:firstLineChars="150"/>
        <w:jc w:val="left"/>
        <w:textAlignment w:val="auto"/>
        <w:rPr>
          <w:rFonts w:hint="eastAsia" w:ascii="宋体" w:hAnsi="宋体" w:eastAsia="宋体" w:cs="宋体"/>
          <w:bCs/>
          <w:color w:val="auto"/>
          <w:kern w:val="2"/>
          <w:sz w:val="24"/>
          <w:szCs w:val="24"/>
          <w:highlight w:val="none"/>
          <w:lang w:val="en-US" w:eastAsia="zh-CN" w:bidi="ar-SA"/>
        </w:rPr>
      </w:pPr>
      <w:r>
        <w:rPr>
          <w:rFonts w:hint="eastAsia" w:ascii="宋体" w:hAnsi="宋体" w:eastAsia="宋体" w:cs="宋体"/>
          <w:bCs/>
          <w:color w:val="auto"/>
          <w:kern w:val="2"/>
          <w:sz w:val="24"/>
          <w:szCs w:val="24"/>
          <w:highlight w:val="none"/>
          <w:lang w:val="en-US" w:eastAsia="zh-CN" w:bidi="ar-SA"/>
        </w:rPr>
        <w:t>3.2.3端午、中秋的节日食品，应于节前20天完成节日食品专项监督抽检工作，于节前15天完成抽检信息公布；五一、国庆以及两会期间的抽检工作，应于节后30天完成抽检信息公布。</w:t>
      </w:r>
    </w:p>
    <w:p w14:paraId="08F88D30">
      <w:pPr>
        <w:keepNext w:val="0"/>
        <w:keepLines w:val="0"/>
        <w:pageBreakBefore w:val="0"/>
        <w:widowControl/>
        <w:numPr>
          <w:ilvl w:val="0"/>
          <w:numId w:val="0"/>
        </w:numPr>
        <w:shd w:val="clear" w:color="auto" w:fill="FFFFFF"/>
        <w:kinsoku/>
        <w:wordWrap/>
        <w:overflowPunct/>
        <w:topLinePunct w:val="0"/>
        <w:autoSpaceDE/>
        <w:autoSpaceDN/>
        <w:bidi w:val="0"/>
        <w:adjustRightInd/>
        <w:snapToGrid/>
        <w:spacing w:line="560" w:lineRule="exact"/>
        <w:ind w:firstLine="360" w:firstLineChars="150"/>
        <w:jc w:val="left"/>
        <w:textAlignment w:val="auto"/>
        <w:rPr>
          <w:rFonts w:hint="eastAsia" w:ascii="宋体" w:hAnsi="宋体" w:eastAsia="宋体" w:cs="宋体"/>
          <w:bCs/>
          <w:color w:val="auto"/>
          <w:kern w:val="2"/>
          <w:sz w:val="24"/>
          <w:szCs w:val="24"/>
          <w:highlight w:val="none"/>
          <w:lang w:val="en-US" w:eastAsia="zh-CN" w:bidi="ar-SA"/>
        </w:rPr>
      </w:pPr>
      <w:r>
        <w:rPr>
          <w:rFonts w:hint="eastAsia" w:ascii="宋体" w:hAnsi="宋体" w:eastAsia="宋体" w:cs="宋体"/>
          <w:bCs/>
          <w:color w:val="auto"/>
          <w:kern w:val="2"/>
          <w:sz w:val="24"/>
          <w:szCs w:val="24"/>
          <w:highlight w:val="none"/>
          <w:lang w:val="en-US" w:eastAsia="zh-CN" w:bidi="ar-SA"/>
        </w:rPr>
        <w:t>3.3.合理安排抽检时间，规范报送抽检数据，确保“国抽系统”报送数据的准确无误。系统数据退修率严控在0.5%以下。</w:t>
      </w:r>
    </w:p>
    <w:p w14:paraId="5F625FFC">
      <w:pPr>
        <w:keepNext w:val="0"/>
        <w:keepLines w:val="0"/>
        <w:pageBreakBefore w:val="0"/>
        <w:widowControl/>
        <w:numPr>
          <w:ilvl w:val="0"/>
          <w:numId w:val="0"/>
        </w:numPr>
        <w:shd w:val="clear" w:color="auto" w:fill="FFFFFF"/>
        <w:kinsoku/>
        <w:wordWrap/>
        <w:overflowPunct/>
        <w:topLinePunct w:val="0"/>
        <w:autoSpaceDE/>
        <w:autoSpaceDN/>
        <w:bidi w:val="0"/>
        <w:adjustRightInd/>
        <w:snapToGrid/>
        <w:spacing w:line="560" w:lineRule="exact"/>
        <w:ind w:firstLine="361" w:firstLineChars="150"/>
        <w:jc w:val="left"/>
        <w:textAlignment w:val="auto"/>
        <w:rPr>
          <w:rFonts w:hint="eastAsia" w:ascii="宋体" w:hAnsi="宋体" w:eastAsia="宋体" w:cs="宋体"/>
          <w:b/>
          <w:bCs w:val="0"/>
          <w:color w:val="auto"/>
          <w:kern w:val="2"/>
          <w:sz w:val="24"/>
          <w:szCs w:val="24"/>
          <w:highlight w:val="none"/>
          <w:lang w:val="en-US" w:eastAsia="zh-CN" w:bidi="ar-SA"/>
        </w:rPr>
      </w:pPr>
      <w:r>
        <w:rPr>
          <w:rFonts w:hint="eastAsia" w:ascii="宋体" w:hAnsi="宋体" w:eastAsia="宋体" w:cs="宋体"/>
          <w:b/>
          <w:bCs w:val="0"/>
          <w:color w:val="auto"/>
          <w:kern w:val="2"/>
          <w:sz w:val="24"/>
          <w:szCs w:val="24"/>
          <w:highlight w:val="none"/>
          <w:lang w:val="en-US" w:eastAsia="zh-CN" w:bidi="ar-SA"/>
        </w:rPr>
        <w:t>4.抽样工作的实施 ：</w:t>
      </w:r>
    </w:p>
    <w:p w14:paraId="6EECDD97">
      <w:pPr>
        <w:keepNext w:val="0"/>
        <w:keepLines w:val="0"/>
        <w:pageBreakBefore w:val="0"/>
        <w:widowControl/>
        <w:numPr>
          <w:ilvl w:val="0"/>
          <w:numId w:val="0"/>
        </w:numPr>
        <w:shd w:val="clear" w:color="auto" w:fill="FFFFFF"/>
        <w:kinsoku/>
        <w:wordWrap/>
        <w:overflowPunct/>
        <w:topLinePunct w:val="0"/>
        <w:autoSpaceDE/>
        <w:autoSpaceDN/>
        <w:bidi w:val="0"/>
        <w:adjustRightInd/>
        <w:snapToGrid/>
        <w:spacing w:line="560" w:lineRule="exact"/>
        <w:ind w:firstLine="360" w:firstLineChars="150"/>
        <w:jc w:val="left"/>
        <w:textAlignment w:val="auto"/>
        <w:rPr>
          <w:rFonts w:hint="eastAsia" w:ascii="宋体" w:hAnsi="宋体" w:eastAsia="宋体" w:cs="宋体"/>
          <w:bCs/>
          <w:color w:val="auto"/>
          <w:kern w:val="2"/>
          <w:sz w:val="24"/>
          <w:szCs w:val="24"/>
          <w:highlight w:val="none"/>
          <w:lang w:val="en-US" w:eastAsia="zh-CN" w:bidi="ar-SA"/>
        </w:rPr>
      </w:pPr>
      <w:r>
        <w:rPr>
          <w:rFonts w:hint="eastAsia" w:ascii="宋体" w:hAnsi="宋体" w:eastAsia="宋体" w:cs="宋体"/>
          <w:bCs/>
          <w:color w:val="auto"/>
          <w:kern w:val="2"/>
          <w:sz w:val="24"/>
          <w:szCs w:val="24"/>
          <w:highlight w:val="none"/>
          <w:lang w:val="en-US" w:eastAsia="zh-CN" w:bidi="ar-SA"/>
        </w:rPr>
        <w:t xml:space="preserve">4.1抽检时间：每月均衡抽样，原则上每月任务完成量不少于全年任务的八分之一，具体时间以所签订的合同约定时间为准。 </w:t>
      </w:r>
    </w:p>
    <w:p w14:paraId="1A3FD62D">
      <w:pPr>
        <w:keepNext w:val="0"/>
        <w:keepLines w:val="0"/>
        <w:pageBreakBefore w:val="0"/>
        <w:widowControl w:val="0"/>
        <w:numPr>
          <w:ilvl w:val="0"/>
          <w:numId w:val="0"/>
        </w:numPr>
        <w:shd w:val="clear" w:color="auto" w:fill="FFFFFF"/>
        <w:kinsoku/>
        <w:wordWrap/>
        <w:overflowPunct/>
        <w:topLinePunct w:val="0"/>
        <w:autoSpaceDE/>
        <w:autoSpaceDN/>
        <w:bidi w:val="0"/>
        <w:adjustRightInd/>
        <w:snapToGrid/>
        <w:spacing w:line="560" w:lineRule="exact"/>
        <w:ind w:firstLine="360" w:firstLineChars="150"/>
        <w:jc w:val="left"/>
        <w:textAlignment w:val="auto"/>
        <w:rPr>
          <w:rFonts w:hint="eastAsia" w:ascii="宋体" w:hAnsi="宋体" w:eastAsia="宋体" w:cs="宋体"/>
          <w:bCs/>
          <w:color w:val="auto"/>
          <w:kern w:val="2"/>
          <w:sz w:val="24"/>
          <w:szCs w:val="24"/>
          <w:highlight w:val="none"/>
          <w:lang w:val="en-US" w:eastAsia="zh-CN" w:bidi="ar-SA"/>
        </w:rPr>
      </w:pPr>
      <w:r>
        <w:rPr>
          <w:rFonts w:hint="eastAsia" w:ascii="宋体" w:hAnsi="宋体" w:eastAsia="宋体" w:cs="宋体"/>
          <w:bCs/>
          <w:color w:val="auto"/>
          <w:kern w:val="2"/>
          <w:sz w:val="24"/>
          <w:szCs w:val="24"/>
          <w:highlight w:val="none"/>
          <w:lang w:val="en-US" w:eastAsia="zh-CN" w:bidi="ar-SA"/>
        </w:rPr>
        <w:t xml:space="preserve">4.2抽样要求: </w:t>
      </w:r>
    </w:p>
    <w:p w14:paraId="3AD94271">
      <w:pPr>
        <w:keepNext w:val="0"/>
        <w:keepLines w:val="0"/>
        <w:pageBreakBefore w:val="0"/>
        <w:widowControl w:val="0"/>
        <w:numPr>
          <w:ilvl w:val="0"/>
          <w:numId w:val="0"/>
        </w:numPr>
        <w:shd w:val="clear" w:color="auto" w:fill="FFFFFF"/>
        <w:kinsoku/>
        <w:wordWrap/>
        <w:overflowPunct/>
        <w:topLinePunct w:val="0"/>
        <w:autoSpaceDE/>
        <w:autoSpaceDN/>
        <w:bidi w:val="0"/>
        <w:adjustRightInd/>
        <w:snapToGrid/>
        <w:spacing w:line="560" w:lineRule="exact"/>
        <w:ind w:firstLine="360" w:firstLineChars="150"/>
        <w:jc w:val="left"/>
        <w:textAlignment w:val="auto"/>
        <w:rPr>
          <w:rFonts w:hint="eastAsia" w:ascii="宋体" w:hAnsi="宋体" w:eastAsia="宋体" w:cs="宋体"/>
          <w:bCs/>
          <w:color w:val="auto"/>
          <w:kern w:val="2"/>
          <w:sz w:val="24"/>
          <w:szCs w:val="24"/>
          <w:highlight w:val="none"/>
          <w:lang w:val="en-US" w:eastAsia="zh-CN" w:bidi="ar-SA"/>
        </w:rPr>
      </w:pPr>
      <w:r>
        <w:rPr>
          <w:rFonts w:hint="eastAsia" w:ascii="宋体" w:hAnsi="宋体" w:eastAsia="宋体" w:cs="宋体"/>
          <w:bCs/>
          <w:color w:val="auto"/>
          <w:kern w:val="2"/>
          <w:sz w:val="24"/>
          <w:szCs w:val="24"/>
          <w:highlight w:val="none"/>
          <w:lang w:val="en-US" w:eastAsia="zh-CN" w:bidi="ar-SA"/>
        </w:rPr>
        <w:t xml:space="preserve">4.2.1总体要求：不同任务、环节抽样严格遵循严格按相应任务的要求，以及江西省市场监督管理局相关实施细则中“抽样”条款要求。 </w:t>
      </w:r>
    </w:p>
    <w:p w14:paraId="69F1C09C">
      <w:pPr>
        <w:keepNext w:val="0"/>
        <w:keepLines w:val="0"/>
        <w:pageBreakBefore w:val="0"/>
        <w:widowControl/>
        <w:numPr>
          <w:ilvl w:val="0"/>
          <w:numId w:val="0"/>
        </w:numPr>
        <w:shd w:val="clear" w:color="auto" w:fill="FFFFFF"/>
        <w:kinsoku/>
        <w:wordWrap/>
        <w:overflowPunct/>
        <w:topLinePunct w:val="0"/>
        <w:autoSpaceDE/>
        <w:autoSpaceDN/>
        <w:bidi w:val="0"/>
        <w:adjustRightInd/>
        <w:snapToGrid/>
        <w:spacing w:line="560" w:lineRule="exact"/>
        <w:ind w:firstLine="360" w:firstLineChars="150"/>
        <w:jc w:val="left"/>
        <w:textAlignment w:val="auto"/>
        <w:rPr>
          <w:rFonts w:hint="eastAsia" w:ascii="宋体" w:hAnsi="宋体" w:eastAsia="宋体" w:cs="宋体"/>
          <w:bCs/>
          <w:color w:val="auto"/>
          <w:kern w:val="2"/>
          <w:sz w:val="24"/>
          <w:szCs w:val="24"/>
          <w:highlight w:val="none"/>
          <w:lang w:val="en-US" w:eastAsia="zh-CN" w:bidi="ar-SA"/>
        </w:rPr>
      </w:pPr>
      <w:r>
        <w:rPr>
          <w:rFonts w:hint="eastAsia" w:ascii="宋体" w:hAnsi="宋体" w:eastAsia="宋体" w:cs="宋体"/>
          <w:bCs/>
          <w:color w:val="auto"/>
          <w:kern w:val="2"/>
          <w:sz w:val="24"/>
          <w:szCs w:val="24"/>
          <w:highlight w:val="none"/>
          <w:lang w:val="en-US" w:eastAsia="zh-CN" w:bidi="ar-SA"/>
        </w:rPr>
        <w:t xml:space="preserve">4.3抽样单位：采购人依法委托承检机构实施抽样。采购人根据工作需要可以派员抽样或者监督承检机构的抽样。 </w:t>
      </w:r>
    </w:p>
    <w:p w14:paraId="6BA0F82E">
      <w:pPr>
        <w:keepNext w:val="0"/>
        <w:keepLines w:val="0"/>
        <w:pageBreakBefore w:val="0"/>
        <w:widowControl/>
        <w:numPr>
          <w:ilvl w:val="0"/>
          <w:numId w:val="0"/>
        </w:numPr>
        <w:shd w:val="clear" w:color="auto" w:fill="FFFFFF"/>
        <w:kinsoku/>
        <w:wordWrap/>
        <w:overflowPunct/>
        <w:topLinePunct w:val="0"/>
        <w:autoSpaceDE/>
        <w:autoSpaceDN/>
        <w:bidi w:val="0"/>
        <w:adjustRightInd/>
        <w:snapToGrid/>
        <w:spacing w:line="560" w:lineRule="exact"/>
        <w:ind w:firstLine="360" w:firstLineChars="150"/>
        <w:jc w:val="left"/>
        <w:textAlignment w:val="auto"/>
        <w:rPr>
          <w:rFonts w:hint="eastAsia" w:ascii="宋体" w:hAnsi="宋体" w:eastAsia="宋体" w:cs="宋体"/>
          <w:bCs/>
          <w:color w:val="auto"/>
          <w:kern w:val="2"/>
          <w:sz w:val="24"/>
          <w:szCs w:val="24"/>
          <w:highlight w:val="none"/>
          <w:lang w:val="en-US" w:eastAsia="zh-CN" w:bidi="ar-SA"/>
        </w:rPr>
      </w:pPr>
      <w:r>
        <w:rPr>
          <w:rFonts w:hint="eastAsia" w:ascii="宋体" w:hAnsi="宋体" w:eastAsia="宋体" w:cs="宋体"/>
          <w:bCs/>
          <w:color w:val="auto"/>
          <w:kern w:val="2"/>
          <w:sz w:val="24"/>
          <w:szCs w:val="24"/>
          <w:highlight w:val="none"/>
          <w:lang w:val="en-US" w:eastAsia="zh-CN" w:bidi="ar-SA"/>
        </w:rPr>
        <w:t xml:space="preserve">4.4抽检人员： </w:t>
      </w:r>
    </w:p>
    <w:p w14:paraId="115ACF97">
      <w:pPr>
        <w:keepNext w:val="0"/>
        <w:keepLines w:val="0"/>
        <w:pageBreakBefore w:val="0"/>
        <w:widowControl/>
        <w:numPr>
          <w:ilvl w:val="0"/>
          <w:numId w:val="0"/>
        </w:numPr>
        <w:shd w:val="clear" w:color="auto" w:fill="FFFFFF"/>
        <w:kinsoku/>
        <w:wordWrap/>
        <w:overflowPunct/>
        <w:topLinePunct w:val="0"/>
        <w:autoSpaceDE/>
        <w:autoSpaceDN/>
        <w:bidi w:val="0"/>
        <w:adjustRightInd/>
        <w:snapToGrid/>
        <w:spacing w:line="560" w:lineRule="exact"/>
        <w:ind w:firstLine="360" w:firstLineChars="150"/>
        <w:jc w:val="left"/>
        <w:textAlignment w:val="auto"/>
        <w:rPr>
          <w:rFonts w:hint="eastAsia" w:ascii="宋体" w:hAnsi="宋体" w:eastAsia="宋体" w:cs="宋体"/>
          <w:bCs/>
          <w:color w:val="auto"/>
          <w:kern w:val="2"/>
          <w:sz w:val="24"/>
          <w:szCs w:val="24"/>
          <w:highlight w:val="none"/>
          <w:lang w:val="en-US" w:eastAsia="zh-CN" w:bidi="ar-SA"/>
        </w:rPr>
      </w:pPr>
      <w:r>
        <w:rPr>
          <w:rFonts w:hint="eastAsia" w:ascii="宋体" w:hAnsi="宋体" w:eastAsia="宋体" w:cs="宋体"/>
          <w:bCs/>
          <w:color w:val="auto"/>
          <w:kern w:val="2"/>
          <w:sz w:val="24"/>
          <w:szCs w:val="24"/>
          <w:highlight w:val="none"/>
          <w:lang w:val="en-US" w:eastAsia="zh-CN" w:bidi="ar-SA"/>
        </w:rPr>
        <w:t>4.4.1承检机构</w:t>
      </w:r>
      <w:r>
        <w:rPr>
          <w:rFonts w:hint="eastAsia" w:ascii="宋体" w:hAnsi="宋体" w:eastAsia="宋体" w:cs="宋体"/>
          <w:b w:val="0"/>
          <w:bCs/>
          <w:color w:val="auto"/>
          <w:sz w:val="24"/>
          <w:szCs w:val="24"/>
          <w:highlight w:val="none"/>
          <w:lang w:val="zh-CN"/>
        </w:rPr>
        <w:t>投入本项目固定</w:t>
      </w:r>
      <w:r>
        <w:rPr>
          <w:rFonts w:hint="eastAsia" w:ascii="宋体" w:hAnsi="宋体" w:eastAsia="宋体" w:cs="宋体"/>
          <w:b w:val="0"/>
          <w:bCs/>
          <w:color w:val="auto"/>
          <w:sz w:val="24"/>
          <w:szCs w:val="24"/>
          <w:highlight w:val="none"/>
          <w:lang w:val="en-US" w:eastAsia="zh-CN"/>
        </w:rPr>
        <w:t>检测人员不低于5人（含项目负责人）</w:t>
      </w:r>
      <w:r>
        <w:rPr>
          <w:rFonts w:hint="eastAsia" w:ascii="宋体" w:hAnsi="宋体" w:eastAsia="宋体" w:cs="宋体"/>
          <w:bCs/>
          <w:color w:val="auto"/>
          <w:kern w:val="2"/>
          <w:sz w:val="24"/>
          <w:szCs w:val="24"/>
          <w:highlight w:val="none"/>
          <w:lang w:val="en-US" w:eastAsia="zh-CN" w:bidi="ar-SA"/>
        </w:rPr>
        <w:t xml:space="preserve">，以满足采购人日常抽检和案件稽查、事故调查、应急处置等抽检需求。 </w:t>
      </w:r>
    </w:p>
    <w:p w14:paraId="6CAB08E6">
      <w:pPr>
        <w:keepNext w:val="0"/>
        <w:keepLines w:val="0"/>
        <w:pageBreakBefore w:val="0"/>
        <w:widowControl/>
        <w:numPr>
          <w:ilvl w:val="0"/>
          <w:numId w:val="0"/>
        </w:numPr>
        <w:shd w:val="clear" w:color="auto" w:fill="FFFFFF"/>
        <w:kinsoku/>
        <w:wordWrap/>
        <w:overflowPunct/>
        <w:topLinePunct w:val="0"/>
        <w:autoSpaceDE/>
        <w:autoSpaceDN/>
        <w:bidi w:val="0"/>
        <w:adjustRightInd/>
        <w:snapToGrid/>
        <w:spacing w:line="560" w:lineRule="exact"/>
        <w:ind w:firstLine="360" w:firstLineChars="150"/>
        <w:jc w:val="left"/>
        <w:textAlignment w:val="auto"/>
        <w:rPr>
          <w:rFonts w:hint="eastAsia" w:ascii="宋体" w:hAnsi="宋体" w:eastAsia="宋体" w:cs="宋体"/>
          <w:bCs/>
          <w:color w:val="auto"/>
          <w:kern w:val="2"/>
          <w:sz w:val="24"/>
          <w:szCs w:val="24"/>
          <w:highlight w:val="none"/>
          <w:lang w:val="en-US" w:eastAsia="zh-CN" w:bidi="ar-SA"/>
        </w:rPr>
      </w:pPr>
      <w:r>
        <w:rPr>
          <w:rFonts w:hint="eastAsia" w:ascii="宋体" w:hAnsi="宋体" w:eastAsia="宋体" w:cs="宋体"/>
          <w:bCs/>
          <w:color w:val="auto"/>
          <w:kern w:val="2"/>
          <w:sz w:val="24"/>
          <w:szCs w:val="24"/>
          <w:highlight w:val="none"/>
          <w:lang w:val="en-US" w:eastAsia="zh-CN" w:bidi="ar-SA"/>
        </w:rPr>
        <w:t xml:space="preserve">4.4.2 抽样和检验要分离。即对某一食品的抽检，承检机构派出的抽样人员与检验人员不得为同一人。 </w:t>
      </w:r>
    </w:p>
    <w:p w14:paraId="0512F840">
      <w:pPr>
        <w:keepNext w:val="0"/>
        <w:keepLines w:val="0"/>
        <w:pageBreakBefore w:val="0"/>
        <w:widowControl/>
        <w:numPr>
          <w:ilvl w:val="0"/>
          <w:numId w:val="0"/>
        </w:numPr>
        <w:shd w:val="clear" w:color="auto" w:fill="FFFFFF"/>
        <w:kinsoku/>
        <w:wordWrap/>
        <w:overflowPunct/>
        <w:topLinePunct w:val="0"/>
        <w:autoSpaceDE/>
        <w:autoSpaceDN/>
        <w:bidi w:val="0"/>
        <w:adjustRightInd/>
        <w:snapToGrid/>
        <w:spacing w:line="560" w:lineRule="exact"/>
        <w:ind w:firstLine="360" w:firstLineChars="150"/>
        <w:jc w:val="left"/>
        <w:textAlignment w:val="auto"/>
        <w:rPr>
          <w:rFonts w:hint="eastAsia" w:ascii="宋体" w:hAnsi="宋体" w:eastAsia="宋体" w:cs="宋体"/>
          <w:bCs/>
          <w:color w:val="auto"/>
          <w:kern w:val="2"/>
          <w:sz w:val="24"/>
          <w:szCs w:val="24"/>
          <w:highlight w:val="none"/>
          <w:lang w:val="en-US" w:eastAsia="zh-CN" w:bidi="ar-SA"/>
        </w:rPr>
      </w:pPr>
      <w:r>
        <w:rPr>
          <w:rFonts w:hint="eastAsia" w:ascii="宋体" w:hAnsi="宋体" w:eastAsia="宋体" w:cs="宋体"/>
          <w:bCs/>
          <w:color w:val="auto"/>
          <w:kern w:val="2"/>
          <w:sz w:val="24"/>
          <w:szCs w:val="24"/>
          <w:highlight w:val="none"/>
          <w:lang w:val="en-US" w:eastAsia="zh-CN" w:bidi="ar-SA"/>
        </w:rPr>
        <w:t xml:space="preserve">4.4.3食用农产品的监督抽检工作中，要落实“检管结合”，应由监管部门监管执法人员（不少于2人）参与或陪同抽样并在抽样文书中签名或签章，同时开展监督检查，重点检查样品存放条件、索证索票等相关记录，并将抽样单编号填写在现场检查记录中，依法处置违法违规行为。蔬菜、水果品种采用了GB 23200.121方法检测的食用农产品抽样的样品量应对照相应的实施细则，抽样量要求与相应任务的检验机构沟通，保证按实施细则要求足量抽取。 </w:t>
      </w:r>
    </w:p>
    <w:p w14:paraId="50554299">
      <w:pPr>
        <w:keepNext w:val="0"/>
        <w:keepLines w:val="0"/>
        <w:pageBreakBefore w:val="0"/>
        <w:widowControl/>
        <w:numPr>
          <w:ilvl w:val="0"/>
          <w:numId w:val="0"/>
        </w:numPr>
        <w:shd w:val="clear" w:color="auto" w:fill="FFFFFF"/>
        <w:kinsoku/>
        <w:wordWrap/>
        <w:overflowPunct/>
        <w:topLinePunct w:val="0"/>
        <w:autoSpaceDE/>
        <w:autoSpaceDN/>
        <w:bidi w:val="0"/>
        <w:adjustRightInd/>
        <w:snapToGrid/>
        <w:spacing w:line="560" w:lineRule="exact"/>
        <w:ind w:firstLine="360" w:firstLineChars="150"/>
        <w:jc w:val="left"/>
        <w:textAlignment w:val="auto"/>
        <w:rPr>
          <w:rFonts w:hint="eastAsia" w:ascii="宋体" w:hAnsi="宋体" w:eastAsia="宋体" w:cs="宋体"/>
          <w:bCs/>
          <w:color w:val="auto"/>
          <w:kern w:val="2"/>
          <w:sz w:val="24"/>
          <w:szCs w:val="24"/>
          <w:highlight w:val="none"/>
          <w:lang w:val="en-US" w:eastAsia="zh-CN" w:bidi="ar-SA"/>
        </w:rPr>
      </w:pPr>
      <w:r>
        <w:rPr>
          <w:rFonts w:hint="eastAsia" w:ascii="宋体" w:hAnsi="宋体" w:eastAsia="宋体" w:cs="宋体"/>
          <w:bCs/>
          <w:color w:val="auto"/>
          <w:kern w:val="2"/>
          <w:sz w:val="24"/>
          <w:szCs w:val="24"/>
          <w:highlight w:val="none"/>
          <w:lang w:val="en-US" w:eastAsia="zh-CN" w:bidi="ar-SA"/>
        </w:rPr>
        <w:t>4.5交通工具：承检机构负责</w:t>
      </w:r>
      <w:bookmarkStart w:id="0" w:name="_GoBack"/>
      <w:bookmarkEnd w:id="0"/>
      <w:r>
        <w:rPr>
          <w:rFonts w:hint="eastAsia" w:ascii="宋体" w:hAnsi="宋体" w:eastAsia="宋体" w:cs="宋体"/>
          <w:bCs/>
          <w:color w:val="auto"/>
          <w:kern w:val="2"/>
          <w:sz w:val="24"/>
          <w:szCs w:val="24"/>
          <w:highlight w:val="none"/>
          <w:lang w:val="en-US" w:eastAsia="zh-CN" w:bidi="ar-SA"/>
        </w:rPr>
        <w:t xml:space="preserve">。 </w:t>
      </w:r>
    </w:p>
    <w:p w14:paraId="3F20A435">
      <w:pPr>
        <w:keepNext w:val="0"/>
        <w:keepLines w:val="0"/>
        <w:pageBreakBefore w:val="0"/>
        <w:widowControl/>
        <w:numPr>
          <w:ilvl w:val="0"/>
          <w:numId w:val="0"/>
        </w:numPr>
        <w:shd w:val="clear" w:color="auto" w:fill="FFFFFF"/>
        <w:kinsoku/>
        <w:wordWrap/>
        <w:overflowPunct/>
        <w:topLinePunct w:val="0"/>
        <w:autoSpaceDE/>
        <w:autoSpaceDN/>
        <w:bidi w:val="0"/>
        <w:adjustRightInd/>
        <w:snapToGrid/>
        <w:spacing w:line="560" w:lineRule="exact"/>
        <w:ind w:firstLine="360" w:firstLineChars="150"/>
        <w:jc w:val="left"/>
        <w:textAlignment w:val="auto"/>
        <w:rPr>
          <w:rFonts w:hint="eastAsia" w:ascii="宋体" w:hAnsi="宋体" w:eastAsia="宋体" w:cs="宋体"/>
          <w:bCs/>
          <w:color w:val="auto"/>
          <w:kern w:val="2"/>
          <w:sz w:val="24"/>
          <w:szCs w:val="24"/>
          <w:highlight w:val="none"/>
          <w:lang w:val="en-US" w:eastAsia="zh-CN" w:bidi="ar-SA"/>
        </w:rPr>
      </w:pPr>
      <w:r>
        <w:rPr>
          <w:rFonts w:hint="eastAsia" w:ascii="宋体" w:hAnsi="宋体" w:eastAsia="宋体" w:cs="宋体"/>
          <w:bCs/>
          <w:color w:val="auto"/>
          <w:kern w:val="2"/>
          <w:sz w:val="24"/>
          <w:szCs w:val="24"/>
          <w:highlight w:val="none"/>
          <w:lang w:val="en-US" w:eastAsia="zh-CN" w:bidi="ar-SA"/>
        </w:rPr>
        <w:t xml:space="preserve">4.6抽样方案：由承检机构制定具体的抽样实施方案，根据检验项目及国家标准中规定的采样方法及采样数量抽取样品。 </w:t>
      </w:r>
    </w:p>
    <w:p w14:paraId="686BBDEB">
      <w:pPr>
        <w:keepNext w:val="0"/>
        <w:keepLines w:val="0"/>
        <w:pageBreakBefore w:val="0"/>
        <w:widowControl/>
        <w:numPr>
          <w:ilvl w:val="0"/>
          <w:numId w:val="0"/>
        </w:numPr>
        <w:shd w:val="clear" w:color="auto" w:fill="FFFFFF"/>
        <w:kinsoku/>
        <w:wordWrap/>
        <w:overflowPunct/>
        <w:topLinePunct w:val="0"/>
        <w:autoSpaceDE/>
        <w:autoSpaceDN/>
        <w:bidi w:val="0"/>
        <w:adjustRightInd/>
        <w:snapToGrid/>
        <w:spacing w:line="560" w:lineRule="exact"/>
        <w:ind w:firstLine="360" w:firstLineChars="150"/>
        <w:jc w:val="left"/>
        <w:textAlignment w:val="auto"/>
        <w:rPr>
          <w:rFonts w:hint="eastAsia" w:ascii="宋体" w:hAnsi="宋体" w:eastAsia="宋体" w:cs="宋体"/>
          <w:bCs/>
          <w:color w:val="auto"/>
          <w:kern w:val="2"/>
          <w:sz w:val="24"/>
          <w:szCs w:val="24"/>
          <w:highlight w:val="none"/>
          <w:lang w:val="en-US" w:eastAsia="zh-CN" w:bidi="ar-SA"/>
        </w:rPr>
      </w:pPr>
      <w:r>
        <w:rPr>
          <w:rFonts w:hint="eastAsia" w:ascii="宋体" w:hAnsi="宋体" w:eastAsia="宋体" w:cs="宋体"/>
          <w:bCs/>
          <w:color w:val="auto"/>
          <w:kern w:val="2"/>
          <w:sz w:val="24"/>
          <w:szCs w:val="24"/>
          <w:highlight w:val="none"/>
          <w:lang w:val="en-US" w:eastAsia="zh-CN" w:bidi="ar-SA"/>
        </w:rPr>
        <w:t>4.7进度要求：承检机构应在采购人要求的时限前完成抽检监测任务。</w:t>
      </w:r>
    </w:p>
    <w:p w14:paraId="5CE0E34C">
      <w:pPr>
        <w:keepNext w:val="0"/>
        <w:keepLines w:val="0"/>
        <w:pageBreakBefore w:val="0"/>
        <w:widowControl/>
        <w:numPr>
          <w:ilvl w:val="0"/>
          <w:numId w:val="0"/>
        </w:numPr>
        <w:shd w:val="clear" w:color="auto" w:fill="FFFFFF"/>
        <w:kinsoku/>
        <w:wordWrap/>
        <w:overflowPunct/>
        <w:topLinePunct w:val="0"/>
        <w:autoSpaceDE/>
        <w:autoSpaceDN/>
        <w:bidi w:val="0"/>
        <w:adjustRightInd/>
        <w:snapToGrid/>
        <w:spacing w:line="560" w:lineRule="exact"/>
        <w:ind w:firstLine="360" w:firstLineChars="150"/>
        <w:jc w:val="left"/>
        <w:textAlignment w:val="auto"/>
        <w:rPr>
          <w:rFonts w:hint="eastAsia" w:ascii="宋体" w:hAnsi="宋体" w:eastAsia="宋体" w:cs="宋体"/>
          <w:bCs/>
          <w:color w:val="auto"/>
          <w:kern w:val="2"/>
          <w:sz w:val="24"/>
          <w:szCs w:val="24"/>
          <w:highlight w:val="none"/>
          <w:lang w:val="en-US" w:eastAsia="zh-CN" w:bidi="ar-SA"/>
        </w:rPr>
      </w:pPr>
      <w:r>
        <w:rPr>
          <w:rFonts w:hint="eastAsia" w:ascii="宋体" w:hAnsi="宋体" w:eastAsia="宋体" w:cs="宋体"/>
          <w:bCs/>
          <w:color w:val="auto"/>
          <w:kern w:val="2"/>
          <w:sz w:val="24"/>
          <w:szCs w:val="24"/>
          <w:highlight w:val="none"/>
          <w:lang w:val="en-US" w:eastAsia="zh-CN" w:bidi="ar-SA"/>
        </w:rPr>
        <w:t xml:space="preserve">4.8送样时间：承检单位负责按规定条件运输，保证样品运输、储存过程符合国家有关规定和包装标示的要求，不引起检验结果的变化，食用农产品、餐饮食品应由抽样完成后24小时内送至实验室。 </w:t>
      </w:r>
    </w:p>
    <w:p w14:paraId="02F19E86">
      <w:pPr>
        <w:keepNext w:val="0"/>
        <w:keepLines w:val="0"/>
        <w:pageBreakBefore w:val="0"/>
        <w:widowControl/>
        <w:numPr>
          <w:ilvl w:val="0"/>
          <w:numId w:val="0"/>
        </w:numPr>
        <w:shd w:val="clear" w:color="auto" w:fill="FFFFFF"/>
        <w:kinsoku/>
        <w:wordWrap/>
        <w:overflowPunct/>
        <w:topLinePunct w:val="0"/>
        <w:autoSpaceDE/>
        <w:autoSpaceDN/>
        <w:bidi w:val="0"/>
        <w:adjustRightInd/>
        <w:snapToGrid/>
        <w:spacing w:line="560" w:lineRule="exact"/>
        <w:ind w:firstLine="360" w:firstLineChars="150"/>
        <w:jc w:val="left"/>
        <w:textAlignment w:val="auto"/>
        <w:rPr>
          <w:rFonts w:hint="eastAsia" w:ascii="宋体" w:hAnsi="宋体" w:eastAsia="宋体" w:cs="宋体"/>
          <w:bCs/>
          <w:color w:val="auto"/>
          <w:kern w:val="2"/>
          <w:sz w:val="24"/>
          <w:szCs w:val="24"/>
          <w:highlight w:val="none"/>
          <w:lang w:val="en-US" w:eastAsia="zh-CN" w:bidi="ar-SA"/>
        </w:rPr>
      </w:pPr>
      <w:r>
        <w:rPr>
          <w:rFonts w:hint="eastAsia" w:ascii="宋体" w:hAnsi="宋体" w:eastAsia="宋体" w:cs="宋体"/>
          <w:bCs/>
          <w:color w:val="auto"/>
          <w:kern w:val="2"/>
          <w:sz w:val="24"/>
          <w:szCs w:val="24"/>
          <w:highlight w:val="none"/>
          <w:lang w:val="en-US" w:eastAsia="zh-CN" w:bidi="ar-SA"/>
        </w:rPr>
        <w:t xml:space="preserve">4.9抽样过程 </w:t>
      </w:r>
    </w:p>
    <w:p w14:paraId="5744A682">
      <w:pPr>
        <w:keepNext w:val="0"/>
        <w:keepLines w:val="0"/>
        <w:pageBreakBefore w:val="0"/>
        <w:widowControl/>
        <w:numPr>
          <w:ilvl w:val="0"/>
          <w:numId w:val="0"/>
        </w:numPr>
        <w:shd w:val="clear" w:color="auto" w:fill="FFFFFF"/>
        <w:kinsoku/>
        <w:wordWrap/>
        <w:overflowPunct/>
        <w:topLinePunct w:val="0"/>
        <w:autoSpaceDE/>
        <w:autoSpaceDN/>
        <w:bidi w:val="0"/>
        <w:adjustRightInd/>
        <w:snapToGrid/>
        <w:spacing w:line="560" w:lineRule="exact"/>
        <w:ind w:firstLine="360" w:firstLineChars="150"/>
        <w:jc w:val="left"/>
        <w:textAlignment w:val="auto"/>
        <w:rPr>
          <w:rFonts w:hint="eastAsia" w:ascii="宋体" w:hAnsi="宋体" w:eastAsia="宋体" w:cs="宋体"/>
          <w:bCs/>
          <w:color w:val="auto"/>
          <w:kern w:val="2"/>
          <w:sz w:val="24"/>
          <w:szCs w:val="24"/>
          <w:highlight w:val="none"/>
          <w:lang w:val="en-US" w:eastAsia="zh-CN" w:bidi="ar-SA"/>
        </w:rPr>
      </w:pPr>
      <w:r>
        <w:rPr>
          <w:rFonts w:hint="eastAsia" w:ascii="宋体" w:hAnsi="宋体" w:eastAsia="宋体" w:cs="宋体"/>
          <w:bCs/>
          <w:color w:val="auto"/>
          <w:kern w:val="2"/>
          <w:sz w:val="24"/>
          <w:szCs w:val="24"/>
          <w:highlight w:val="none"/>
          <w:lang w:val="en-US" w:eastAsia="zh-CN" w:bidi="ar-SA"/>
        </w:rPr>
        <w:t xml:space="preserve">4.9.1抽样人员应按照《食品安全抽样检验管理办法》(国家市场监督管理总局令第15号)进行抽样。抽样人员应当通过拍照、录像、留存购物票据等方式保存证据（拍照、录像内容需包括但不限于样品的陈列情况、被抽样单位的外观及证照、样品的完整包装标签、样品封样后的外观、需冷藏冷冻的样品放入车载冰箱的状态、样品运输状态等）。 </w:t>
      </w:r>
    </w:p>
    <w:p w14:paraId="6C794564">
      <w:pPr>
        <w:keepNext w:val="0"/>
        <w:keepLines w:val="0"/>
        <w:pageBreakBefore w:val="0"/>
        <w:widowControl/>
        <w:numPr>
          <w:ilvl w:val="0"/>
          <w:numId w:val="0"/>
        </w:numPr>
        <w:shd w:val="clear" w:color="auto" w:fill="FFFFFF"/>
        <w:kinsoku/>
        <w:wordWrap/>
        <w:overflowPunct/>
        <w:topLinePunct w:val="0"/>
        <w:autoSpaceDE/>
        <w:autoSpaceDN/>
        <w:bidi w:val="0"/>
        <w:adjustRightInd/>
        <w:snapToGrid/>
        <w:spacing w:line="560" w:lineRule="exact"/>
        <w:ind w:firstLine="360" w:firstLineChars="150"/>
        <w:jc w:val="left"/>
        <w:textAlignment w:val="auto"/>
        <w:rPr>
          <w:rFonts w:hint="eastAsia" w:ascii="宋体" w:hAnsi="宋体" w:eastAsia="宋体" w:cs="宋体"/>
          <w:bCs/>
          <w:color w:val="auto"/>
          <w:kern w:val="2"/>
          <w:sz w:val="24"/>
          <w:szCs w:val="24"/>
          <w:highlight w:val="none"/>
          <w:lang w:val="en-US" w:eastAsia="zh-CN" w:bidi="ar-SA"/>
        </w:rPr>
      </w:pPr>
      <w:r>
        <w:rPr>
          <w:rFonts w:hint="eastAsia" w:ascii="宋体" w:hAnsi="宋体" w:eastAsia="宋体" w:cs="宋体"/>
          <w:bCs/>
          <w:color w:val="auto"/>
          <w:kern w:val="2"/>
          <w:sz w:val="24"/>
          <w:szCs w:val="24"/>
          <w:highlight w:val="none"/>
          <w:lang w:val="en-US" w:eastAsia="zh-CN" w:bidi="ar-SA"/>
        </w:rPr>
        <w:t xml:space="preserve">4.9.2对于在抽检过程中发现产品销售状态不符明示要求的，应不予抽样并立即通知采购人及当地市场监管部门进行处置。抽样人员要严格按照相关法规要求以及产品标称的保存条件对抽取得样品进行保管、运输，并应建立相应台账（包括但不限于每批次样品的保管、运输方式、时间、以及运输过程中的环境温度），实现可追溯。抽完样品后应及时送至实验室进行保存及交接，并应建立相关保存及交接台账。对温度有特殊要求的以及易腐败的产品，原则上应在抽样之日起2个自然日内送至实验室进行保存及交接。  </w:t>
      </w:r>
    </w:p>
    <w:p w14:paraId="29108C0F">
      <w:pPr>
        <w:keepNext w:val="0"/>
        <w:keepLines w:val="0"/>
        <w:pageBreakBefore w:val="0"/>
        <w:widowControl/>
        <w:numPr>
          <w:ilvl w:val="0"/>
          <w:numId w:val="0"/>
        </w:numPr>
        <w:shd w:val="clear" w:color="auto" w:fill="FFFFFF"/>
        <w:kinsoku/>
        <w:wordWrap/>
        <w:overflowPunct/>
        <w:topLinePunct w:val="0"/>
        <w:autoSpaceDE/>
        <w:autoSpaceDN/>
        <w:bidi w:val="0"/>
        <w:adjustRightInd/>
        <w:snapToGrid/>
        <w:spacing w:line="560" w:lineRule="exact"/>
        <w:ind w:firstLine="360" w:firstLineChars="150"/>
        <w:jc w:val="left"/>
        <w:textAlignment w:val="auto"/>
        <w:rPr>
          <w:rFonts w:hint="eastAsia" w:ascii="宋体" w:hAnsi="宋体" w:eastAsia="宋体" w:cs="宋体"/>
          <w:bCs/>
          <w:color w:val="auto"/>
          <w:kern w:val="2"/>
          <w:sz w:val="24"/>
          <w:szCs w:val="24"/>
          <w:highlight w:val="none"/>
          <w:lang w:val="en-US" w:eastAsia="zh-CN" w:bidi="ar-SA"/>
        </w:rPr>
      </w:pPr>
      <w:r>
        <w:rPr>
          <w:rFonts w:hint="eastAsia" w:ascii="宋体" w:hAnsi="宋体" w:eastAsia="宋体" w:cs="宋体"/>
          <w:bCs/>
          <w:color w:val="auto"/>
          <w:kern w:val="2"/>
          <w:sz w:val="24"/>
          <w:szCs w:val="24"/>
          <w:highlight w:val="none"/>
          <w:lang w:val="en-US" w:eastAsia="zh-CN" w:bidi="ar-SA"/>
        </w:rPr>
        <w:t xml:space="preserve">4.10样品购买、保存和处理： </w:t>
      </w:r>
    </w:p>
    <w:p w14:paraId="2BC1EBDA">
      <w:pPr>
        <w:keepNext w:val="0"/>
        <w:keepLines w:val="0"/>
        <w:pageBreakBefore w:val="0"/>
        <w:widowControl/>
        <w:numPr>
          <w:ilvl w:val="0"/>
          <w:numId w:val="0"/>
        </w:numPr>
        <w:shd w:val="clear" w:color="auto" w:fill="FFFFFF"/>
        <w:kinsoku/>
        <w:wordWrap/>
        <w:overflowPunct/>
        <w:topLinePunct w:val="0"/>
        <w:autoSpaceDE/>
        <w:autoSpaceDN/>
        <w:bidi w:val="0"/>
        <w:adjustRightInd/>
        <w:snapToGrid/>
        <w:spacing w:line="560" w:lineRule="exact"/>
        <w:ind w:firstLine="360" w:firstLineChars="150"/>
        <w:jc w:val="left"/>
        <w:textAlignment w:val="auto"/>
        <w:rPr>
          <w:rFonts w:hint="eastAsia" w:ascii="宋体" w:hAnsi="宋体" w:eastAsia="宋体" w:cs="宋体"/>
          <w:bCs/>
          <w:color w:val="auto"/>
          <w:kern w:val="2"/>
          <w:sz w:val="24"/>
          <w:szCs w:val="24"/>
          <w:highlight w:val="none"/>
          <w:lang w:val="en-US" w:eastAsia="zh-CN" w:bidi="ar-SA"/>
        </w:rPr>
      </w:pPr>
      <w:r>
        <w:rPr>
          <w:rFonts w:hint="eastAsia" w:ascii="宋体" w:hAnsi="宋体" w:eastAsia="宋体" w:cs="宋体"/>
          <w:bCs/>
          <w:color w:val="auto"/>
          <w:kern w:val="2"/>
          <w:sz w:val="24"/>
          <w:szCs w:val="24"/>
          <w:highlight w:val="none"/>
          <w:lang w:val="en-US" w:eastAsia="zh-CN" w:bidi="ar-SA"/>
        </w:rPr>
        <w:t xml:space="preserve">4.10.1抽检的样品应按照环节品种对应江西省食品安全抽检监测实施细则要求抽取。如果抽检数量不满足，采购人会对承检机构进行处罚。另外承检机构要接受采购单位组织对其的飞行检查 。 </w:t>
      </w:r>
    </w:p>
    <w:p w14:paraId="275144ED">
      <w:pPr>
        <w:keepNext w:val="0"/>
        <w:keepLines w:val="0"/>
        <w:pageBreakBefore w:val="0"/>
        <w:widowControl/>
        <w:numPr>
          <w:ilvl w:val="0"/>
          <w:numId w:val="0"/>
        </w:numPr>
        <w:shd w:val="clear" w:color="auto" w:fill="FFFFFF"/>
        <w:kinsoku/>
        <w:wordWrap/>
        <w:overflowPunct/>
        <w:topLinePunct w:val="0"/>
        <w:autoSpaceDE/>
        <w:autoSpaceDN/>
        <w:bidi w:val="0"/>
        <w:adjustRightInd/>
        <w:snapToGrid/>
        <w:spacing w:line="560" w:lineRule="exact"/>
        <w:ind w:firstLine="360" w:firstLineChars="150"/>
        <w:jc w:val="left"/>
        <w:textAlignment w:val="auto"/>
        <w:rPr>
          <w:rFonts w:hint="eastAsia" w:ascii="宋体" w:hAnsi="宋体" w:eastAsia="宋体" w:cs="宋体"/>
          <w:bCs/>
          <w:color w:val="auto"/>
          <w:kern w:val="2"/>
          <w:sz w:val="24"/>
          <w:szCs w:val="24"/>
          <w:highlight w:val="none"/>
          <w:lang w:val="en-US" w:eastAsia="zh-CN" w:bidi="ar-SA"/>
        </w:rPr>
      </w:pPr>
      <w:r>
        <w:rPr>
          <w:rFonts w:hint="eastAsia" w:ascii="宋体" w:hAnsi="宋体" w:eastAsia="宋体" w:cs="宋体"/>
          <w:bCs/>
          <w:color w:val="auto"/>
          <w:kern w:val="2"/>
          <w:sz w:val="24"/>
          <w:szCs w:val="24"/>
          <w:highlight w:val="none"/>
          <w:lang w:val="en-US" w:eastAsia="zh-CN" w:bidi="ar-SA"/>
        </w:rPr>
        <w:t xml:space="preserve">4.10.2承检机构依照法律法规要求对样品进行留样。对于留样期满的复检备份样品，由承检机构采用合法合理方式进行销毁，销毁的记录留存备查。 </w:t>
      </w:r>
    </w:p>
    <w:p w14:paraId="636DA89A">
      <w:pPr>
        <w:keepNext w:val="0"/>
        <w:keepLines w:val="0"/>
        <w:pageBreakBefore w:val="0"/>
        <w:widowControl/>
        <w:numPr>
          <w:ilvl w:val="0"/>
          <w:numId w:val="0"/>
        </w:numPr>
        <w:shd w:val="clear" w:color="auto" w:fill="FFFFFF"/>
        <w:kinsoku/>
        <w:wordWrap/>
        <w:overflowPunct/>
        <w:topLinePunct w:val="0"/>
        <w:autoSpaceDE/>
        <w:autoSpaceDN/>
        <w:bidi w:val="0"/>
        <w:adjustRightInd/>
        <w:snapToGrid/>
        <w:spacing w:line="560" w:lineRule="exact"/>
        <w:ind w:firstLine="361" w:firstLineChars="150"/>
        <w:jc w:val="left"/>
        <w:textAlignment w:val="auto"/>
        <w:rPr>
          <w:rFonts w:hint="eastAsia" w:ascii="宋体" w:hAnsi="宋体" w:eastAsia="宋体" w:cs="宋体"/>
          <w:bCs/>
          <w:color w:val="auto"/>
          <w:kern w:val="2"/>
          <w:sz w:val="24"/>
          <w:szCs w:val="24"/>
          <w:highlight w:val="none"/>
          <w:lang w:val="en-US" w:eastAsia="zh-CN" w:bidi="ar-SA"/>
        </w:rPr>
      </w:pPr>
      <w:r>
        <w:rPr>
          <w:rFonts w:hint="eastAsia" w:ascii="宋体" w:hAnsi="宋体" w:eastAsia="宋体" w:cs="宋体"/>
          <w:b/>
          <w:bCs w:val="0"/>
          <w:color w:val="auto"/>
          <w:kern w:val="2"/>
          <w:sz w:val="24"/>
          <w:szCs w:val="24"/>
          <w:highlight w:val="none"/>
          <w:lang w:val="en-US" w:eastAsia="zh-CN" w:bidi="ar-SA"/>
        </w:rPr>
        <w:t>5、检验工作的实施</w:t>
      </w:r>
      <w:r>
        <w:rPr>
          <w:rFonts w:hint="eastAsia" w:ascii="宋体" w:hAnsi="宋体" w:eastAsia="宋体" w:cs="宋体"/>
          <w:bCs/>
          <w:color w:val="auto"/>
          <w:kern w:val="2"/>
          <w:sz w:val="24"/>
          <w:szCs w:val="24"/>
          <w:highlight w:val="none"/>
          <w:lang w:val="en-US" w:eastAsia="zh-CN" w:bidi="ar-SA"/>
        </w:rPr>
        <w:t xml:space="preserve"> </w:t>
      </w:r>
    </w:p>
    <w:p w14:paraId="547F7569">
      <w:pPr>
        <w:keepNext w:val="0"/>
        <w:keepLines w:val="0"/>
        <w:pageBreakBefore w:val="0"/>
        <w:widowControl/>
        <w:numPr>
          <w:ilvl w:val="0"/>
          <w:numId w:val="0"/>
        </w:numPr>
        <w:shd w:val="clear" w:color="auto" w:fill="FFFFFF"/>
        <w:kinsoku/>
        <w:wordWrap/>
        <w:overflowPunct/>
        <w:topLinePunct w:val="0"/>
        <w:autoSpaceDE/>
        <w:autoSpaceDN/>
        <w:bidi w:val="0"/>
        <w:adjustRightInd/>
        <w:snapToGrid/>
        <w:spacing w:line="560" w:lineRule="exact"/>
        <w:ind w:firstLine="360" w:firstLineChars="150"/>
        <w:jc w:val="left"/>
        <w:textAlignment w:val="auto"/>
        <w:rPr>
          <w:rFonts w:hint="eastAsia" w:ascii="宋体" w:hAnsi="宋体" w:eastAsia="宋体" w:cs="宋体"/>
          <w:bCs/>
          <w:color w:val="auto"/>
          <w:kern w:val="2"/>
          <w:sz w:val="24"/>
          <w:szCs w:val="24"/>
          <w:highlight w:val="none"/>
          <w:lang w:val="en-US" w:eastAsia="zh-CN" w:bidi="ar-SA"/>
        </w:rPr>
      </w:pPr>
      <w:r>
        <w:rPr>
          <w:rFonts w:hint="eastAsia" w:ascii="宋体" w:hAnsi="宋体" w:eastAsia="宋体" w:cs="宋体"/>
          <w:bCs/>
          <w:color w:val="auto"/>
          <w:kern w:val="2"/>
          <w:sz w:val="24"/>
          <w:szCs w:val="24"/>
          <w:highlight w:val="none"/>
          <w:lang w:val="en-US" w:eastAsia="zh-CN" w:bidi="ar-SA"/>
        </w:rPr>
        <w:t xml:space="preserve">5.1食品检验由食品检验机构要求的检验人独立进行。检验人应当依照有关法律、法规的规定，并依照食品安全标准和检验规范对食品进行检验，尊重科学，恪守职业道德，保证出具的检验数据和结论客观、公正，不得出具虚假的检验报告。 </w:t>
      </w:r>
    </w:p>
    <w:p w14:paraId="3063C9D6">
      <w:pPr>
        <w:keepNext w:val="0"/>
        <w:keepLines w:val="0"/>
        <w:pageBreakBefore w:val="0"/>
        <w:widowControl/>
        <w:numPr>
          <w:ilvl w:val="0"/>
          <w:numId w:val="0"/>
        </w:numPr>
        <w:shd w:val="clear" w:color="auto" w:fill="FFFFFF"/>
        <w:kinsoku/>
        <w:wordWrap/>
        <w:overflowPunct/>
        <w:topLinePunct w:val="0"/>
        <w:autoSpaceDE/>
        <w:autoSpaceDN/>
        <w:bidi w:val="0"/>
        <w:adjustRightInd/>
        <w:snapToGrid/>
        <w:spacing w:line="560" w:lineRule="exact"/>
        <w:ind w:firstLine="360" w:firstLineChars="150"/>
        <w:jc w:val="left"/>
        <w:textAlignment w:val="auto"/>
        <w:rPr>
          <w:rFonts w:hint="eastAsia" w:ascii="宋体" w:hAnsi="宋体" w:eastAsia="宋体" w:cs="宋体"/>
          <w:bCs/>
          <w:color w:val="auto"/>
          <w:kern w:val="2"/>
          <w:sz w:val="24"/>
          <w:szCs w:val="24"/>
          <w:highlight w:val="none"/>
          <w:lang w:val="en-US" w:eastAsia="zh-CN" w:bidi="ar-SA"/>
        </w:rPr>
      </w:pPr>
      <w:r>
        <w:rPr>
          <w:rFonts w:hint="eastAsia" w:ascii="宋体" w:hAnsi="宋体" w:eastAsia="宋体" w:cs="宋体"/>
          <w:bCs/>
          <w:color w:val="auto"/>
          <w:kern w:val="2"/>
          <w:sz w:val="24"/>
          <w:szCs w:val="24"/>
          <w:highlight w:val="none"/>
          <w:lang w:val="en-US" w:eastAsia="zh-CN" w:bidi="ar-SA"/>
        </w:rPr>
        <w:t xml:space="preserve">5.2检验项目：应完成检验项目表中各品种对应检验项目中的5个（检验项目表中少于5个检验项目的品种需做全部检验项目）；所抽验品种列有微生物检验项目的，必须做微生物项目。检验项目如有其他要求的，按《2025年赣州市第二批县级食品安全抽检监测计划》和《江西省食品安全监督抽检实施细则》（2026版）及国家、省、市局有关食品抽验工作文件及有关要求执行。 </w:t>
      </w:r>
    </w:p>
    <w:p w14:paraId="25EEE223">
      <w:pPr>
        <w:keepNext w:val="0"/>
        <w:keepLines w:val="0"/>
        <w:pageBreakBefore w:val="0"/>
        <w:widowControl/>
        <w:numPr>
          <w:ilvl w:val="0"/>
          <w:numId w:val="0"/>
        </w:numPr>
        <w:shd w:val="clear" w:color="auto" w:fill="FFFFFF"/>
        <w:kinsoku/>
        <w:wordWrap/>
        <w:overflowPunct/>
        <w:topLinePunct w:val="0"/>
        <w:autoSpaceDE/>
        <w:autoSpaceDN/>
        <w:bidi w:val="0"/>
        <w:adjustRightInd/>
        <w:snapToGrid/>
        <w:spacing w:line="560" w:lineRule="exact"/>
        <w:ind w:firstLine="360" w:firstLineChars="150"/>
        <w:jc w:val="left"/>
        <w:textAlignment w:val="auto"/>
        <w:rPr>
          <w:rFonts w:hint="eastAsia" w:ascii="宋体" w:hAnsi="宋体" w:eastAsia="宋体" w:cs="宋体"/>
          <w:bCs/>
          <w:color w:val="auto"/>
          <w:kern w:val="2"/>
          <w:sz w:val="24"/>
          <w:szCs w:val="24"/>
          <w:highlight w:val="none"/>
          <w:lang w:val="en-US" w:eastAsia="zh-CN" w:bidi="ar-SA"/>
        </w:rPr>
      </w:pPr>
      <w:r>
        <w:rPr>
          <w:rFonts w:hint="eastAsia" w:ascii="宋体" w:hAnsi="宋体" w:eastAsia="宋体" w:cs="宋体"/>
          <w:bCs/>
          <w:color w:val="auto"/>
          <w:kern w:val="2"/>
          <w:sz w:val="24"/>
          <w:szCs w:val="24"/>
          <w:highlight w:val="none"/>
          <w:lang w:val="en-US" w:eastAsia="zh-CN" w:bidi="ar-SA"/>
        </w:rPr>
        <w:t>5.3检验时间：原则要求从接样之日起20日内出具检验报告。省市场监管局转移至县级的食品抽检任务，于市局文件规定时间前完成所有食品抽样及抽样数据录入工作，承检单位要于市局文件规定时间前完成全部检验及检验数据录入工作；县本级的食品抽检任务要于市局文件规定时间前完成所有食品抽样，要于市局文件规定时间前完成所有食品检验及数据录入工作。应节应急抽检、执法抽检、24小时限时报告等有特殊时限要求的，根据采购人要求加快检验进度。</w:t>
      </w:r>
    </w:p>
    <w:p w14:paraId="1763D35E">
      <w:pPr>
        <w:keepNext w:val="0"/>
        <w:keepLines w:val="0"/>
        <w:pageBreakBefore w:val="0"/>
        <w:widowControl/>
        <w:numPr>
          <w:ilvl w:val="0"/>
          <w:numId w:val="0"/>
        </w:numPr>
        <w:shd w:val="clear" w:color="auto" w:fill="FFFFFF"/>
        <w:kinsoku/>
        <w:wordWrap/>
        <w:overflowPunct/>
        <w:topLinePunct w:val="0"/>
        <w:autoSpaceDE/>
        <w:autoSpaceDN/>
        <w:bidi w:val="0"/>
        <w:adjustRightInd/>
        <w:snapToGrid/>
        <w:spacing w:line="560" w:lineRule="exact"/>
        <w:ind w:firstLine="360" w:firstLineChars="150"/>
        <w:jc w:val="left"/>
        <w:textAlignment w:val="auto"/>
        <w:rPr>
          <w:rFonts w:hint="default" w:ascii="宋体" w:hAnsi="宋体" w:eastAsia="宋体" w:cs="宋体"/>
          <w:bCs/>
          <w:color w:val="auto"/>
          <w:kern w:val="2"/>
          <w:sz w:val="24"/>
          <w:szCs w:val="24"/>
          <w:highlight w:val="none"/>
          <w:lang w:val="en-US" w:eastAsia="zh-CN" w:bidi="ar-SA"/>
        </w:rPr>
      </w:pPr>
      <w:r>
        <w:rPr>
          <w:rFonts w:hint="eastAsia" w:ascii="宋体" w:hAnsi="宋体" w:eastAsia="宋体" w:cs="宋体"/>
          <w:bCs/>
          <w:color w:val="auto"/>
          <w:kern w:val="2"/>
          <w:sz w:val="24"/>
          <w:szCs w:val="24"/>
          <w:highlight w:val="none"/>
          <w:lang w:val="en-US" w:eastAsia="zh-CN" w:bidi="ar-SA"/>
        </w:rPr>
        <w:t>5.3.1.规定时间前将2025年食品抽检工作总结（包含：抽检任务完成情况、核查处置情况、风险预警交流、主要工作措施、存在的问题及建议、下一步工作打算）报送至采购人。等</w:t>
      </w:r>
    </w:p>
    <w:p w14:paraId="4BA85E1A"/>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auto"/>
    <w:pitch w:val="default"/>
    <w:sig w:usb0="E0002EFF" w:usb1="C000785B" w:usb2="00000009" w:usb3="00000000" w:csb0="400001FF" w:csb1="FFFF0000"/>
  </w:font>
  <w:font w:name="宋体">
    <w:panose1 w:val="02010600030101010101"/>
    <w:charset w:val="34"/>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3DD0D4C"/>
    <w:rsid w:val="20E30A74"/>
    <w:rsid w:val="3BF62D2E"/>
    <w:rsid w:val="695208E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4">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 w:type="table" w:styleId="3">
    <w:name w:val="Table Grid"/>
    <w:basedOn w:val="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2804</Words>
  <Characters>2945</Characters>
  <Lines>0</Lines>
  <Paragraphs>0</Paragraphs>
  <TotalTime>0</TotalTime>
  <ScaleCrop>false</ScaleCrop>
  <LinksUpToDate>false</LinksUpToDate>
  <CharactersWithSpaces>2972</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2026-04-30T05:01:00Z</dcterms:created>
  <dc:creator>Administrator</dc:creator>
  <cp:lastModifiedBy>Administrator</cp:lastModifiedBy>
  <dcterms:modified xsi:type="dcterms:W3CDTF">2026-05-25T09:35:54Z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KSOTemplateDocerSaveRecord">
    <vt:lpwstr>eyJoZGlkIjoiYzI4MmQ2NjFhNmM5ZWM1NWI4NjQ0YzVjNzhmMTc3NjQiLCJ1c2VySWQiOiIxMTYxNjE0MTMzIn0=</vt:lpwstr>
  </property>
  <property fmtid="{D5CDD505-2E9C-101B-9397-08002B2CF9AE}" pid="4" name="ICV">
    <vt:lpwstr>021DD1DE92104584A09BEE2CFE5C621A_12</vt:lpwstr>
  </property>
</Properties>
</file>