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05924C">
      <w:r>
        <w:drawing>
          <wp:inline distT="0" distB="0" distL="114300" distR="114300">
            <wp:extent cx="6112510" cy="7169785"/>
            <wp:effectExtent l="0" t="0" r="2540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12510" cy="7169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7C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2026-06-11T06:43:19Z</dcterms:created>
  <dc:creator>江西省南昌公共资源交易中心</dc:creator>
  <cp:lastModifiedBy>江西省南昌公共资源交易中心</cp:lastModifiedBy>
  <dcterms:modified xsi:type="dcterms:W3CDTF">2026-06-11T06:44:05Z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eyJoZGlkIjoiNzQzMTZlZjkyYWZhOWNjM2MxMDRhNzM5ZWNkZGI0MWUifQ==</vt:lpwstr>
  </property>
  <property fmtid="{D5CDD505-2E9C-101B-9397-08002B2CF9AE}" pid="4" name="ICV">
    <vt:lpwstr>7F33BF8EBF1B4A6984C732D7255F4914_12</vt:lpwstr>
  </property>
</Properties>
</file>