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3D5ED5">
      <w:r>
        <w:drawing>
          <wp:inline distT="0" distB="0" distL="114300" distR="114300">
            <wp:extent cx="5273040" cy="5039995"/>
            <wp:effectExtent l="0" t="0" r="381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03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8D5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2026-06-11T06:54:25Z</dcterms:created>
  <dc:creator>江西省南昌公共资源交易中心</dc:creator>
  <cp:lastModifiedBy>江西省南昌公共资源交易中心</cp:lastModifiedBy>
  <dcterms:modified xsi:type="dcterms:W3CDTF">2026-06-11T06:54:39Z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eyJoZGlkIjoiNzQzMTZlZjkyYWZhOWNjM2MxMDRhNzM5ZWNkZGI0MWUifQ==</vt:lpwstr>
  </property>
  <property fmtid="{D5CDD505-2E9C-101B-9397-08002B2CF9AE}" pid="4" name="ICV">
    <vt:lpwstr>AF588FA627934568A7DEDB1415860EC6_12</vt:lpwstr>
  </property>
</Properties>
</file>