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00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6"/>
        <w:gridCol w:w="1242"/>
        <w:gridCol w:w="6443"/>
        <w:gridCol w:w="701"/>
        <w:gridCol w:w="826"/>
      </w:tblGrid>
      <w:tr w14:paraId="64A82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826" w:type="dxa"/>
            <w:noWrap w:val="0"/>
            <w:vAlign w:val="center"/>
          </w:tcPr>
          <w:p w14:paraId="3CDBC0BB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242" w:type="dxa"/>
            <w:noWrap w:val="0"/>
            <w:vAlign w:val="center"/>
          </w:tcPr>
          <w:p w14:paraId="44A86107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建设内容</w:t>
            </w:r>
          </w:p>
        </w:tc>
        <w:tc>
          <w:tcPr>
            <w:tcW w:w="6443" w:type="dxa"/>
            <w:noWrap w:val="0"/>
            <w:vAlign w:val="center"/>
          </w:tcPr>
          <w:p w14:paraId="30F1DF1C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技术要求</w:t>
            </w:r>
          </w:p>
        </w:tc>
        <w:tc>
          <w:tcPr>
            <w:tcW w:w="701" w:type="dxa"/>
            <w:noWrap w:val="0"/>
            <w:vAlign w:val="center"/>
          </w:tcPr>
          <w:p w14:paraId="2725DED7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  <w:tc>
          <w:tcPr>
            <w:tcW w:w="826" w:type="dxa"/>
            <w:noWrap w:val="0"/>
            <w:vAlign w:val="center"/>
          </w:tcPr>
          <w:p w14:paraId="57795CF0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单位</w:t>
            </w:r>
          </w:p>
        </w:tc>
      </w:tr>
      <w:tr w14:paraId="47DA5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0" w:hRule="atLeast"/>
          <w:jc w:val="center"/>
        </w:trPr>
        <w:tc>
          <w:tcPr>
            <w:tcW w:w="826" w:type="dxa"/>
            <w:noWrap w:val="0"/>
            <w:vAlign w:val="center"/>
          </w:tcPr>
          <w:p w14:paraId="32382BB3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242" w:type="dxa"/>
            <w:noWrap w:val="0"/>
            <w:vAlign w:val="center"/>
          </w:tcPr>
          <w:p w14:paraId="76321A63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文物</w:t>
            </w:r>
            <w:r>
              <w:rPr>
                <w:rFonts w:hint="eastAsia" w:cs="宋体"/>
                <w:spacing w:val="-3"/>
                <w:sz w:val="24"/>
                <w:szCs w:val="24"/>
                <w:highlight w:val="none"/>
                <w:lang w:val="en-US" w:eastAsia="zh-CN"/>
              </w:rPr>
              <w:t>三维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</w:rPr>
              <w:t>数字化采集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highlight w:val="none"/>
                <w:lang w:val="en-US" w:eastAsia="zh-CN"/>
              </w:rPr>
              <w:t>加工</w:t>
            </w:r>
          </w:p>
        </w:tc>
        <w:tc>
          <w:tcPr>
            <w:tcW w:w="6443" w:type="dxa"/>
            <w:noWrap w:val="0"/>
            <w:vAlign w:val="center"/>
          </w:tcPr>
          <w:p w14:paraId="52ECFED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1、文物扫描：</w:t>
            </w:r>
          </w:p>
          <w:p w14:paraId="77BEFCF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（1）三维信息采集：</w:t>
            </w:r>
          </w:p>
          <w:p w14:paraId="4F2E9D6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三维数据采集设备选型：采用立式或手持式三维采集设备；</w:t>
            </w:r>
          </w:p>
          <w:p w14:paraId="33F15F86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三维数据扫描设备采集精度：≤0.05mm；</w:t>
            </w:r>
          </w:p>
          <w:p w14:paraId="7681895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点云数据的噪音控制：低于3%；</w:t>
            </w:r>
          </w:p>
          <w:p w14:paraId="6993FAA2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拼合后物体的形态误差：≤0.1mm；</w:t>
            </w:r>
          </w:p>
          <w:p w14:paraId="38D5178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扫描面对物体外表面覆盖率：≥98%。</w:t>
            </w:r>
          </w:p>
          <w:p w14:paraId="0B11C76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（2）色彩和表面纹理采集：</w:t>
            </w:r>
          </w:p>
          <w:p w14:paraId="09CA4EF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采集设备：≥4800万有效像素的单反相机；</w:t>
            </w:r>
          </w:p>
          <w:p w14:paraId="5DC8B99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采集要求：平行光环境下的正交拍摄；</w:t>
            </w:r>
          </w:p>
          <w:p w14:paraId="174C9EEB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色彩要求：固定光环境（标准色温4500K）；使用色标，灰卡。</w:t>
            </w:r>
          </w:p>
          <w:p w14:paraId="12E1529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2、文物三维模型精细制作：在软件中根据现场拍摄采集的图像数据，进行三维建模，维模型反射环境制作、内部空间和三维模型烘焙接缝处理（文物的三维数字化数据过程采用全自动化，非接触式超高精度的采集方式进行采集，采集精度达到微米级）。</w:t>
            </w:r>
          </w:p>
          <w:p w14:paraId="4A366E7B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3、三维模型数据处理：初级数据处理、点云数据精细处理、纹理投影贴图处理、纹理投影贴图匹配、原始点云数据输出、云数据包整理输出三维数据、高精度彩色模型数据输出、测量报告制作；文物的三维数字化建模包括：三维数字化立体模型、颜色贴图、法线贴图、材质贴图、光影渲染等。</w:t>
            </w:r>
          </w:p>
          <w:p w14:paraId="205B499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模型要求：</w:t>
            </w:r>
          </w:p>
          <w:p w14:paraId="72B0E5EF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（1）接缝处理：文物表面色彩纹理无明显接缝；</w:t>
            </w:r>
          </w:p>
          <w:p w14:paraId="2012EC7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（2）尺寸误差：≤0.1mm；</w:t>
            </w:r>
          </w:p>
          <w:p w14:paraId="5419037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（3）色彩还原：还原为自然光照条件下物体表面色彩；</w:t>
            </w:r>
          </w:p>
          <w:p w14:paraId="70AF693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（4）数据输出格式：3DS、STL、DXF、WRL、OBJ 等通用三维模型格式，实现与 Geomagic、Polyworks、Imageware 等逆向工程软件自由交换数据。</w:t>
            </w:r>
          </w:p>
          <w:p w14:paraId="52B03DD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4、数据成果：需输出存档级及应用级2份模型成果数据。</w:t>
            </w:r>
          </w:p>
          <w:p w14:paraId="2E927B8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（1）存档级采用至少5万面模型数据，采用高清4K贴图（分辨率不小于4096*4096），采用无损4K法线贴图。</w:t>
            </w:r>
          </w:p>
          <w:p w14:paraId="39D502D4"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（2）应用级采用至少1万面模型数据，采用标清贴图（分辨率不小于720*720），采用标清法线贴图。</w:t>
            </w:r>
          </w:p>
        </w:tc>
        <w:tc>
          <w:tcPr>
            <w:tcW w:w="701" w:type="dxa"/>
            <w:noWrap w:val="0"/>
            <w:vAlign w:val="center"/>
          </w:tcPr>
          <w:p w14:paraId="330592EF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83</w:t>
            </w:r>
          </w:p>
        </w:tc>
        <w:tc>
          <w:tcPr>
            <w:tcW w:w="826" w:type="dxa"/>
            <w:noWrap w:val="0"/>
            <w:vAlign w:val="center"/>
          </w:tcPr>
          <w:p w14:paraId="5F3A4F0E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件</w:t>
            </w:r>
          </w:p>
        </w:tc>
      </w:tr>
      <w:tr w14:paraId="4A964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8" w:hRule="atLeast"/>
          <w:jc w:val="center"/>
        </w:trPr>
        <w:tc>
          <w:tcPr>
            <w:tcW w:w="826" w:type="dxa"/>
            <w:noWrap w:val="0"/>
            <w:vAlign w:val="center"/>
          </w:tcPr>
          <w:p w14:paraId="5804C01B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242" w:type="dxa"/>
            <w:noWrap w:val="0"/>
            <w:vAlign w:val="center"/>
          </w:tcPr>
          <w:p w14:paraId="0AD14D8C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文物二维数字化采集加工</w:t>
            </w:r>
          </w:p>
        </w:tc>
        <w:tc>
          <w:tcPr>
            <w:tcW w:w="6443" w:type="dxa"/>
            <w:noWrap w:val="0"/>
            <w:vAlign w:val="center"/>
          </w:tcPr>
          <w:p w14:paraId="62C0FC2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1、采集设备要求</w:t>
            </w:r>
          </w:p>
          <w:p w14:paraId="21AE19FB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(1)采用非接触式扫描设备；</w:t>
            </w:r>
          </w:p>
          <w:p w14:paraId="6BA2AAAB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(2)采用高精度彩色线性扫描和线性专用镜头，保证在全扫描范围内图像的质量及清晰度，保证所采集的图像不会产生变形，扫描精度达到 1 亿像素以上；</w:t>
            </w:r>
          </w:p>
          <w:p w14:paraId="7E54235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(3)高显色(显色指数 CRI需≥95)LED数字同步光源系统，色温5400K，左右两边光源照度需可调节；采用特殊 LED 冷光源，色彩还原精确，无有害照射光源，光照距离可以保持 50cm 以上，减少对文物的照度；避免反光原稿的高亮点，可以消除皱褶保证平整色彩一致还原。</w:t>
            </w:r>
          </w:p>
          <w:p w14:paraId="1B0976D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2、采集数据要求</w:t>
            </w:r>
          </w:p>
          <w:p w14:paraId="73F29F0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(1)单件文物藏品需满足以下要求:</w:t>
            </w:r>
          </w:p>
          <w:p w14:paraId="733AB3C3">
            <w:pPr>
              <w:pStyle w:val="2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采集</w:t>
            </w:r>
            <w:r>
              <w:rPr>
                <w:rFonts w:hint="eastAsia"/>
                <w:lang w:val="en-US" w:eastAsia="zh-CN"/>
              </w:rPr>
              <w:t>全息影像</w:t>
            </w:r>
            <w:r>
              <w:rPr>
                <w:rFonts w:hint="eastAsia"/>
                <w:sz w:val="24"/>
                <w:szCs w:val="24"/>
                <w:vertAlign w:val="baseline"/>
              </w:rPr>
              <w:t>一幅。</w:t>
            </w:r>
          </w:p>
          <w:p w14:paraId="3CE611B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(2)成套文物藏品需满足以下要求:</w:t>
            </w:r>
          </w:p>
          <w:p w14:paraId="2BE37477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成套平面藏品应按原作状态拍摄组合影像;并逐一采集每件单体藏品。</w:t>
            </w:r>
          </w:p>
          <w:p w14:paraId="2FE2583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(3)藏品局部影像：</w:t>
            </w:r>
          </w:p>
          <w:p w14:paraId="4709573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下列情形，应采集藏品局部影像:--题识、印鉴、署名等标识性内容:--伤残、破损部位；--特殊装裱形式。</w:t>
            </w:r>
          </w:p>
          <w:p w14:paraId="2FC167B6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(4)馆藏文物高清二维数据，具体包括全部原始数据与成果数据，具体如下:</w:t>
            </w:r>
          </w:p>
          <w:p w14:paraId="379298E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a)高清原始图，保存文物真实、详实的无损原始数据。包括采集后的文物进行拼接、色彩校正后的高清原始图一套，图片文件采用 Tiff 或其他通用的无损图片文件格式。最高输出分辨率为 600DPI,同时输出 300DPI与 72DPI 数据各一套，以满足不同场景需求。</w:t>
            </w:r>
          </w:p>
          <w:p w14:paraId="5793A85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b)展示浏览图，可展示文物的全方位高清细节，交互自然、浏览流畅。包括无损压缩后的展示图一套，用于在互联网上的流畅展示，管理、研究人员的快速查看，文件格式 TIFF 或 PSB或 JPG 。</w:t>
            </w:r>
          </w:p>
          <w:p w14:paraId="708AC559"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c)高清图版，对项目实施过程中发现的文物病害情况进行图版记录，能清晰记录文物真实形态、病害，破损情况。包括高清图版成果电子版一套，电子版格式为 TIFF 或 JPG 或 PDF，图版分辨率为 300DPI，满足出版需求。</w:t>
            </w:r>
          </w:p>
        </w:tc>
        <w:tc>
          <w:tcPr>
            <w:tcW w:w="701" w:type="dxa"/>
            <w:noWrap w:val="0"/>
            <w:vAlign w:val="center"/>
          </w:tcPr>
          <w:p w14:paraId="149B5ED2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23</w:t>
            </w:r>
          </w:p>
        </w:tc>
        <w:tc>
          <w:tcPr>
            <w:tcW w:w="826" w:type="dxa"/>
            <w:noWrap w:val="0"/>
            <w:vAlign w:val="center"/>
          </w:tcPr>
          <w:p w14:paraId="2EB38A4F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件</w:t>
            </w:r>
          </w:p>
        </w:tc>
      </w:tr>
      <w:tr w14:paraId="61F91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6" w:hRule="atLeast"/>
          <w:jc w:val="center"/>
        </w:trPr>
        <w:tc>
          <w:tcPr>
            <w:tcW w:w="826" w:type="dxa"/>
            <w:noWrap w:val="0"/>
            <w:vAlign w:val="center"/>
          </w:tcPr>
          <w:p w14:paraId="6E6FD749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242" w:type="dxa"/>
            <w:noWrap w:val="0"/>
            <w:vAlign w:val="center"/>
          </w:tcPr>
          <w:p w14:paraId="685EB750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文物综合展示系统</w:t>
            </w:r>
          </w:p>
        </w:tc>
        <w:tc>
          <w:tcPr>
            <w:tcW w:w="6443" w:type="dxa"/>
            <w:noWrap w:val="0"/>
            <w:vAlign w:val="center"/>
          </w:tcPr>
          <w:p w14:paraId="172A088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1、logo管理：可设置每个博物馆前端展示的Logo信息，支持用户自定义修改。</w:t>
            </w:r>
          </w:p>
          <w:p w14:paraId="66B2511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2、屏幕管理：</w:t>
            </w:r>
          </w:p>
          <w:p w14:paraId="7002AE1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针对博物馆存在的多个屏幕展示，可将各类屏幕进行分类管理，在展示文件管理中可设置文物展示到哪个屏幕终端。</w:t>
            </w:r>
          </w:p>
          <w:p w14:paraId="4ECAC1E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针对博物馆个性化的展示需求提供不少于5种展示模板，可通过内置模板直接点击浏览。</w:t>
            </w:r>
          </w:p>
          <w:p w14:paraId="642A729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3、栏目管理：由各个博物馆依据自身情况自定义文物综合展示的栏目信息。</w:t>
            </w:r>
          </w:p>
          <w:p w14:paraId="1C0F7CE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4、文物管理：主要针对文物信息的管理，包括文物名称、简介、缩略图、所属栏目、语音讲解、音频文件等信息，同时支持文物专题挂接。</w:t>
            </w:r>
          </w:p>
          <w:p w14:paraId="641C5AA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5、展示文件管理：</w:t>
            </w:r>
          </w:p>
          <w:p w14:paraId="2E2FB3C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依据文物展现形式的性质不同，支持3D、图片、视频、360文件等多种展现形式，同时支持文物专题挂接、音频文件上传等。</w:t>
            </w:r>
          </w:p>
          <w:p w14:paraId="3EF2128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展示类型选择图片时，可上传文物高清图片。</w:t>
            </w:r>
          </w:p>
          <w:p w14:paraId="5E6C1AD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展示类型选择视频时，可上传mp4、avi、wmv、mov、flv、3gp等格式的视频。</w:t>
            </w:r>
          </w:p>
          <w:p w14:paraId="10738D8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展示类型选择360时，可上传文物环拍的图片。</w:t>
            </w:r>
          </w:p>
          <w:p w14:paraId="0037C08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展示类型为3D时，可上传MTL文件、模型文件、材质贴图、法线贴图信息，如果1套文物由多组模型组成的，可增加多组文件上传模式。</w:t>
            </w:r>
          </w:p>
          <w:p w14:paraId="489D9E7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可设置每件文物的显示状态与展现形式，可设置文物在何种终端中进行展示，选择触摸屏时可选择显示在何种触摸屏上显示。</w:t>
            </w:r>
          </w:p>
          <w:p w14:paraId="478ACF9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为更好地还原文物的真实信息，提供文物3D可视化调试模式，自动生成可视化调试链接，在可视化环境下可设置文物的高光、平行光、点光源、平行光等灯光效果，可对光照强度滑动调整和微调。</w:t>
            </w:r>
          </w:p>
          <w:p w14:paraId="0F12135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为应对文物套件及多个模型组成的文物模型，在可视化环境下可设置每个模型的XYZ轴角度及距离，可设置模型初始化大小，是否开启中心点，文物是否自动旋转等信息，可自定义文物旋转速度。</w:t>
            </w:r>
          </w:p>
          <w:p w14:paraId="3333987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展示类型为3D展示时，可设置文物模型中心点及法线贴图强度。</w:t>
            </w:r>
          </w:p>
          <w:p w14:paraId="10D2B3B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每个文物可自动生成各个模板对应的链接，通过链接可单独打开对应的展示模式。</w:t>
            </w:r>
          </w:p>
          <w:p w14:paraId="5D1D48D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6、点击量统计：后台自动生成点击量统计功能，可统计每件文物在各种终端上的点击量。</w:t>
            </w:r>
          </w:p>
          <w:p w14:paraId="33DF104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7、文物展示：</w:t>
            </w:r>
          </w:p>
          <w:p w14:paraId="791327D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综合展示系统中针对3D的展示时不需要下载任何插件，直接可以在 PC 端、手机 APP、微信顺畅地体验三维数据展示。</w:t>
            </w:r>
          </w:p>
          <w:p w14:paraId="11414C16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可通过后台分类进行展示文物信息，同时集成文物信息、讲解信息及文物专题信息，每件文物可自动生成二维码可供分享。</w:t>
            </w:r>
          </w:p>
          <w:p w14:paraId="6B622664"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可借助智能触控硬件设备，通过高保真三维模型的多种交互操作，向观众展示相关文物。观众在文物交互展示大屏系统中，可以通过浏览三维模型、查看简介、专题、语音，手机扫码浏览、分享等形式，深度接触文物。</w:t>
            </w:r>
          </w:p>
        </w:tc>
        <w:tc>
          <w:tcPr>
            <w:tcW w:w="701" w:type="dxa"/>
            <w:noWrap w:val="0"/>
            <w:vAlign w:val="center"/>
          </w:tcPr>
          <w:p w14:paraId="477E9B41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26" w:type="dxa"/>
            <w:noWrap w:val="0"/>
            <w:vAlign w:val="center"/>
          </w:tcPr>
          <w:p w14:paraId="18C00670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  <w:tr w14:paraId="2AF48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9" w:hRule="atLeast"/>
          <w:jc w:val="center"/>
        </w:trPr>
        <w:tc>
          <w:tcPr>
            <w:tcW w:w="826" w:type="dxa"/>
            <w:noWrap w:val="0"/>
            <w:vAlign w:val="center"/>
          </w:tcPr>
          <w:p w14:paraId="6E46D2BA">
            <w:pPr>
              <w:jc w:val="center"/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242" w:type="dxa"/>
            <w:noWrap w:val="0"/>
            <w:vAlign w:val="center"/>
          </w:tcPr>
          <w:p w14:paraId="62EA420D"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高清智能触控拼接屏</w:t>
            </w:r>
          </w:p>
        </w:tc>
        <w:tc>
          <w:tcPr>
            <w:tcW w:w="6443" w:type="dxa"/>
            <w:noWrap w:val="0"/>
            <w:vAlign w:val="center"/>
          </w:tcPr>
          <w:p w14:paraId="7616AB8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1、屏幕参数</w:t>
            </w:r>
          </w:p>
          <w:p w14:paraId="477FFEE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屏幕数量：8块。</w:t>
            </w:r>
          </w:p>
          <w:p w14:paraId="1F88461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单块屏幕尺寸：55英寸。</w:t>
            </w:r>
          </w:p>
          <w:p w14:paraId="4914D007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单块屏幕分辨率：≥1920x1080。</w:t>
            </w:r>
          </w:p>
          <w:p w14:paraId="320FF512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拼缝尺寸：≤3.5mm。</w:t>
            </w:r>
          </w:p>
          <w:p w14:paraId="116E21C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亮度：500cd/m²。</w:t>
            </w:r>
          </w:p>
          <w:p w14:paraId="03C387B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MTBF：30000H。</w:t>
            </w:r>
          </w:p>
          <w:p w14:paraId="32EB104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显示色彩：16.7M。</w:t>
            </w:r>
          </w:p>
          <w:p w14:paraId="2E12A98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对比度：1200:1。</w:t>
            </w:r>
          </w:p>
          <w:p w14:paraId="68059AA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可视角度：H 178°，V 178°。</w:t>
            </w:r>
          </w:p>
          <w:p w14:paraId="127E52F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响应时间：≤8ms。</w:t>
            </w:r>
          </w:p>
          <w:p w14:paraId="78ECA265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色域：72%。</w:t>
            </w:r>
          </w:p>
          <w:p w14:paraId="3B97A06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光源：LED背光光源。</w:t>
            </w:r>
          </w:p>
          <w:p w14:paraId="2BD98737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电源：100-240V 50/60Hz，额定功率：200W。</w:t>
            </w:r>
          </w:p>
          <w:p w14:paraId="6E4051B2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工作环境：温度 ：0～50℃，湿度：10%～80% 无冷凝。</w:t>
            </w:r>
          </w:p>
          <w:p w14:paraId="31865A1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控制接口：RS232输入输出接口（RJ4输入输出）。</w:t>
            </w:r>
          </w:p>
          <w:p w14:paraId="7656E89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信号接口：VGA/DVI/HDMI/CVBS 。</w:t>
            </w:r>
          </w:p>
          <w:p w14:paraId="7E51861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功能特点：带图像拼接处理功能，运用3D降噪、3D梳状滤波、3D自适应去隔行、边缘平滑自适应、3D动态图像和静态补偿等数字视频处理技术，支持图像捕捉透雾功能。</w:t>
            </w:r>
          </w:p>
          <w:p w14:paraId="573814AB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2、触摸参数</w:t>
            </w:r>
          </w:p>
          <w:p w14:paraId="4F4B9F8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触摸嵌入方式：内置红外触摸屏。</w:t>
            </w:r>
          </w:p>
          <w:p w14:paraId="2FB0F21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触摸屏感应方式：嵌入式，光学影像触摸技术。</w:t>
            </w:r>
          </w:p>
          <w:p w14:paraId="1BCD3ACF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定位精度：±1.5㎜。</w:t>
            </w:r>
          </w:p>
          <w:p w14:paraId="28410E9F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校准：校准符合HID设备要求，无需校准。</w:t>
            </w:r>
          </w:p>
          <w:p w14:paraId="637D7E7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多点触摸：支持40点触摸，支持多人同时操作，互不干扰。</w:t>
            </w:r>
          </w:p>
          <w:p w14:paraId="3E81D0A6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计算机响应系统：自动识别，无需安装驱动。</w:t>
            </w:r>
          </w:p>
          <w:p w14:paraId="25AFE013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书写方式：手指、白板笔，或任意不透明物体。</w:t>
            </w:r>
          </w:p>
          <w:p w14:paraId="56381837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触摸系统供电方式：可用USB直接供电。</w:t>
            </w:r>
          </w:p>
          <w:p w14:paraId="3F9C7A19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抗光性：在20°～90°直射时，光强10万lux下能正常工作。</w:t>
            </w:r>
          </w:p>
          <w:p w14:paraId="3CB83E72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触摸玻璃：钢化玻璃。</w:t>
            </w:r>
          </w:p>
          <w:p w14:paraId="02B15D0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3、主机参数</w:t>
            </w:r>
          </w:p>
          <w:p w14:paraId="538BC2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0" w:lineRule="atLeast"/>
              <w:ind w:left="0" w:right="0"/>
              <w:jc w:val="left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CPU：</w:t>
            </w:r>
            <w:r>
              <w:rPr>
                <w:color w:val="000000"/>
                <w:sz w:val="24"/>
                <w:szCs w:val="24"/>
              </w:rPr>
              <w:t>接口类型：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LGA1200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核心 / 线程：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8 核 16 线程</w:t>
            </w:r>
            <w:r>
              <w:rPr>
                <w:rFonts w:hint="eastAsia" w:ascii="Symbol" w:hAnsi="Symbol" w:eastAsia="宋体" w:cs="Symbol"/>
                <w:sz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基础频率：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2.5GHz</w:t>
            </w:r>
            <w:r>
              <w:rPr>
                <w:rFonts w:hint="eastAsia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最高睿频：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≥4.9GHz</w:t>
            </w:r>
            <w:r>
              <w:rPr>
                <w:rFonts w:hint="eastAsia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三级缓存：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16MB</w:t>
            </w:r>
            <w:r>
              <w:rPr>
                <w:rFonts w:hint="eastAsia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热设计功耗（TDP）：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65W</w:t>
            </w:r>
            <w:r>
              <w:rPr>
                <w:rFonts w:hint="eastAsia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集成显卡：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具备集成显示核心</w:t>
            </w:r>
            <w:r>
              <w:rPr>
                <w:rFonts w:hint="eastAsia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color w:val="000000"/>
                <w:sz w:val="24"/>
                <w:szCs w:val="24"/>
              </w:rPr>
              <w:t>内存支持：</w:t>
            </w:r>
            <w:r>
              <w:rPr>
                <w:rStyle w:val="6"/>
                <w:b/>
                <w:bCs/>
                <w:color w:val="000000"/>
                <w:sz w:val="24"/>
                <w:szCs w:val="24"/>
              </w:rPr>
              <w:t>DDR4，最高支持 3200MHz</w:t>
            </w:r>
            <w:r>
              <w:rPr>
                <w:rFonts w:hint="eastAsia"/>
                <w:sz w:val="24"/>
                <w:szCs w:val="24"/>
                <w:vertAlign w:val="baseline"/>
              </w:rPr>
              <w:t>或更高配置。</w:t>
            </w:r>
          </w:p>
          <w:p w14:paraId="456623D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内存：≥16G。</w:t>
            </w:r>
          </w:p>
          <w:p w14:paraId="09940C21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固态硬盘：≥500G。</w:t>
            </w:r>
          </w:p>
          <w:p w14:paraId="14C08F32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显卡：P5000 16G全高显卡(DP*4+DVI*1)或更高配置。</w:t>
            </w:r>
          </w:p>
          <w:p w14:paraId="00AC2EB4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电源：500W。</w:t>
            </w:r>
          </w:p>
          <w:p w14:paraId="0A5FF7A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机箱：配备电脑机箱。</w:t>
            </w:r>
          </w:p>
          <w:p w14:paraId="16E017BD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风扇：CPU散热器。</w:t>
            </w:r>
          </w:p>
          <w:p w14:paraId="68200E8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4、其他</w:t>
            </w:r>
          </w:p>
          <w:p w14:paraId="673A87EC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方管壁挂支架：40*40镀锌方管焊接，采用万向调节挂钩和屏体连接，便于拼接屏平整度的调节。</w:t>
            </w:r>
          </w:p>
          <w:p w14:paraId="5860B398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电脑开关机控制盒子：可远程实现无人值守日定时、周定时和节假日关机功能，220v总电源控制。</w:t>
            </w:r>
          </w:p>
          <w:p w14:paraId="7AD6D97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空气开关：空气开关带漏电保护。</w:t>
            </w:r>
          </w:p>
          <w:p w14:paraId="7272FEF6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交换机：百兆交换机。</w:t>
            </w:r>
          </w:p>
          <w:p w14:paraId="7B6E93FE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喇叭：8Ω10W。</w:t>
            </w:r>
          </w:p>
          <w:p w14:paraId="1E06035A">
            <w:pPr>
              <w:jc w:val="both"/>
              <w:rPr>
                <w:rFonts w:hint="eastAsia"/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功放：控制盒内置。</w:t>
            </w:r>
          </w:p>
          <w:p w14:paraId="5625D58E"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</w:rPr>
              <w:t>辅材：拼接线材（控制232串口、PDU、网线、跳线、220V电源线、拼接内部信号线材、miniDP转HDMI转接线）。</w:t>
            </w:r>
          </w:p>
        </w:tc>
        <w:tc>
          <w:tcPr>
            <w:tcW w:w="701" w:type="dxa"/>
            <w:noWrap w:val="0"/>
            <w:vAlign w:val="center"/>
          </w:tcPr>
          <w:p w14:paraId="4FAD63FA">
            <w:pPr>
              <w:jc w:val="center"/>
              <w:rPr>
                <w:rFonts w:hint="default" w:eastAsia="宋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826" w:type="dxa"/>
            <w:noWrap w:val="0"/>
            <w:vAlign w:val="center"/>
          </w:tcPr>
          <w:p w14:paraId="14F3F3ED"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套</w:t>
            </w:r>
          </w:p>
        </w:tc>
      </w:tr>
    </w:tbl>
    <w:p w14:paraId="1E8B9F2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9F3986"/>
    <w:rsid w:val="7C9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99"/>
    <w:pPr>
      <w:jc w:val="left"/>
    </w:pPr>
  </w:style>
  <w:style w:type="table" w:styleId="4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2026-06-11T03:49:00Z</dcterms:created>
  <dc:creator>李赟睿</dc:creator>
  <cp:lastModifiedBy>李赟睿</cp:lastModifiedBy>
  <dcterms:modified xsi:type="dcterms:W3CDTF">2026-06-11T03:50:25Z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79B4BD2BE68F42389BA59681FA6BF659_11</vt:lpwstr>
  </property>
  <property fmtid="{D5CDD505-2E9C-101B-9397-08002B2CF9AE}" pid="4" name="KSOTemplateDocerSaveRecord">
    <vt:lpwstr>eyJoZGlkIjoiZGM3OTA3YTMyZTQ1ZGNmOTJlZWUxY2VmYmQ0ZDRmMjgiLCJ1c2VySWQiOiIzMzE2OTQ1MzUifQ==</vt:lpwstr>
  </property>
</Properties>
</file>