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F4E5D2">
      <w:pPr>
        <w:pageBreakBefore w:val="0"/>
        <w:widowControl w:val="0"/>
        <w:wordWrap/>
        <w:overflowPunct/>
        <w:topLinePunct w:val="0"/>
        <w:bidi w:val="0"/>
        <w:spacing w:before="47" w:line="219" w:lineRule="auto"/>
        <w:ind w:left="3805"/>
        <w:outlineLvl w:val="1"/>
        <w:rPr>
          <w:color w:val="auto"/>
          <w:highlight w:val="no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p>
    <w:p w14:paraId="0D9C0787">
      <w:pPr>
        <w:keepNext w:val="0"/>
        <w:keepLines w:val="0"/>
        <w:pageBreakBefore w:val="0"/>
        <w:kinsoku w:val="0"/>
        <w:wordWrap/>
        <w:overflowPunct w:val="0"/>
        <w:topLinePunct w:val="0"/>
        <w:autoSpaceDE w:val="0"/>
        <w:autoSpaceDN w:val="0"/>
        <w:bidi w:val="0"/>
        <w:adjustRightInd w:val="0"/>
        <w:snapToGrid w:val="0"/>
        <w:spacing w:line="480" w:lineRule="auto"/>
        <w:ind w:firstLine="482" w:firstLineChars="200"/>
        <w:textAlignment w:val="baseline"/>
        <w:outlineLvl w:val="9"/>
        <w:rPr>
          <w:rFonts w:hint="eastAsia" w:ascii="宋体" w:hAnsi="宋体" w:eastAsia="宋体" w:cs="宋体"/>
          <w:b/>
          <w:bCs/>
          <w:color w:val="auto"/>
          <w:kern w:val="0"/>
          <w:sz w:val="24"/>
          <w:szCs w:val="24"/>
          <w:highlight w:val="none"/>
          <w:lang w:val="en-US" w:eastAsia="zh-CN"/>
        </w:rPr>
      </w:pPr>
    </w:p>
    <w:p w14:paraId="73C39DC2">
      <w:pPr>
        <w:keepNext w:val="0"/>
        <w:keepLines w:val="0"/>
        <w:pageBreakBefore w:val="0"/>
        <w:kinsoku w:val="0"/>
        <w:wordWrap/>
        <w:overflowPunct w:val="0"/>
        <w:topLinePunct w:val="0"/>
        <w:autoSpaceDE w:val="0"/>
        <w:autoSpaceDN w:val="0"/>
        <w:bidi w:val="0"/>
        <w:adjustRightInd w:val="0"/>
        <w:snapToGrid w:val="0"/>
        <w:spacing w:line="480" w:lineRule="auto"/>
        <w:ind w:firstLine="482" w:firstLineChars="200"/>
        <w:textAlignment w:val="baseline"/>
        <w:outlineLvl w:val="9"/>
        <w:rPr>
          <w:color w:val="auto"/>
          <w:highlight w:val="none"/>
        </w:rPr>
      </w:pPr>
      <w:r>
        <w:rPr>
          <w:rFonts w:hint="eastAsia" w:ascii="宋体" w:hAnsi="宋体" w:eastAsia="宋体" w:cs="宋体"/>
          <w:b/>
          <w:bCs/>
          <w:color w:val="auto"/>
          <w:kern w:val="0"/>
          <w:sz w:val="24"/>
          <w:szCs w:val="24"/>
          <w:highlight w:val="none"/>
          <w:lang w:val="en-US" w:eastAsia="zh-CN"/>
        </w:rPr>
        <w:t>（一）采购需求</w:t>
      </w:r>
    </w:p>
    <w:p w14:paraId="6EA99B1A">
      <w:pPr>
        <w:keepNext w:val="0"/>
        <w:keepLines w:val="0"/>
        <w:pageBreakBefore w:val="0"/>
        <w:kinsoku w:val="0"/>
        <w:wordWrap/>
        <w:overflowPunct w:val="0"/>
        <w:topLinePunct w:val="0"/>
        <w:autoSpaceDE w:val="0"/>
        <w:autoSpaceDN w:val="0"/>
        <w:bidi w:val="0"/>
        <w:adjustRightInd w:val="0"/>
        <w:snapToGrid w:val="0"/>
        <w:spacing w:line="480" w:lineRule="auto"/>
        <w:ind w:firstLine="482" w:firstLineChars="200"/>
        <w:textAlignment w:val="baseline"/>
        <w:outlineLvl w:val="9"/>
        <w:rPr>
          <w:rFonts w:hint="eastAsia" w:ascii="宋体" w:hAnsi="宋体" w:eastAsia="宋体" w:cs="宋体"/>
          <w:b/>
          <w:bCs/>
          <w:color w:val="auto"/>
          <w:kern w:val="0"/>
          <w:sz w:val="24"/>
          <w:szCs w:val="24"/>
          <w:highlight w:val="none"/>
          <w:lang w:val="en-US" w:eastAsia="zh-CN"/>
        </w:rPr>
      </w:pPr>
      <w:r>
        <w:rPr>
          <w:rFonts w:hint="eastAsia" w:ascii="宋体" w:hAnsi="宋体" w:eastAsia="宋体" w:cs="宋体"/>
          <w:b/>
          <w:bCs/>
          <w:color w:val="auto"/>
          <w:kern w:val="0"/>
          <w:sz w:val="24"/>
          <w:szCs w:val="24"/>
          <w:highlight w:val="none"/>
          <w:lang w:val="en-US" w:eastAsia="zh-CN"/>
        </w:rPr>
        <w:t>一）项目概况</w:t>
      </w:r>
    </w:p>
    <w:p w14:paraId="3C2EC41F">
      <w:pPr>
        <w:keepNext w:val="0"/>
        <w:keepLines w:val="0"/>
        <w:pageBreakBefore w:val="0"/>
        <w:kinsoku w:val="0"/>
        <w:wordWrap/>
        <w:topLinePunct w:val="0"/>
        <w:autoSpaceDE w:val="0"/>
        <w:autoSpaceDN w:val="0"/>
        <w:bidi w:val="0"/>
        <w:adjustRightInd w:val="0"/>
        <w:snapToGrid w:val="0"/>
        <w:spacing w:line="480" w:lineRule="auto"/>
        <w:ind w:firstLine="480" w:firstLineChars="200"/>
        <w:textAlignment w:val="baseline"/>
        <w:outlineLvl w:val="9"/>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rPr>
        <w:t>根据</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rPr>
        <w:t>202</w:t>
      </w:r>
      <w:r>
        <w:rPr>
          <w:rFonts w:hint="eastAsia" w:ascii="宋体" w:hAnsi="宋体" w:eastAsia="宋体" w:cs="宋体"/>
          <w:color w:val="auto"/>
          <w:kern w:val="0"/>
          <w:sz w:val="24"/>
          <w:szCs w:val="24"/>
          <w:highlight w:val="none"/>
          <w:lang w:val="en-US" w:eastAsia="zh-CN"/>
        </w:rPr>
        <w:t>6</w:t>
      </w:r>
      <w:r>
        <w:rPr>
          <w:rFonts w:hint="eastAsia" w:ascii="宋体" w:hAnsi="宋体" w:eastAsia="宋体" w:cs="宋体"/>
          <w:color w:val="auto"/>
          <w:kern w:val="0"/>
          <w:sz w:val="24"/>
          <w:szCs w:val="24"/>
          <w:highlight w:val="none"/>
        </w:rPr>
        <w:t>年</w:t>
      </w:r>
      <w:r>
        <w:rPr>
          <w:rFonts w:hint="eastAsia" w:ascii="宋体" w:hAnsi="宋体" w:eastAsia="宋体" w:cs="宋体"/>
          <w:color w:val="auto"/>
          <w:kern w:val="0"/>
          <w:sz w:val="24"/>
          <w:szCs w:val="24"/>
          <w:highlight w:val="none"/>
          <w:lang w:eastAsia="zh-CN"/>
        </w:rPr>
        <w:t>吉安市万安县</w:t>
      </w:r>
      <w:r>
        <w:rPr>
          <w:rFonts w:hint="eastAsia" w:ascii="宋体" w:hAnsi="宋体" w:eastAsia="宋体" w:cs="宋体"/>
          <w:color w:val="auto"/>
          <w:kern w:val="0"/>
          <w:sz w:val="24"/>
          <w:szCs w:val="24"/>
          <w:highlight w:val="none"/>
        </w:rPr>
        <w:t>食品安全监督抽检工作实施方案</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rPr>
        <w:t>安排，</w:t>
      </w:r>
      <w:r>
        <w:rPr>
          <w:rFonts w:hint="eastAsia" w:ascii="宋体" w:hAnsi="宋体" w:eastAsia="宋体" w:cs="宋体"/>
          <w:color w:val="auto"/>
          <w:kern w:val="0"/>
          <w:sz w:val="24"/>
          <w:szCs w:val="24"/>
          <w:highlight w:val="none"/>
          <w:lang w:eastAsia="zh-CN"/>
        </w:rPr>
        <w:t>2026</w:t>
      </w:r>
      <w:r>
        <w:rPr>
          <w:rFonts w:hint="eastAsia" w:ascii="宋体" w:hAnsi="宋体" w:eastAsia="宋体" w:cs="宋体"/>
          <w:color w:val="auto"/>
          <w:kern w:val="0"/>
          <w:sz w:val="24"/>
          <w:szCs w:val="24"/>
          <w:highlight w:val="none"/>
        </w:rPr>
        <w:t>年</w:t>
      </w:r>
      <w:r>
        <w:rPr>
          <w:rFonts w:hint="eastAsia" w:ascii="宋体" w:hAnsi="宋体" w:eastAsia="宋体" w:cs="宋体"/>
          <w:color w:val="auto"/>
          <w:kern w:val="0"/>
          <w:sz w:val="24"/>
          <w:szCs w:val="24"/>
          <w:highlight w:val="none"/>
          <w:lang w:eastAsia="zh-CN"/>
        </w:rPr>
        <w:t>吉安市万安县</w:t>
      </w:r>
      <w:r>
        <w:rPr>
          <w:rFonts w:hint="eastAsia" w:ascii="宋体" w:hAnsi="宋体" w:eastAsia="宋体" w:cs="宋体"/>
          <w:color w:val="auto"/>
          <w:kern w:val="0"/>
          <w:sz w:val="24"/>
          <w:szCs w:val="24"/>
          <w:highlight w:val="none"/>
          <w:lang w:val="en-US" w:eastAsia="zh-CN"/>
        </w:rPr>
        <w:t>区级食品抽检任务安排670批次（其中第一批区本级137批次，第二批533批次，（含省转移、市转移及县本级匹配，以实际抽检数为准））。抽检实施细则及采样量要求按照江西省最新版抽检细则执行，国家食品安全标准更新并实施后及省局食品安全监督抽检实施细则更新后，应按照最新标准要求和实施细则执行。</w:t>
      </w:r>
    </w:p>
    <w:p w14:paraId="7BC7D1DF">
      <w:pPr>
        <w:pageBreakBefore w:val="0"/>
        <w:widowControl w:val="0"/>
        <w:wordWrap/>
        <w:overflowPunct/>
        <w:topLinePunct w:val="0"/>
        <w:bidi w:val="0"/>
        <w:spacing w:line="242" w:lineRule="auto"/>
        <w:rPr>
          <w:color w:val="auto"/>
          <w:highlight w:val="none"/>
        </w:rPr>
      </w:pPr>
    </w:p>
    <w:p w14:paraId="3705C653">
      <w:pPr>
        <w:keepNext w:val="0"/>
        <w:keepLines w:val="0"/>
        <w:pageBreakBefore w:val="0"/>
        <w:kinsoku w:val="0"/>
        <w:wordWrap/>
        <w:overflowPunct/>
        <w:topLinePunct w:val="0"/>
        <w:autoSpaceDE w:val="0"/>
        <w:autoSpaceDN w:val="0"/>
        <w:bidi w:val="0"/>
        <w:adjustRightInd w:val="0"/>
        <w:snapToGrid w:val="0"/>
        <w:spacing w:line="480" w:lineRule="auto"/>
        <w:ind w:firstLine="482" w:firstLineChars="200"/>
        <w:textAlignment w:val="baseline"/>
        <w:outlineLvl w:val="9"/>
        <w:rPr>
          <w:rFonts w:hint="eastAsia" w:ascii="宋体" w:hAnsi="宋体" w:eastAsia="宋体" w:cs="宋体"/>
          <w:sz w:val="24"/>
          <w:szCs w:val="24"/>
          <w:lang w:val="en-US" w:eastAsia="zh-CN"/>
        </w:rPr>
      </w:pPr>
      <w:r>
        <w:rPr>
          <w:rFonts w:hint="eastAsia" w:ascii="宋体" w:hAnsi="宋体" w:eastAsia="宋体" w:cs="宋体"/>
          <w:b/>
          <w:bCs/>
          <w:color w:val="auto"/>
          <w:kern w:val="0"/>
          <w:sz w:val="24"/>
          <w:szCs w:val="24"/>
          <w:highlight w:val="none"/>
          <w:lang w:val="en-US" w:eastAsia="zh-CN"/>
        </w:rPr>
        <w:t>二）采购内容：</w:t>
      </w:r>
      <w:r>
        <w:rPr>
          <w:rFonts w:hint="eastAsia" w:ascii="宋体" w:hAnsi="宋体" w:eastAsia="宋体" w:cs="宋体"/>
          <w:sz w:val="24"/>
          <w:szCs w:val="24"/>
          <w:lang w:val="en-US" w:eastAsia="zh-CN"/>
        </w:rPr>
        <w:t>2026年度食品抽检</w:t>
      </w:r>
      <w:r>
        <w:rPr>
          <w:rFonts w:hint="eastAsia" w:ascii="宋体" w:hAnsi="宋体" w:eastAsia="宋体" w:cs="宋体"/>
          <w:sz w:val="24"/>
          <w:szCs w:val="24"/>
        </w:rPr>
        <w:t>任务</w:t>
      </w:r>
      <w:r>
        <w:rPr>
          <w:rFonts w:hint="eastAsia" w:ascii="宋体" w:hAnsi="宋体" w:eastAsia="宋体" w:cs="宋体"/>
          <w:sz w:val="24"/>
          <w:szCs w:val="24"/>
          <w:lang w:val="en-US" w:eastAsia="zh-CN"/>
        </w:rPr>
        <w:t>共670批次；其中第一批区本级137批次，第二批533批次，（含省转移、市转移及县本级匹配，以实际抽检数为准）。</w:t>
      </w:r>
    </w:p>
    <w:p w14:paraId="4B424473">
      <w:pPr>
        <w:keepNext w:val="0"/>
        <w:keepLines w:val="0"/>
        <w:pageBreakBefore w:val="0"/>
        <w:kinsoku w:val="0"/>
        <w:wordWrap/>
        <w:topLinePunct w:val="0"/>
        <w:autoSpaceDE w:val="0"/>
        <w:autoSpaceDN w:val="0"/>
        <w:bidi w:val="0"/>
        <w:adjustRightInd w:val="0"/>
        <w:snapToGrid w:val="0"/>
        <w:spacing w:line="480" w:lineRule="auto"/>
        <w:ind w:firstLine="482" w:firstLineChars="200"/>
        <w:textAlignment w:val="baseline"/>
        <w:outlineLvl w:val="9"/>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lang w:val="en-US" w:eastAsia="zh-CN"/>
        </w:rPr>
        <w:t>三</w:t>
      </w:r>
      <w:r>
        <w:rPr>
          <w:rFonts w:hint="eastAsia" w:ascii="宋体" w:hAnsi="宋体" w:eastAsia="宋体" w:cs="宋体"/>
          <w:b/>
          <w:bCs/>
          <w:color w:val="auto"/>
          <w:kern w:val="0"/>
          <w:sz w:val="24"/>
          <w:szCs w:val="24"/>
          <w:highlight w:val="none"/>
        </w:rPr>
        <w:t>）食品抽检任务</w:t>
      </w:r>
    </w:p>
    <w:p w14:paraId="467BB5B9">
      <w:pPr>
        <w:keepNext w:val="0"/>
        <w:keepLines w:val="0"/>
        <w:pageBreakBefore w:val="0"/>
        <w:widowControl w:val="0"/>
        <w:kinsoku w:val="0"/>
        <w:wordWrap/>
        <w:overflowPunct/>
        <w:topLinePunct w:val="0"/>
        <w:autoSpaceDE w:val="0"/>
        <w:autoSpaceDN w:val="0"/>
        <w:bidi w:val="0"/>
        <w:adjustRightInd w:val="0"/>
        <w:snapToGrid w:val="0"/>
        <w:spacing w:line="480" w:lineRule="auto"/>
        <w:textAlignment w:val="baseline"/>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抽检品种和项目表按市局下发文件要求为准执行。省级转移支付食品抽检任务按照必检项目检验，市、县级食品抽检任务应以细则中必检项目为主，专项食品抽检任务应覆盖重点品种食用农产品抽检任务应覆盖必检品种和项目，抽样量应按照食品安全标准，满足抽检工作要求。细则检验项目少于规定数量时，按细则全项目检验，自主抽检计划以实际监管需要按实际抽取样品计算；</w:t>
      </w:r>
    </w:p>
    <w:p w14:paraId="50455C31">
      <w:pPr>
        <w:keepNext w:val="0"/>
        <w:keepLines w:val="0"/>
        <w:pageBreakBefore w:val="0"/>
        <w:widowControl w:val="0"/>
        <w:kinsoku w:val="0"/>
        <w:wordWrap/>
        <w:overflowPunct/>
        <w:topLinePunct w:val="0"/>
        <w:autoSpaceDE w:val="0"/>
        <w:autoSpaceDN w:val="0"/>
        <w:bidi w:val="0"/>
        <w:adjustRightInd w:val="0"/>
        <w:snapToGrid w:val="0"/>
        <w:spacing w:line="480" w:lineRule="auto"/>
        <w:ind w:firstLine="241" w:firstLineChars="100"/>
        <w:textAlignment w:val="baseline"/>
        <w:rPr>
          <w:color w:val="auto"/>
          <w:highlight w:val="none"/>
        </w:rPr>
      </w:pPr>
      <w:r>
        <w:rPr>
          <w:rFonts w:hint="eastAsia" w:ascii="宋体" w:hAnsi="宋体" w:eastAsia="宋体" w:cs="宋体"/>
          <w:b/>
          <w:bCs/>
          <w:color w:val="auto"/>
          <w:kern w:val="0"/>
          <w:sz w:val="24"/>
          <w:szCs w:val="24"/>
          <w:highlight w:val="none"/>
          <w:lang w:val="en-US" w:eastAsia="zh-CN"/>
        </w:rPr>
        <w:t>四）工作要求：</w:t>
      </w:r>
      <w:r>
        <w:rPr>
          <w:rFonts w:hint="eastAsia" w:ascii="宋体" w:hAnsi="宋体" w:eastAsia="宋体" w:cs="宋体"/>
          <w:sz w:val="24"/>
          <w:szCs w:val="24"/>
          <w:lang w:val="en-US" w:eastAsia="zh-CN"/>
        </w:rPr>
        <w:t>抽检工作应按照《食品安全抽样检验工作规范》和《江西省食品安全监督抽检实施细则(2026年版)》等相关要求执行，抽检品种和项目表按市局下发文件要求为准执行。省级转移支付食品抽检任务按照必检项目检验，市、县级食品抽检任务应以细则中必检项目为主，专项食品抽检任务应覆盖重点品种食用农产品抽检任务应覆盖必检品种和项目，抽样量应按照食品安全标准，满足抽检工作要求。细则检验项目少于规定数量时，按细则全项目检验，自主抽检计划以实际监管需要按实际抽取样品计算；2026年全区食品安全抽检监测数据统一录入“国家食品安全抽样检验信息系统”并于2026年12月10日前完成抽检数据录入工作。</w:t>
      </w:r>
    </w:p>
    <w:p w14:paraId="09A373CB">
      <w:pPr>
        <w:keepNext w:val="0"/>
        <w:keepLines w:val="0"/>
        <w:pageBreakBefore w:val="0"/>
        <w:kinsoku w:val="0"/>
        <w:wordWrap/>
        <w:topLinePunct w:val="0"/>
        <w:autoSpaceDE w:val="0"/>
        <w:autoSpaceDN w:val="0"/>
        <w:bidi w:val="0"/>
        <w:adjustRightInd w:val="0"/>
        <w:snapToGrid w:val="0"/>
        <w:spacing w:line="480" w:lineRule="auto"/>
        <w:ind w:firstLine="361" w:firstLineChars="150"/>
        <w:textAlignment w:val="baseline"/>
        <w:outlineLvl w:val="9"/>
        <w:rPr>
          <w:rFonts w:hint="eastAsia" w:ascii="宋体" w:hAnsi="宋体" w:eastAsia="宋体" w:cs="宋体"/>
          <w:b/>
          <w:bCs/>
          <w:color w:val="auto"/>
          <w:kern w:val="0"/>
          <w:sz w:val="24"/>
          <w:szCs w:val="24"/>
          <w:highlight w:val="none"/>
          <w:lang w:val="en-US" w:eastAsia="zh-CN"/>
        </w:rPr>
      </w:pPr>
      <w:r>
        <w:rPr>
          <w:rFonts w:hint="eastAsia" w:ascii="宋体" w:hAnsi="宋体" w:eastAsia="宋体" w:cs="宋体"/>
          <w:b/>
          <w:bCs/>
          <w:color w:val="auto"/>
          <w:kern w:val="0"/>
          <w:sz w:val="24"/>
          <w:szCs w:val="24"/>
          <w:highlight w:val="none"/>
          <w:lang w:val="en-US" w:eastAsia="zh-CN"/>
        </w:rPr>
        <w:t>五）其他注意事项</w:t>
      </w:r>
    </w:p>
    <w:p w14:paraId="765DCEE0">
      <w:pPr>
        <w:keepNext w:val="0"/>
        <w:keepLines w:val="0"/>
        <w:pageBreakBefore w:val="0"/>
        <w:widowControl w:val="0"/>
        <w:numPr>
          <w:ilvl w:val="0"/>
          <w:numId w:val="0"/>
        </w:numPr>
        <w:suppressLineNumbers w:val="0"/>
        <w:kinsoku w:val="0"/>
        <w:wordWrap/>
        <w:topLinePunct w:val="0"/>
        <w:autoSpaceDE w:val="0"/>
        <w:autoSpaceDN w:val="0"/>
        <w:bidi w:val="0"/>
        <w:adjustRightInd w:val="0"/>
        <w:snapToGrid w:val="0"/>
        <w:spacing w:before="0" w:beforeAutospacing="0" w:after="0" w:afterAutospacing="0" w:line="480" w:lineRule="auto"/>
        <w:ind w:right="0" w:rightChars="0" w:firstLine="480" w:firstLineChars="200"/>
        <w:jc w:val="both"/>
        <w:textAlignment w:val="baseline"/>
        <w:outlineLvl w:val="9"/>
        <w:rPr>
          <w:rFonts w:hint="eastAsia" w:ascii="宋体" w:hAnsi="宋体" w:eastAsia="宋体" w:cs="宋体"/>
          <w:sz w:val="24"/>
          <w:szCs w:val="24"/>
          <w:highlight w:val="none"/>
          <w:lang w:val="en-US"/>
        </w:rPr>
      </w:pPr>
      <w:r>
        <w:rPr>
          <w:rFonts w:hint="eastAsia" w:ascii="宋体" w:hAnsi="宋体" w:eastAsia="宋体" w:cs="宋体"/>
          <w:b w:val="0"/>
          <w:bCs w:val="0"/>
          <w:kern w:val="2"/>
          <w:sz w:val="24"/>
          <w:szCs w:val="24"/>
          <w:highlight w:val="none"/>
          <w:lang w:val="en-US" w:eastAsia="zh-CN" w:bidi="ar"/>
        </w:rPr>
        <w:t>1.</w:t>
      </w:r>
      <w:r>
        <w:rPr>
          <w:rFonts w:hint="eastAsia" w:ascii="宋体" w:hAnsi="宋体" w:eastAsia="宋体" w:cs="宋体"/>
          <w:color w:val="auto"/>
          <w:kern w:val="0"/>
          <w:sz w:val="24"/>
          <w:szCs w:val="24"/>
          <w:highlight w:val="none"/>
        </w:rPr>
        <w:t>202</w:t>
      </w:r>
      <w:r>
        <w:rPr>
          <w:rFonts w:hint="eastAsia" w:ascii="宋体" w:hAnsi="宋体" w:eastAsia="宋体" w:cs="宋体"/>
          <w:color w:val="auto"/>
          <w:kern w:val="0"/>
          <w:sz w:val="24"/>
          <w:szCs w:val="24"/>
          <w:highlight w:val="none"/>
          <w:lang w:val="en-US" w:eastAsia="zh-CN"/>
        </w:rPr>
        <w:t>6</w:t>
      </w:r>
      <w:r>
        <w:rPr>
          <w:rFonts w:hint="eastAsia" w:ascii="宋体" w:hAnsi="宋体" w:eastAsia="宋体" w:cs="宋体"/>
          <w:color w:val="auto"/>
          <w:kern w:val="0"/>
          <w:sz w:val="24"/>
          <w:szCs w:val="24"/>
          <w:highlight w:val="none"/>
        </w:rPr>
        <w:t>年全</w:t>
      </w:r>
      <w:r>
        <w:rPr>
          <w:rFonts w:hint="eastAsia" w:ascii="宋体" w:hAnsi="宋体" w:eastAsia="宋体" w:cs="宋体"/>
          <w:color w:val="auto"/>
          <w:kern w:val="0"/>
          <w:sz w:val="24"/>
          <w:szCs w:val="24"/>
          <w:highlight w:val="none"/>
          <w:lang w:val="en-US" w:eastAsia="zh-CN"/>
        </w:rPr>
        <w:t>县</w:t>
      </w:r>
      <w:r>
        <w:rPr>
          <w:rFonts w:hint="eastAsia" w:ascii="宋体" w:hAnsi="宋体" w:eastAsia="宋体" w:cs="宋体"/>
          <w:color w:val="auto"/>
          <w:kern w:val="0"/>
          <w:sz w:val="24"/>
          <w:szCs w:val="24"/>
          <w:highlight w:val="none"/>
        </w:rPr>
        <w:t>食品安全监督抽检任务按照</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lang w:val="en-US" w:eastAsia="zh-CN"/>
        </w:rPr>
        <w:t>全</w:t>
      </w:r>
      <w:r>
        <w:rPr>
          <w:rFonts w:hint="eastAsia" w:ascii="宋体" w:hAnsi="宋体" w:eastAsia="宋体" w:cs="宋体"/>
          <w:color w:val="auto"/>
          <w:kern w:val="0"/>
          <w:sz w:val="24"/>
          <w:szCs w:val="24"/>
          <w:highlight w:val="none"/>
        </w:rPr>
        <w:t>省食品安全监督抽检实施细则</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rPr>
        <w:t>（202</w:t>
      </w:r>
      <w:r>
        <w:rPr>
          <w:rFonts w:hint="eastAsia" w:ascii="宋体" w:hAnsi="宋体" w:eastAsia="宋体" w:cs="宋体"/>
          <w:color w:val="auto"/>
          <w:kern w:val="0"/>
          <w:sz w:val="24"/>
          <w:szCs w:val="24"/>
          <w:highlight w:val="none"/>
          <w:lang w:val="en-US" w:eastAsia="zh-CN"/>
        </w:rPr>
        <w:t>6</w:t>
      </w:r>
      <w:r>
        <w:rPr>
          <w:rFonts w:hint="eastAsia" w:ascii="宋体" w:hAnsi="宋体" w:eastAsia="宋体" w:cs="宋体"/>
          <w:color w:val="auto"/>
          <w:kern w:val="0"/>
          <w:sz w:val="24"/>
          <w:szCs w:val="24"/>
          <w:highlight w:val="none"/>
        </w:rPr>
        <w:t>年版）</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lang w:val="en-US" w:eastAsia="zh-CN"/>
        </w:rPr>
        <w:t>附件</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lang w:val="en-US" w:eastAsia="zh-CN"/>
        </w:rPr>
        <w:t>执行</w:t>
      </w:r>
      <w:r>
        <w:rPr>
          <w:rFonts w:hint="eastAsia" w:ascii="宋体" w:hAnsi="宋体" w:eastAsia="宋体" w:cs="宋体"/>
          <w:kern w:val="2"/>
          <w:sz w:val="24"/>
          <w:szCs w:val="24"/>
          <w:highlight w:val="none"/>
          <w:lang w:val="en-US" w:eastAsia="zh-CN" w:bidi="ar"/>
        </w:rPr>
        <w:t>；区级抽检任务以细则中必检项目为主，原则上每批次检验项目不少于5 个。食用农产品抽检应包括必检品种及必检项目，同时选择不少于2 个自选项目；其他专项抽检任务应覆盖重点品种，抽样量应符合食品安全标准并满足抽检工作要求。细则检验项目少于规定数量时，按细则全项目检验；如需增加细则以外的抽检品种和检验项目，应按程序报经省局审核同意后执行。原则上，不将标签标识、感官等无需通过仪器设备检验的列为抽检项目。</w:t>
      </w:r>
    </w:p>
    <w:p w14:paraId="3C20630B">
      <w:pPr>
        <w:keepNext w:val="0"/>
        <w:keepLines w:val="0"/>
        <w:pageBreakBefore w:val="0"/>
        <w:widowControl w:val="0"/>
        <w:suppressLineNumbers w:val="0"/>
        <w:kinsoku w:val="0"/>
        <w:wordWrap/>
        <w:topLinePunct w:val="0"/>
        <w:autoSpaceDE w:val="0"/>
        <w:autoSpaceDN w:val="0"/>
        <w:bidi w:val="0"/>
        <w:adjustRightInd w:val="0"/>
        <w:snapToGrid w:val="0"/>
        <w:spacing w:before="0" w:beforeAutospacing="0" w:after="0" w:afterAutospacing="0" w:line="480" w:lineRule="auto"/>
        <w:ind w:left="0" w:right="0" w:firstLine="480" w:firstLineChars="200"/>
        <w:jc w:val="both"/>
        <w:textAlignment w:val="baseline"/>
        <w:outlineLvl w:val="9"/>
        <w:rPr>
          <w:rFonts w:hint="eastAsia" w:ascii="宋体" w:hAnsi="宋体" w:eastAsia="宋体" w:cs="宋体"/>
          <w:sz w:val="24"/>
          <w:szCs w:val="24"/>
          <w:highlight w:val="none"/>
          <w:lang w:val="en-US"/>
        </w:rPr>
      </w:pPr>
      <w:r>
        <w:rPr>
          <w:rFonts w:hint="eastAsia" w:ascii="宋体" w:hAnsi="宋体" w:eastAsia="宋体" w:cs="宋体"/>
          <w:b w:val="0"/>
          <w:bCs w:val="0"/>
          <w:kern w:val="2"/>
          <w:sz w:val="24"/>
          <w:szCs w:val="24"/>
          <w:highlight w:val="none"/>
          <w:lang w:val="en-US" w:eastAsia="zh-CN" w:bidi="ar"/>
        </w:rPr>
        <w:t>2.</w:t>
      </w:r>
      <w:r>
        <w:rPr>
          <w:rFonts w:hint="eastAsia" w:ascii="宋体" w:hAnsi="宋体" w:eastAsia="宋体" w:cs="宋体"/>
          <w:kern w:val="2"/>
          <w:sz w:val="24"/>
          <w:szCs w:val="24"/>
          <w:highlight w:val="none"/>
          <w:lang w:val="en-US" w:eastAsia="zh-CN" w:bidi="ar"/>
        </w:rPr>
        <w:t>对上年度检出不合格的企业，在完成核查处置的基础上，2026年开展跟踪抽检不少于2次；对2026当年检出不合格的企业严格推进核查处置，并自检出的下季度起及时开展1次跟踪抽检；对既往未检出不合格的企业适当减少抽检批次。</w:t>
      </w:r>
    </w:p>
    <w:p w14:paraId="2E8D9CC3">
      <w:pPr>
        <w:keepNext w:val="0"/>
        <w:keepLines w:val="0"/>
        <w:pageBreakBefore w:val="0"/>
        <w:widowControl w:val="0"/>
        <w:suppressLineNumbers w:val="0"/>
        <w:kinsoku w:val="0"/>
        <w:wordWrap/>
        <w:topLinePunct w:val="0"/>
        <w:autoSpaceDE w:val="0"/>
        <w:autoSpaceDN w:val="0"/>
        <w:bidi w:val="0"/>
        <w:adjustRightInd w:val="0"/>
        <w:snapToGrid w:val="0"/>
        <w:spacing w:before="0" w:beforeAutospacing="0" w:after="0" w:afterAutospacing="0" w:line="480" w:lineRule="auto"/>
        <w:ind w:left="0" w:right="0" w:firstLine="480" w:firstLineChars="200"/>
        <w:jc w:val="both"/>
        <w:textAlignment w:val="baseline"/>
        <w:outlineLvl w:val="9"/>
        <w:rPr>
          <w:rFonts w:hint="eastAsia" w:ascii="宋体" w:hAnsi="宋体" w:eastAsia="宋体" w:cs="宋体"/>
          <w:sz w:val="24"/>
          <w:szCs w:val="24"/>
          <w:highlight w:val="none"/>
          <w:lang w:val="en-US"/>
        </w:rPr>
      </w:pPr>
      <w:r>
        <w:rPr>
          <w:rFonts w:hint="eastAsia" w:ascii="宋体" w:hAnsi="宋体" w:eastAsia="宋体" w:cs="宋体"/>
          <w:b w:val="0"/>
          <w:bCs w:val="0"/>
          <w:kern w:val="2"/>
          <w:sz w:val="24"/>
          <w:szCs w:val="24"/>
          <w:highlight w:val="none"/>
          <w:lang w:val="en-US" w:eastAsia="zh-CN" w:bidi="ar"/>
        </w:rPr>
        <w:t>3.</w:t>
      </w:r>
      <w:r>
        <w:rPr>
          <w:rFonts w:hint="eastAsia" w:ascii="宋体" w:hAnsi="宋体" w:eastAsia="宋体" w:cs="宋体"/>
          <w:kern w:val="2"/>
          <w:sz w:val="24"/>
          <w:szCs w:val="24"/>
          <w:highlight w:val="none"/>
          <w:lang w:val="en-US" w:eastAsia="zh-CN" w:bidi="ar"/>
        </w:rPr>
        <w:t>分别从六个维度推进全覆盖。一是区域覆盖城市、乡镇（含农村和城乡结合部），抽检比例按6:4 执行，区级以农村和城乡结合部（乡镇）为主。二是主体覆盖所有在产食品生产企业和涉及重点食品品类的相关“三小”食品生产经营单位。三是品种覆盖全部40类食品品种。四是链条覆盖生产、流通、餐饮、进口等各环节。五是业态覆盖集中供餐、餐饮外卖和网络销售等，其中：网络销售环节抽样在省级本级、省级转移、市县级等各层级任务中分别按照占比20%、15%、5%执行，原则上省级以集中供餐和网络销售预包装食品为主，市级以网络销售食用农产品为主，县级以餐饮外卖食品为主。六是场所覆盖农贸市场、超市和“一老一小”食堂，完成大中小学校园两年全覆盖的目标。</w:t>
      </w:r>
    </w:p>
    <w:p w14:paraId="1BAC341C">
      <w:pPr>
        <w:keepNext w:val="0"/>
        <w:keepLines w:val="0"/>
        <w:pageBreakBefore w:val="0"/>
        <w:widowControl w:val="0"/>
        <w:suppressLineNumbers w:val="0"/>
        <w:kinsoku w:val="0"/>
        <w:wordWrap/>
        <w:overflowPunct/>
        <w:topLinePunct w:val="0"/>
        <w:autoSpaceDE w:val="0"/>
        <w:autoSpaceDN w:val="0"/>
        <w:bidi w:val="0"/>
        <w:adjustRightInd w:val="0"/>
        <w:snapToGrid w:val="0"/>
        <w:spacing w:before="0" w:beforeAutospacing="0" w:after="0" w:afterAutospacing="0" w:line="480" w:lineRule="auto"/>
        <w:ind w:left="0" w:right="0" w:firstLine="480" w:firstLineChars="200"/>
        <w:jc w:val="both"/>
        <w:textAlignment w:val="baseline"/>
        <w:outlineLvl w:val="9"/>
        <w:rPr>
          <w:rFonts w:hint="eastAsia" w:ascii="宋体" w:hAnsi="宋体" w:eastAsia="宋体" w:cs="宋体"/>
          <w:color w:val="auto"/>
          <w:kern w:val="2"/>
          <w:sz w:val="24"/>
          <w:szCs w:val="24"/>
          <w:highlight w:val="none"/>
          <w:lang w:val="en-US" w:eastAsia="zh-CN" w:bidi="ar"/>
        </w:rPr>
      </w:pPr>
      <w:r>
        <w:rPr>
          <w:rFonts w:hint="eastAsia" w:ascii="宋体" w:hAnsi="宋体" w:eastAsia="宋体" w:cs="宋体"/>
          <w:b w:val="0"/>
          <w:bCs w:val="0"/>
          <w:kern w:val="2"/>
          <w:sz w:val="24"/>
          <w:szCs w:val="24"/>
          <w:highlight w:val="none"/>
          <w:lang w:val="en-US" w:eastAsia="zh-CN" w:bidi="ar"/>
        </w:rPr>
        <w:t>4.</w:t>
      </w:r>
      <w:r>
        <w:rPr>
          <w:rFonts w:hint="eastAsia" w:ascii="宋体" w:hAnsi="宋体" w:eastAsia="宋体" w:cs="宋体"/>
          <w:color w:val="auto"/>
          <w:kern w:val="0"/>
          <w:sz w:val="24"/>
          <w:szCs w:val="24"/>
          <w:highlight w:val="none"/>
        </w:rPr>
        <w:t>食用农产品抽检应如实记录承诺达标合格证情况，如有，应将合格证照片上传国抽系统，在样品备注栏注明食品溯源信息</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2"/>
          <w:sz w:val="24"/>
          <w:szCs w:val="24"/>
          <w:highlight w:val="none"/>
          <w:lang w:val="en-US" w:eastAsia="zh-CN" w:bidi="ar"/>
        </w:rPr>
        <w:t>聚焦大中型商超和农贸市场等食用农产品重点销售场所，加强食用农产品抽检力度，农贸市场、大中型商超抽检占比不得低于50%。对抽检中发现的不合格食品，应及时开展核查处置，加强溯源排查，做实风险防范。</w:t>
      </w:r>
    </w:p>
    <w:p w14:paraId="4F876764">
      <w:pPr>
        <w:keepNext w:val="0"/>
        <w:keepLines w:val="0"/>
        <w:pageBreakBefore w:val="0"/>
        <w:widowControl w:val="0"/>
        <w:suppressLineNumbers w:val="0"/>
        <w:kinsoku w:val="0"/>
        <w:wordWrap/>
        <w:overflowPunct/>
        <w:topLinePunct w:val="0"/>
        <w:autoSpaceDE w:val="0"/>
        <w:autoSpaceDN w:val="0"/>
        <w:bidi w:val="0"/>
        <w:adjustRightInd w:val="0"/>
        <w:snapToGrid w:val="0"/>
        <w:spacing w:before="0" w:beforeAutospacing="0" w:after="0" w:afterAutospacing="0" w:line="480" w:lineRule="auto"/>
        <w:ind w:left="0" w:right="0" w:firstLine="480" w:firstLineChars="200"/>
        <w:jc w:val="both"/>
        <w:textAlignment w:val="baseline"/>
        <w:outlineLvl w:val="9"/>
        <w:rPr>
          <w:rFonts w:hint="eastAsia" w:ascii="宋体" w:hAnsi="宋体" w:eastAsia="宋体" w:cs="宋体"/>
          <w:b/>
          <w:bCs/>
          <w:sz w:val="24"/>
          <w:szCs w:val="24"/>
          <w:highlight w:val="none"/>
          <w:lang w:val="en-US"/>
        </w:rPr>
      </w:pPr>
      <w:r>
        <w:rPr>
          <w:rFonts w:hint="eastAsia" w:ascii="宋体" w:hAnsi="宋体" w:eastAsia="宋体" w:cs="宋体"/>
          <w:b w:val="0"/>
          <w:bCs w:val="0"/>
          <w:kern w:val="2"/>
          <w:sz w:val="24"/>
          <w:szCs w:val="24"/>
          <w:highlight w:val="none"/>
          <w:lang w:val="en-US" w:eastAsia="zh-CN" w:bidi="ar"/>
        </w:rPr>
        <w:t>5.</w:t>
      </w:r>
      <w:r>
        <w:rPr>
          <w:rFonts w:hint="eastAsia" w:ascii="宋体" w:hAnsi="宋体" w:eastAsia="宋体" w:cs="宋体"/>
          <w:kern w:val="2"/>
          <w:sz w:val="24"/>
          <w:szCs w:val="24"/>
          <w:highlight w:val="none"/>
          <w:lang w:val="en-US" w:eastAsia="zh-CN" w:bidi="ar"/>
        </w:rPr>
        <w:t>抽检数据原则上应全部录入国抽系统。因抽样程序、标准适用或办案需求等特殊原因，经市局同意后，可不录入国抽系统，出具纸质检验报告，并同步做好抽检信息登记。</w:t>
      </w:r>
    </w:p>
    <w:p w14:paraId="33F4E25A">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EEE62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2026-06-11T02:20:19Z</dcterms:created>
  <dc:creator>tangwei</dc:creator>
  <cp:lastModifiedBy>tangwei</cp:lastModifiedBy>
  <dcterms:modified xsi:type="dcterms:W3CDTF">2026-06-11T02:20:25Z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eyJoZGlkIjoiOTgwMmZkNzYwZTQ3NmEwMGFmODhmMTRhMmU5ZjAxMmIiLCJ1c2VySWQiOiI1NjY1Njg5NTAifQ==</vt:lpwstr>
  </property>
  <property fmtid="{D5CDD505-2E9C-101B-9397-08002B2CF9AE}" pid="4" name="ICV">
    <vt:lpwstr>F74B70F892484A188B764D37FCF501D3_12</vt:lpwstr>
  </property>
</Properties>
</file>