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33E0E">
      <w:pPr>
        <w:widowControl w:val="0"/>
        <w:spacing w:before="47" w:line="218" w:lineRule="auto"/>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附技术指标要求：</w:t>
      </w:r>
    </w:p>
    <w:p w14:paraId="067A4FB3">
      <w:pPr>
        <w:spacing w:line="360" w:lineRule="auto"/>
        <w:ind w:firstLine="420"/>
        <w:jc w:val="center"/>
        <w:rPr>
          <w:rFonts w:hint="eastAsia" w:ascii="宋体" w:hAnsi="宋体" w:eastAsia="宋体" w:cs="宋体"/>
          <w:b/>
          <w:bCs/>
          <w:sz w:val="24"/>
          <w:szCs w:val="24"/>
        </w:rPr>
      </w:pPr>
      <w:r>
        <w:rPr>
          <w:rFonts w:hint="eastAsia" w:ascii="宋体" w:hAnsi="宋体" w:eastAsia="宋体" w:cs="宋体"/>
          <w:b/>
          <w:bCs/>
          <w:sz w:val="24"/>
          <w:szCs w:val="24"/>
        </w:rPr>
        <w:t xml:space="preserve"> 智能实验室系统技术参数</w:t>
      </w:r>
    </w:p>
    <w:p w14:paraId="0A2AE84D">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一、总体建设内容</w:t>
      </w:r>
    </w:p>
    <w:p w14:paraId="0B0F2740">
      <w:pPr>
        <w:spacing w:line="360" w:lineRule="auto"/>
        <w:ind w:firstLine="480" w:firstLineChars="200"/>
        <w:rPr>
          <w:rFonts w:hint="eastAsia" w:ascii="宋体" w:hAnsi="宋体" w:eastAsia="宋体" w:cs="宋体"/>
          <w:sz w:val="24"/>
          <w:szCs w:val="24"/>
          <w:lang w:bidi="ar"/>
        </w:rPr>
      </w:pPr>
      <w:r>
        <w:rPr>
          <w:rFonts w:hint="eastAsia" w:ascii="宋体" w:hAnsi="宋体" w:eastAsia="宋体" w:cs="宋体"/>
          <w:sz w:val="24"/>
          <w:szCs w:val="24"/>
          <w:lang w:bidi="ar"/>
        </w:rPr>
        <w:t>1、本项目通过集成人工智能、大数据及物联网技术，并动态耦合多种智能检测仪器和其他功能模块，建设能独立完成样品的接收、暂存、流转、分析检测、数据处理与审核、报告生成和信息上传等任务，实现样品检测和数据管理全流程自动化、无人化和数智化运行的智能实验室系统（以下简称系统）。</w:t>
      </w:r>
    </w:p>
    <w:p w14:paraId="2881E4FB">
      <w:pPr>
        <w:pStyle w:val="6"/>
        <w:numPr>
          <w:ilvl w:val="2"/>
          <w:numId w:val="0"/>
        </w:numPr>
        <w:adjustRightInd w:val="0"/>
        <w:snapToGrid w:val="0"/>
        <w:spacing w:line="360" w:lineRule="auto"/>
        <w:ind w:firstLine="480" w:firstLineChars="200"/>
        <w:rPr>
          <w:rFonts w:hint="eastAsia" w:ascii="宋体" w:hAnsi="宋体" w:eastAsia="宋体" w:cs="宋体"/>
          <w:sz w:val="24"/>
          <w:szCs w:val="24"/>
          <w:lang w:bidi="ar"/>
        </w:rPr>
      </w:pPr>
      <w:r>
        <w:rPr>
          <w:rFonts w:hint="eastAsia" w:ascii="宋体" w:hAnsi="宋体" w:eastAsia="宋体" w:cs="宋体"/>
          <w:sz w:val="24"/>
          <w:szCs w:val="24"/>
          <w:lang w:bidi="ar"/>
        </w:rPr>
        <w:t>2、系统适用于地表水、地下水和集中式生活饮用水源地水质监测，实现《地表水环境质量标准》（GB 3838-2002）基本项目高锰酸盐指数、化学需氧量、氨氮、总磷、总氮、铜、锌、氟化物、硒、砷、汞、镉、铬（六价）、铅、氰化物、挥发酚、石油类、阴离子表面活性剂、硫化物、硫酸盐、氯化物、硝酸盐、铁、锰、钼、钴、铍、硼、锑、镍、钡、钒、钛、铊共计34项指标的全流程自动化前处理和分析。以上分析项目相关设备需满足表1中分析方法要求。</w:t>
      </w:r>
    </w:p>
    <w:p w14:paraId="48AF996D">
      <w:pPr>
        <w:pStyle w:val="6"/>
        <w:numPr>
          <w:ilvl w:val="2"/>
          <w:numId w:val="0"/>
        </w:numPr>
        <w:adjustRightInd w:val="0"/>
        <w:snapToGrid w:val="0"/>
        <w:spacing w:line="360" w:lineRule="auto"/>
        <w:jc w:val="center"/>
        <w:rPr>
          <w:rFonts w:hint="eastAsia" w:ascii="宋体" w:hAnsi="宋体" w:eastAsia="宋体" w:cs="宋体"/>
          <w:b/>
          <w:bCs/>
          <w:sz w:val="24"/>
          <w:szCs w:val="24"/>
          <w:lang w:bidi="ar"/>
        </w:rPr>
      </w:pPr>
      <w:r>
        <w:rPr>
          <w:rFonts w:hint="eastAsia" w:ascii="宋体" w:hAnsi="宋体" w:eastAsia="宋体" w:cs="宋体"/>
          <w:b/>
          <w:bCs/>
          <w:sz w:val="24"/>
          <w:szCs w:val="24"/>
          <w:lang w:bidi="ar"/>
        </w:rPr>
        <w:t>表1 各项目需满足的分析方法</w:t>
      </w:r>
    </w:p>
    <w:tbl>
      <w:tblPr>
        <w:tblStyle w:val="4"/>
        <w:tblpPr w:leftFromText="180" w:rightFromText="180" w:vertAnchor="text" w:horzAnchor="page" w:tblpX="1861" w:tblpY="36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5"/>
        <w:gridCol w:w="1481"/>
        <w:gridCol w:w="6287"/>
      </w:tblGrid>
      <w:tr w14:paraId="36707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665" w:type="dxa"/>
            <w:noWrap w:val="0"/>
            <w:vAlign w:val="center"/>
          </w:tcPr>
          <w:p w14:paraId="6F029968">
            <w:pPr>
              <w:spacing w:line="360" w:lineRule="auto"/>
              <w:jc w:val="center"/>
              <w:rPr>
                <w:rFonts w:hint="eastAsia" w:ascii="宋体" w:hAnsi="宋体" w:eastAsia="宋体" w:cs="宋体"/>
                <w:b/>
                <w:bCs/>
                <w:sz w:val="24"/>
                <w:szCs w:val="24"/>
                <w:lang w:val="en"/>
              </w:rPr>
            </w:pPr>
            <w:r>
              <w:rPr>
                <w:rFonts w:hint="eastAsia" w:ascii="宋体" w:hAnsi="宋体" w:eastAsia="宋体" w:cs="宋体"/>
                <w:b/>
                <w:bCs/>
                <w:sz w:val="24"/>
                <w:szCs w:val="24"/>
                <w:lang w:val="en"/>
              </w:rPr>
              <w:t>序号</w:t>
            </w:r>
          </w:p>
        </w:tc>
        <w:tc>
          <w:tcPr>
            <w:tcW w:w="1481" w:type="dxa"/>
            <w:noWrap w:val="0"/>
            <w:vAlign w:val="center"/>
          </w:tcPr>
          <w:p w14:paraId="1556B440">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项目名称</w:t>
            </w:r>
          </w:p>
        </w:tc>
        <w:tc>
          <w:tcPr>
            <w:tcW w:w="6287" w:type="dxa"/>
            <w:noWrap w:val="0"/>
            <w:vAlign w:val="center"/>
          </w:tcPr>
          <w:p w14:paraId="72435BB3">
            <w:pPr>
              <w:spacing w:line="360" w:lineRule="auto"/>
              <w:jc w:val="center"/>
              <w:rPr>
                <w:rFonts w:hint="eastAsia" w:ascii="宋体" w:hAnsi="宋体" w:eastAsia="宋体" w:cs="宋体"/>
                <w:b/>
                <w:bCs/>
                <w:sz w:val="24"/>
                <w:szCs w:val="24"/>
              </w:rPr>
            </w:pPr>
            <w:r>
              <w:rPr>
                <w:rFonts w:hint="eastAsia" w:ascii="宋体" w:hAnsi="宋体" w:eastAsia="宋体" w:cs="宋体"/>
                <w:b/>
                <w:bCs/>
                <w:sz w:val="24"/>
                <w:szCs w:val="24"/>
              </w:rPr>
              <w:t>分析方法</w:t>
            </w:r>
          </w:p>
        </w:tc>
      </w:tr>
      <w:tr w14:paraId="6D57E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665" w:type="dxa"/>
            <w:noWrap w:val="0"/>
            <w:vAlign w:val="center"/>
          </w:tcPr>
          <w:p w14:paraId="6553D3D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w:t>
            </w:r>
          </w:p>
        </w:tc>
        <w:tc>
          <w:tcPr>
            <w:tcW w:w="1481" w:type="dxa"/>
            <w:noWrap w:val="0"/>
            <w:vAlign w:val="center"/>
          </w:tcPr>
          <w:p w14:paraId="06DB715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高锰酸盐指数</w:t>
            </w:r>
          </w:p>
        </w:tc>
        <w:tc>
          <w:tcPr>
            <w:tcW w:w="6287" w:type="dxa"/>
            <w:noWrap w:val="0"/>
            <w:vAlign w:val="center"/>
          </w:tcPr>
          <w:p w14:paraId="75BB45E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高锰酸盐指数的测定 草酸钠还原酸性滴定法》（HJ 1445-2026）</w:t>
            </w:r>
          </w:p>
          <w:p w14:paraId="2941F8F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高锰酸盐指数的测定 草酸钠还原碱性滴定法》（HJ 1446-2026）</w:t>
            </w:r>
          </w:p>
        </w:tc>
      </w:tr>
      <w:tr w14:paraId="28DDB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665" w:type="dxa"/>
            <w:noWrap w:val="0"/>
            <w:vAlign w:val="center"/>
          </w:tcPr>
          <w:p w14:paraId="60D8B6E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2</w:t>
            </w:r>
          </w:p>
        </w:tc>
        <w:tc>
          <w:tcPr>
            <w:tcW w:w="1481" w:type="dxa"/>
            <w:noWrap w:val="0"/>
            <w:vAlign w:val="center"/>
          </w:tcPr>
          <w:p w14:paraId="6F89738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化学需氧量</w:t>
            </w:r>
          </w:p>
        </w:tc>
        <w:tc>
          <w:tcPr>
            <w:tcW w:w="6287" w:type="dxa"/>
            <w:noWrap w:val="0"/>
            <w:vAlign w:val="center"/>
          </w:tcPr>
          <w:p w14:paraId="57B8F94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化学需氧量的测定 重铬酸盐法》（HJ 828-2017）</w:t>
            </w:r>
          </w:p>
        </w:tc>
      </w:tr>
      <w:tr w14:paraId="3C158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trPr>
        <w:tc>
          <w:tcPr>
            <w:tcW w:w="665" w:type="dxa"/>
            <w:noWrap w:val="0"/>
            <w:vAlign w:val="center"/>
          </w:tcPr>
          <w:p w14:paraId="7D80BC4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3</w:t>
            </w:r>
          </w:p>
        </w:tc>
        <w:tc>
          <w:tcPr>
            <w:tcW w:w="1481" w:type="dxa"/>
            <w:noWrap w:val="0"/>
            <w:vAlign w:val="center"/>
          </w:tcPr>
          <w:p w14:paraId="6F3E3CA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氨氮</w:t>
            </w:r>
          </w:p>
        </w:tc>
        <w:tc>
          <w:tcPr>
            <w:tcW w:w="6287" w:type="dxa"/>
            <w:noWrap w:val="0"/>
            <w:vAlign w:val="center"/>
          </w:tcPr>
          <w:p w14:paraId="0F8441A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氨氮的测定 气相分子吸收光谱法》（HJ 195-2023 ）</w:t>
            </w:r>
          </w:p>
        </w:tc>
      </w:tr>
      <w:tr w14:paraId="18FE4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trPr>
        <w:tc>
          <w:tcPr>
            <w:tcW w:w="665" w:type="dxa"/>
            <w:noWrap w:val="0"/>
            <w:vAlign w:val="center"/>
          </w:tcPr>
          <w:p w14:paraId="0C8B4E1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4</w:t>
            </w:r>
          </w:p>
        </w:tc>
        <w:tc>
          <w:tcPr>
            <w:tcW w:w="1481" w:type="dxa"/>
            <w:noWrap w:val="0"/>
            <w:vAlign w:val="center"/>
          </w:tcPr>
          <w:p w14:paraId="5664F5A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总磷</w:t>
            </w:r>
          </w:p>
        </w:tc>
        <w:tc>
          <w:tcPr>
            <w:tcW w:w="6287" w:type="dxa"/>
            <w:noWrap w:val="0"/>
            <w:vAlign w:val="center"/>
          </w:tcPr>
          <w:p w14:paraId="00635F9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总磷的测定 钼酸铵分光光度法》（GB 11893-1989）</w:t>
            </w:r>
          </w:p>
        </w:tc>
      </w:tr>
      <w:tr w14:paraId="53FB5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65" w:type="dxa"/>
            <w:noWrap w:val="0"/>
            <w:vAlign w:val="center"/>
          </w:tcPr>
          <w:p w14:paraId="698C538E">
            <w:pPr>
              <w:spacing w:line="360" w:lineRule="auto"/>
              <w:jc w:val="center"/>
              <w:rPr>
                <w:rFonts w:hint="eastAsia" w:ascii="宋体" w:hAnsi="宋体" w:eastAsia="宋体" w:cs="宋体"/>
                <w:sz w:val="24"/>
                <w:szCs w:val="24"/>
              </w:rPr>
            </w:pPr>
            <w:r>
              <w:rPr>
                <w:rFonts w:hint="eastAsia" w:ascii="宋体" w:hAnsi="宋体" w:eastAsia="宋体" w:cs="宋体"/>
                <w:sz w:val="24"/>
                <w:szCs w:val="24"/>
              </w:rPr>
              <w:t>5</w:t>
            </w:r>
          </w:p>
        </w:tc>
        <w:tc>
          <w:tcPr>
            <w:tcW w:w="1481" w:type="dxa"/>
            <w:noWrap w:val="0"/>
            <w:vAlign w:val="center"/>
          </w:tcPr>
          <w:p w14:paraId="5D4D0F6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总氮</w:t>
            </w:r>
          </w:p>
        </w:tc>
        <w:tc>
          <w:tcPr>
            <w:tcW w:w="6287" w:type="dxa"/>
            <w:noWrap w:val="0"/>
            <w:vAlign w:val="center"/>
          </w:tcPr>
          <w:p w14:paraId="404BE42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总氮的测定 气相分子吸收光谱法》（HJ 199-2023）</w:t>
            </w:r>
          </w:p>
        </w:tc>
      </w:tr>
      <w:tr w14:paraId="3E6B3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665" w:type="dxa"/>
            <w:noWrap w:val="0"/>
            <w:vAlign w:val="center"/>
          </w:tcPr>
          <w:p w14:paraId="6441C43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1481" w:type="dxa"/>
            <w:noWrap w:val="0"/>
            <w:vAlign w:val="center"/>
          </w:tcPr>
          <w:p w14:paraId="217B7969">
            <w:pPr>
              <w:spacing w:line="360" w:lineRule="auto"/>
              <w:jc w:val="center"/>
              <w:rPr>
                <w:rFonts w:hint="eastAsia" w:ascii="宋体" w:hAnsi="宋体" w:eastAsia="宋体" w:cs="宋体"/>
                <w:sz w:val="24"/>
                <w:szCs w:val="24"/>
              </w:rPr>
            </w:pPr>
            <w:r>
              <w:rPr>
                <w:rFonts w:hint="eastAsia" w:ascii="宋体" w:hAnsi="宋体" w:eastAsia="宋体" w:cs="宋体"/>
                <w:sz w:val="24"/>
                <w:szCs w:val="24"/>
                <w:lang w:bidi="ar"/>
              </w:rPr>
              <w:t>铜、锌、镉、铅、铁、锰、钼、钴、铍、硼、锑、镍、钡、钒、钛、铊、砷、硒</w:t>
            </w:r>
          </w:p>
        </w:tc>
        <w:tc>
          <w:tcPr>
            <w:tcW w:w="6287" w:type="dxa"/>
            <w:noWrap w:val="0"/>
            <w:vAlign w:val="center"/>
          </w:tcPr>
          <w:p w14:paraId="710EB48A">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65种元素的测定 电感耦合等离子体质谱法》（HJ 700-2014）</w:t>
            </w:r>
          </w:p>
        </w:tc>
      </w:tr>
      <w:tr w14:paraId="00618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trPr>
        <w:tc>
          <w:tcPr>
            <w:tcW w:w="665" w:type="dxa"/>
            <w:noWrap w:val="0"/>
            <w:vAlign w:val="center"/>
          </w:tcPr>
          <w:p w14:paraId="7FDA7E5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481" w:type="dxa"/>
            <w:noWrap w:val="0"/>
            <w:vAlign w:val="center"/>
          </w:tcPr>
          <w:p w14:paraId="7D1ABC1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氟化物、硫酸盐、氯化物、硝酸盐</w:t>
            </w:r>
          </w:p>
        </w:tc>
        <w:tc>
          <w:tcPr>
            <w:tcW w:w="6287" w:type="dxa"/>
            <w:noWrap w:val="0"/>
            <w:vAlign w:val="center"/>
          </w:tcPr>
          <w:p w14:paraId="36770A7B">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无机阴离子（F</w:t>
            </w:r>
            <w:r>
              <w:rPr>
                <w:rFonts w:hint="eastAsia" w:ascii="宋体" w:hAnsi="宋体" w:eastAsia="宋体" w:cs="宋体"/>
                <w:sz w:val="24"/>
                <w:szCs w:val="24"/>
                <w:vertAlign w:val="superscript"/>
              </w:rPr>
              <w:t>-</w:t>
            </w:r>
            <w:r>
              <w:rPr>
                <w:rFonts w:hint="eastAsia" w:ascii="宋体" w:hAnsi="宋体" w:eastAsia="宋体" w:cs="宋体"/>
                <w:sz w:val="24"/>
                <w:szCs w:val="24"/>
              </w:rPr>
              <w:t>、Cl</w:t>
            </w:r>
            <w:r>
              <w:rPr>
                <w:rFonts w:hint="eastAsia" w:ascii="宋体" w:hAnsi="宋体" w:eastAsia="宋体" w:cs="宋体"/>
                <w:sz w:val="24"/>
                <w:szCs w:val="24"/>
                <w:vertAlign w:val="superscript"/>
              </w:rPr>
              <w:t>-</w:t>
            </w:r>
            <w:r>
              <w:rPr>
                <w:rFonts w:hint="eastAsia" w:ascii="宋体" w:hAnsi="宋体" w:eastAsia="宋体" w:cs="宋体"/>
                <w:sz w:val="24"/>
                <w:szCs w:val="24"/>
              </w:rPr>
              <w:t>、NO</w:t>
            </w:r>
            <w:r>
              <w:rPr>
                <w:rFonts w:hint="eastAsia" w:ascii="宋体" w:hAnsi="宋体" w:eastAsia="宋体" w:cs="宋体"/>
                <w:sz w:val="24"/>
                <w:szCs w:val="24"/>
                <w:vertAlign w:val="subscript"/>
              </w:rPr>
              <w:t>2</w:t>
            </w:r>
            <w:r>
              <w:rPr>
                <w:rFonts w:hint="eastAsia" w:ascii="宋体" w:hAnsi="宋体" w:eastAsia="宋体" w:cs="宋体"/>
                <w:sz w:val="24"/>
                <w:szCs w:val="24"/>
                <w:vertAlign w:val="superscript"/>
              </w:rPr>
              <w:t>-</w:t>
            </w:r>
            <w:r>
              <w:rPr>
                <w:rFonts w:hint="eastAsia" w:ascii="宋体" w:hAnsi="宋体" w:eastAsia="宋体" w:cs="宋体"/>
                <w:sz w:val="24"/>
                <w:szCs w:val="24"/>
              </w:rPr>
              <w:t>、Br</w:t>
            </w:r>
            <w:r>
              <w:rPr>
                <w:rFonts w:hint="eastAsia" w:ascii="宋体" w:hAnsi="宋体" w:eastAsia="宋体" w:cs="宋体"/>
                <w:sz w:val="24"/>
                <w:szCs w:val="24"/>
                <w:vertAlign w:val="superscript"/>
              </w:rPr>
              <w:t>-</w:t>
            </w:r>
            <w:r>
              <w:rPr>
                <w:rFonts w:hint="eastAsia" w:ascii="宋体" w:hAnsi="宋体" w:eastAsia="宋体" w:cs="宋体"/>
                <w:sz w:val="24"/>
                <w:szCs w:val="24"/>
              </w:rPr>
              <w:t>、NO</w:t>
            </w:r>
            <w:r>
              <w:rPr>
                <w:rFonts w:hint="eastAsia" w:ascii="宋体" w:hAnsi="宋体" w:eastAsia="宋体" w:cs="宋体"/>
                <w:sz w:val="24"/>
                <w:szCs w:val="24"/>
                <w:vertAlign w:val="subscript"/>
              </w:rPr>
              <w:t>3</w:t>
            </w:r>
            <w:r>
              <w:rPr>
                <w:rFonts w:hint="eastAsia" w:ascii="宋体" w:hAnsi="宋体" w:eastAsia="宋体" w:cs="宋体"/>
                <w:sz w:val="24"/>
                <w:szCs w:val="24"/>
                <w:vertAlign w:val="superscript"/>
              </w:rPr>
              <w:t>-</w:t>
            </w:r>
            <w:r>
              <w:rPr>
                <w:rFonts w:hint="eastAsia" w:ascii="宋体" w:hAnsi="宋体" w:eastAsia="宋体" w:cs="宋体"/>
                <w:sz w:val="24"/>
                <w:szCs w:val="24"/>
              </w:rPr>
              <w:t>、PO</w:t>
            </w:r>
            <w:r>
              <w:rPr>
                <w:rFonts w:hint="eastAsia" w:ascii="宋体" w:hAnsi="宋体" w:eastAsia="宋体" w:cs="宋体"/>
                <w:sz w:val="24"/>
                <w:szCs w:val="24"/>
                <w:vertAlign w:val="subscript"/>
              </w:rPr>
              <w:t>4</w:t>
            </w:r>
            <w:r>
              <w:rPr>
                <w:rFonts w:hint="eastAsia" w:ascii="宋体" w:hAnsi="宋体" w:eastAsia="宋体" w:cs="宋体"/>
                <w:sz w:val="24"/>
                <w:szCs w:val="24"/>
                <w:vertAlign w:val="superscript"/>
              </w:rPr>
              <w:t>3-</w:t>
            </w:r>
            <w:r>
              <w:rPr>
                <w:rFonts w:hint="eastAsia" w:ascii="宋体" w:hAnsi="宋体" w:eastAsia="宋体" w:cs="宋体"/>
                <w:sz w:val="24"/>
                <w:szCs w:val="24"/>
              </w:rPr>
              <w:t>、SO</w:t>
            </w:r>
            <w:r>
              <w:rPr>
                <w:rFonts w:hint="eastAsia" w:ascii="宋体" w:hAnsi="宋体" w:eastAsia="宋体" w:cs="宋体"/>
                <w:sz w:val="24"/>
                <w:szCs w:val="24"/>
                <w:vertAlign w:val="subscript"/>
              </w:rPr>
              <w:t>3</w:t>
            </w:r>
            <w:r>
              <w:rPr>
                <w:rFonts w:hint="eastAsia" w:ascii="宋体" w:hAnsi="宋体" w:eastAsia="宋体" w:cs="宋体"/>
                <w:sz w:val="24"/>
                <w:szCs w:val="24"/>
                <w:vertAlign w:val="superscript"/>
              </w:rPr>
              <w:t>2-</w:t>
            </w:r>
            <w:r>
              <w:rPr>
                <w:rFonts w:hint="eastAsia" w:ascii="宋体" w:hAnsi="宋体" w:eastAsia="宋体" w:cs="宋体"/>
                <w:sz w:val="24"/>
                <w:szCs w:val="24"/>
              </w:rPr>
              <w:t>、SO</w:t>
            </w:r>
            <w:r>
              <w:rPr>
                <w:rFonts w:hint="eastAsia" w:ascii="宋体" w:hAnsi="宋体" w:eastAsia="宋体" w:cs="宋体"/>
                <w:sz w:val="24"/>
                <w:szCs w:val="24"/>
                <w:vertAlign w:val="subscript"/>
              </w:rPr>
              <w:t>4</w:t>
            </w:r>
            <w:r>
              <w:rPr>
                <w:rFonts w:hint="eastAsia" w:ascii="宋体" w:hAnsi="宋体" w:eastAsia="宋体" w:cs="宋体"/>
                <w:sz w:val="24"/>
                <w:szCs w:val="24"/>
                <w:vertAlign w:val="superscript"/>
              </w:rPr>
              <w:t>2-</w:t>
            </w:r>
            <w:r>
              <w:rPr>
                <w:rFonts w:hint="eastAsia" w:ascii="宋体" w:hAnsi="宋体" w:eastAsia="宋体" w:cs="宋体"/>
                <w:sz w:val="24"/>
                <w:szCs w:val="24"/>
              </w:rPr>
              <w:t>）的测定 离子色谱法》（HJ 84-2016）</w:t>
            </w:r>
          </w:p>
        </w:tc>
      </w:tr>
      <w:tr w14:paraId="67E19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665" w:type="dxa"/>
            <w:noWrap w:val="0"/>
            <w:vAlign w:val="center"/>
          </w:tcPr>
          <w:p w14:paraId="12D6EBED">
            <w:pPr>
              <w:spacing w:line="360" w:lineRule="auto"/>
              <w:jc w:val="center"/>
              <w:rPr>
                <w:rFonts w:hint="eastAsia" w:ascii="宋体" w:hAnsi="宋体" w:eastAsia="宋体" w:cs="宋体"/>
                <w:sz w:val="24"/>
                <w:szCs w:val="24"/>
              </w:rPr>
            </w:pPr>
            <w:r>
              <w:rPr>
                <w:rFonts w:hint="eastAsia" w:ascii="宋体" w:hAnsi="宋体" w:eastAsia="宋体" w:cs="宋体"/>
                <w:sz w:val="24"/>
                <w:szCs w:val="24"/>
              </w:rPr>
              <w:t>8</w:t>
            </w:r>
          </w:p>
        </w:tc>
        <w:tc>
          <w:tcPr>
            <w:tcW w:w="1481" w:type="dxa"/>
            <w:noWrap w:val="0"/>
            <w:vAlign w:val="center"/>
          </w:tcPr>
          <w:p w14:paraId="0B7F8E9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铬（六价）</w:t>
            </w:r>
          </w:p>
        </w:tc>
        <w:tc>
          <w:tcPr>
            <w:tcW w:w="6287" w:type="dxa"/>
            <w:noWrap w:val="0"/>
            <w:vAlign w:val="center"/>
          </w:tcPr>
          <w:p w14:paraId="51E0ADE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六价铬的测定 流动注射-二苯碳酰二肼光度法》（HJ 908-2017）</w:t>
            </w:r>
          </w:p>
        </w:tc>
      </w:tr>
      <w:tr w14:paraId="4F5B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665" w:type="dxa"/>
            <w:noWrap w:val="0"/>
            <w:vAlign w:val="center"/>
          </w:tcPr>
          <w:p w14:paraId="4F6FA877">
            <w:pPr>
              <w:spacing w:line="360" w:lineRule="auto"/>
              <w:jc w:val="center"/>
              <w:rPr>
                <w:rFonts w:hint="eastAsia" w:ascii="宋体" w:hAnsi="宋体" w:eastAsia="宋体" w:cs="宋体"/>
                <w:sz w:val="24"/>
                <w:szCs w:val="24"/>
              </w:rPr>
            </w:pPr>
            <w:r>
              <w:rPr>
                <w:rFonts w:hint="eastAsia" w:ascii="宋体" w:hAnsi="宋体" w:eastAsia="宋体" w:cs="宋体"/>
                <w:sz w:val="24"/>
                <w:szCs w:val="24"/>
              </w:rPr>
              <w:t>9</w:t>
            </w:r>
          </w:p>
        </w:tc>
        <w:tc>
          <w:tcPr>
            <w:tcW w:w="1481" w:type="dxa"/>
            <w:noWrap w:val="0"/>
            <w:vAlign w:val="center"/>
          </w:tcPr>
          <w:p w14:paraId="25CEEEC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氰化物</w:t>
            </w:r>
          </w:p>
        </w:tc>
        <w:tc>
          <w:tcPr>
            <w:tcW w:w="6287" w:type="dxa"/>
            <w:noWrap w:val="0"/>
            <w:vAlign w:val="center"/>
          </w:tcPr>
          <w:p w14:paraId="78FD1E5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氰化物的测定 流动注射-分光光度法（异烟酸-巴比妥酸法）》（HJ 823-2017）</w:t>
            </w:r>
          </w:p>
        </w:tc>
      </w:tr>
      <w:tr w14:paraId="4B618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65" w:type="dxa"/>
            <w:noWrap w:val="0"/>
            <w:vAlign w:val="center"/>
          </w:tcPr>
          <w:p w14:paraId="5778565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10</w:t>
            </w:r>
          </w:p>
        </w:tc>
        <w:tc>
          <w:tcPr>
            <w:tcW w:w="1481" w:type="dxa"/>
            <w:noWrap w:val="0"/>
            <w:vAlign w:val="center"/>
          </w:tcPr>
          <w:p w14:paraId="2DDA329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挥发酚</w:t>
            </w:r>
          </w:p>
        </w:tc>
        <w:tc>
          <w:tcPr>
            <w:tcW w:w="6287" w:type="dxa"/>
            <w:noWrap w:val="0"/>
            <w:vAlign w:val="center"/>
          </w:tcPr>
          <w:p w14:paraId="31F65B6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挥发酚的测定 4-氨基安替比林分光光度法》（HJ 503-2009）</w:t>
            </w:r>
          </w:p>
          <w:p w14:paraId="3DAF307D">
            <w:pPr>
              <w:spacing w:line="360" w:lineRule="auto"/>
              <w:rPr>
                <w:rFonts w:hint="eastAsia" w:ascii="宋体" w:hAnsi="宋体" w:eastAsia="宋体" w:cs="宋体"/>
                <w:sz w:val="24"/>
                <w:szCs w:val="24"/>
              </w:rPr>
            </w:pPr>
            <w:r>
              <w:rPr>
                <w:rFonts w:hint="eastAsia" w:ascii="宋体" w:hAnsi="宋体" w:eastAsia="宋体" w:cs="宋体"/>
                <w:sz w:val="24"/>
                <w:szCs w:val="24"/>
              </w:rPr>
              <w:t>或《水质 挥发酚的测定 流动注射-4-氨基安替比林分光光度法》（HJ 825-2017）</w:t>
            </w:r>
          </w:p>
        </w:tc>
      </w:tr>
      <w:tr w14:paraId="3DCEB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trPr>
        <w:tc>
          <w:tcPr>
            <w:tcW w:w="665" w:type="dxa"/>
            <w:noWrap w:val="0"/>
            <w:vAlign w:val="center"/>
          </w:tcPr>
          <w:p w14:paraId="3D01E852">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11</w:t>
            </w:r>
          </w:p>
        </w:tc>
        <w:tc>
          <w:tcPr>
            <w:tcW w:w="1481" w:type="dxa"/>
            <w:noWrap w:val="0"/>
            <w:vAlign w:val="center"/>
          </w:tcPr>
          <w:p w14:paraId="0B65F9B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石油类</w:t>
            </w:r>
          </w:p>
        </w:tc>
        <w:tc>
          <w:tcPr>
            <w:tcW w:w="6287" w:type="dxa"/>
            <w:noWrap w:val="0"/>
            <w:vAlign w:val="center"/>
          </w:tcPr>
          <w:p w14:paraId="590892B4">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石油类的测定 紫外分光光度法（试行）》（HJ 970-2018）</w:t>
            </w:r>
          </w:p>
        </w:tc>
      </w:tr>
      <w:tr w14:paraId="7A4E3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665" w:type="dxa"/>
            <w:noWrap w:val="0"/>
            <w:vAlign w:val="center"/>
          </w:tcPr>
          <w:p w14:paraId="5FB22366">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12</w:t>
            </w:r>
          </w:p>
        </w:tc>
        <w:tc>
          <w:tcPr>
            <w:tcW w:w="1481" w:type="dxa"/>
            <w:noWrap w:val="0"/>
            <w:vAlign w:val="center"/>
          </w:tcPr>
          <w:p w14:paraId="38044A70">
            <w:pPr>
              <w:spacing w:line="360" w:lineRule="auto"/>
              <w:jc w:val="center"/>
              <w:rPr>
                <w:rFonts w:hint="eastAsia" w:ascii="宋体" w:hAnsi="宋体" w:eastAsia="宋体" w:cs="宋体"/>
                <w:sz w:val="24"/>
                <w:szCs w:val="24"/>
              </w:rPr>
            </w:pPr>
            <w:r>
              <w:rPr>
                <w:rFonts w:hint="eastAsia" w:ascii="宋体" w:hAnsi="宋体" w:eastAsia="宋体" w:cs="宋体"/>
                <w:sz w:val="24"/>
                <w:szCs w:val="24"/>
              </w:rPr>
              <w:t>阴离子表面活性剂</w:t>
            </w:r>
          </w:p>
        </w:tc>
        <w:tc>
          <w:tcPr>
            <w:tcW w:w="6287" w:type="dxa"/>
            <w:noWrap w:val="0"/>
            <w:vAlign w:val="center"/>
          </w:tcPr>
          <w:p w14:paraId="408F5798">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阴离子表面活性剂的测定 流动注射-亚甲基蓝分光光度法》（HJ 826-2017）</w:t>
            </w:r>
          </w:p>
        </w:tc>
      </w:tr>
      <w:tr w14:paraId="18A8B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665" w:type="dxa"/>
            <w:noWrap w:val="0"/>
            <w:vAlign w:val="center"/>
          </w:tcPr>
          <w:p w14:paraId="0AE87721">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13</w:t>
            </w:r>
          </w:p>
        </w:tc>
        <w:tc>
          <w:tcPr>
            <w:tcW w:w="1481" w:type="dxa"/>
            <w:noWrap w:val="0"/>
            <w:vAlign w:val="center"/>
          </w:tcPr>
          <w:p w14:paraId="63F6D6D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硫化物</w:t>
            </w:r>
          </w:p>
        </w:tc>
        <w:tc>
          <w:tcPr>
            <w:tcW w:w="6287" w:type="dxa"/>
            <w:noWrap w:val="0"/>
            <w:vAlign w:val="center"/>
          </w:tcPr>
          <w:p w14:paraId="65F16D9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硫化物的测定 气相分子吸收光谱法》（HJ 200-2023）</w:t>
            </w:r>
          </w:p>
        </w:tc>
      </w:tr>
      <w:tr w14:paraId="4048C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665" w:type="dxa"/>
            <w:noWrap w:val="0"/>
            <w:vAlign w:val="center"/>
          </w:tcPr>
          <w:p w14:paraId="2C62D123">
            <w:pPr>
              <w:spacing w:line="360" w:lineRule="auto"/>
              <w:jc w:val="center"/>
              <w:rPr>
                <w:rFonts w:hint="eastAsia" w:ascii="宋体" w:hAnsi="宋体" w:eastAsia="宋体" w:cs="宋体"/>
                <w:sz w:val="24"/>
                <w:szCs w:val="24"/>
              </w:rPr>
            </w:pPr>
            <w:r>
              <w:rPr>
                <w:rFonts w:hint="eastAsia" w:ascii="宋体" w:hAnsi="宋体" w:eastAsia="宋体" w:cs="宋体"/>
                <w:sz w:val="24"/>
                <w:szCs w:val="24"/>
              </w:rPr>
              <w:t>14</w:t>
            </w:r>
          </w:p>
        </w:tc>
        <w:tc>
          <w:tcPr>
            <w:tcW w:w="1481" w:type="dxa"/>
            <w:noWrap w:val="0"/>
            <w:vAlign w:val="center"/>
          </w:tcPr>
          <w:p w14:paraId="6E7FA3B5">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汞</w:t>
            </w:r>
          </w:p>
        </w:tc>
        <w:tc>
          <w:tcPr>
            <w:tcW w:w="6287" w:type="dxa"/>
            <w:noWrap w:val="0"/>
            <w:vAlign w:val="center"/>
          </w:tcPr>
          <w:p w14:paraId="41ABA77F">
            <w:pPr>
              <w:spacing w:line="360" w:lineRule="auto"/>
              <w:jc w:val="center"/>
              <w:rPr>
                <w:rFonts w:hint="eastAsia" w:ascii="宋体" w:hAnsi="宋体" w:eastAsia="宋体" w:cs="宋体"/>
                <w:sz w:val="24"/>
                <w:szCs w:val="24"/>
              </w:rPr>
            </w:pPr>
            <w:r>
              <w:rPr>
                <w:rFonts w:hint="eastAsia" w:ascii="宋体" w:hAnsi="宋体" w:eastAsia="宋体" w:cs="宋体"/>
                <w:sz w:val="24"/>
                <w:szCs w:val="24"/>
              </w:rPr>
              <w:t>《水质 汞、砷、硒、铋和锑的测定 原子荧光法》（HJ 694-2014）</w:t>
            </w:r>
          </w:p>
        </w:tc>
      </w:tr>
    </w:tbl>
    <w:p w14:paraId="41133726">
      <w:pPr>
        <w:spacing w:line="360" w:lineRule="auto"/>
        <w:ind w:firstLine="480" w:firstLineChars="200"/>
        <w:rPr>
          <w:rFonts w:hint="eastAsia" w:ascii="宋体" w:hAnsi="宋体" w:eastAsia="宋体" w:cs="宋体"/>
          <w:sz w:val="24"/>
          <w:szCs w:val="24"/>
        </w:rPr>
      </w:pPr>
    </w:p>
    <w:p w14:paraId="388C203D">
      <w:pPr>
        <w:spacing w:line="360" w:lineRule="auto"/>
        <w:ind w:firstLine="480" w:firstLineChars="200"/>
        <w:rPr>
          <w:rFonts w:hint="eastAsia" w:ascii="宋体" w:hAnsi="宋体" w:eastAsia="宋体" w:cs="宋体"/>
          <w:sz w:val="24"/>
          <w:szCs w:val="24"/>
        </w:rPr>
      </w:pPr>
    </w:p>
    <w:p w14:paraId="539D9475">
      <w:pPr>
        <w:pStyle w:val="3"/>
        <w:spacing w:line="360" w:lineRule="auto"/>
        <w:ind w:firstLine="240"/>
        <w:rPr>
          <w:rFonts w:hint="eastAsia" w:ascii="宋体" w:hAnsi="宋体" w:eastAsia="宋体" w:cs="宋体"/>
          <w:sz w:val="24"/>
          <w:szCs w:val="24"/>
        </w:rPr>
      </w:pPr>
    </w:p>
    <w:p w14:paraId="2A07CE3B">
      <w:pPr>
        <w:pStyle w:val="3"/>
        <w:spacing w:line="360" w:lineRule="auto"/>
        <w:ind w:firstLine="240"/>
        <w:rPr>
          <w:rFonts w:hint="eastAsia" w:ascii="宋体" w:hAnsi="宋体" w:eastAsia="宋体" w:cs="宋体"/>
          <w:sz w:val="24"/>
          <w:szCs w:val="24"/>
        </w:rPr>
      </w:pPr>
    </w:p>
    <w:p w14:paraId="30E9EE3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3、采购人会另行采购全自动五日生化需氧量分析仪，中标人需负责将其接入系统。</w:t>
      </w:r>
    </w:p>
    <w:p w14:paraId="7D6CC9E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4、系统应具备7*24小时长期连续样品自动检测的能力。检测通量要求：34个项目同时运行，挥发酚≥40</w:t>
      </w:r>
      <w:r>
        <w:rPr>
          <w:rFonts w:hint="eastAsia" w:ascii="宋体" w:hAnsi="宋体" w:eastAsia="宋体" w:cs="宋体"/>
          <w:iCs/>
          <w:sz w:val="24"/>
          <w:szCs w:val="24"/>
        </w:rPr>
        <w:t>个/天，</w:t>
      </w:r>
      <w:r>
        <w:rPr>
          <w:rFonts w:hint="eastAsia" w:ascii="宋体" w:hAnsi="宋体" w:eastAsia="宋体" w:cs="宋体"/>
          <w:sz w:val="24"/>
          <w:szCs w:val="24"/>
        </w:rPr>
        <w:t>氟化物、硫酸盐、氯化物及硝酸盐</w:t>
      </w:r>
      <w:r>
        <w:rPr>
          <w:rFonts w:hint="eastAsia" w:ascii="宋体" w:hAnsi="宋体" w:eastAsia="宋体" w:cs="宋体"/>
          <w:sz w:val="24"/>
          <w:szCs w:val="24"/>
          <w:lang w:eastAsia="zh-CN"/>
        </w:rPr>
        <w:t>4</w:t>
      </w:r>
      <w:r>
        <w:rPr>
          <w:rFonts w:hint="eastAsia" w:ascii="宋体" w:hAnsi="宋体" w:eastAsia="宋体" w:cs="宋体"/>
          <w:sz w:val="24"/>
          <w:szCs w:val="24"/>
        </w:rPr>
        <w:t>个项目≥50</w:t>
      </w:r>
      <w:r>
        <w:rPr>
          <w:rFonts w:hint="eastAsia" w:ascii="宋体" w:hAnsi="宋体" w:eastAsia="宋体" w:cs="宋体"/>
          <w:iCs/>
          <w:sz w:val="24"/>
          <w:szCs w:val="24"/>
        </w:rPr>
        <w:t>个/天</w:t>
      </w:r>
      <w:r>
        <w:rPr>
          <w:rFonts w:hint="eastAsia" w:ascii="宋体" w:hAnsi="宋体" w:eastAsia="宋体" w:cs="宋体"/>
          <w:sz w:val="24"/>
          <w:szCs w:val="24"/>
        </w:rPr>
        <w:t>，其他项目≥80</w:t>
      </w:r>
      <w:r>
        <w:rPr>
          <w:rFonts w:hint="eastAsia" w:ascii="宋体" w:hAnsi="宋体" w:eastAsia="宋体" w:cs="宋体"/>
          <w:iCs/>
          <w:sz w:val="24"/>
          <w:szCs w:val="24"/>
        </w:rPr>
        <w:t>个/天</w:t>
      </w:r>
      <w:r>
        <w:rPr>
          <w:rFonts w:hint="eastAsia" w:ascii="宋体" w:hAnsi="宋体" w:eastAsia="宋体" w:cs="宋体"/>
          <w:sz w:val="24"/>
          <w:szCs w:val="24"/>
        </w:rPr>
        <w:t>，作为验收指标进行验收</w:t>
      </w:r>
      <w:r>
        <w:rPr>
          <w:rFonts w:hint="eastAsia" w:ascii="宋体" w:hAnsi="宋体" w:eastAsia="宋体" w:cs="宋体"/>
          <w:iCs/>
          <w:sz w:val="24"/>
          <w:szCs w:val="24"/>
        </w:rPr>
        <w:t>。</w:t>
      </w:r>
      <w:r>
        <w:rPr>
          <w:rFonts w:hint="eastAsia" w:ascii="宋体" w:hAnsi="宋体" w:eastAsia="宋体" w:cs="宋体"/>
          <w:sz w:val="24"/>
          <w:szCs w:val="24"/>
        </w:rPr>
        <w:t>系统配置要求见表2。</w:t>
      </w:r>
    </w:p>
    <w:p w14:paraId="16355C2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5、系统应具有双向通讯能力，要完成接入采购人现用的实验室信息管理系统（LMIS），能够</w:t>
      </w:r>
      <w:r>
        <w:rPr>
          <w:rFonts w:hint="eastAsia" w:ascii="宋体" w:hAnsi="宋体" w:eastAsia="宋体" w:cs="宋体"/>
          <w:sz w:val="24"/>
          <w:szCs w:val="24"/>
          <w:lang w:eastAsia="zh-CN"/>
        </w:rPr>
        <w:t>自动</w:t>
      </w:r>
      <w:r>
        <w:rPr>
          <w:rFonts w:hint="eastAsia" w:ascii="宋体" w:hAnsi="宋体" w:eastAsia="宋体" w:cs="宋体"/>
          <w:sz w:val="24"/>
          <w:szCs w:val="24"/>
        </w:rPr>
        <w:t>接受采购人LIMS系统的下达的任务；系统能自动识别采测分离样品二维码信息（至少要能识别样品编号和分析指标）。</w:t>
      </w:r>
    </w:p>
    <w:p w14:paraId="667F6BBA">
      <w:pPr>
        <w:pStyle w:val="7"/>
        <w:spacing w:before="0" w:after="0"/>
        <w:ind w:firstLine="480" w:firstLineChars="200"/>
        <w:rPr>
          <w:rFonts w:hint="eastAsia" w:ascii="宋体" w:hAnsi="宋体" w:eastAsia="宋体" w:cs="宋体"/>
          <w:iCs w:val="0"/>
          <w:sz w:val="24"/>
          <w:szCs w:val="24"/>
        </w:rPr>
      </w:pPr>
      <w:r>
        <w:rPr>
          <w:rFonts w:hint="eastAsia" w:ascii="宋体" w:hAnsi="宋体" w:eastAsia="宋体" w:cs="宋体"/>
          <w:sz w:val="24"/>
          <w:szCs w:val="24"/>
        </w:rPr>
        <w:t>6、</w:t>
      </w:r>
      <w:r>
        <w:rPr>
          <w:rFonts w:hint="eastAsia" w:ascii="宋体" w:hAnsi="宋体" w:eastAsia="宋体" w:cs="宋体"/>
          <w:iCs w:val="0"/>
          <w:sz w:val="24"/>
          <w:szCs w:val="24"/>
        </w:rPr>
        <w:t>本项目为交钥匙项目，投标人应充分考虑招标文件中相关技术要求及实验室包括但不限于水、电、气、通风设施等基础设施配套改造相关成本。投标人所报总价默认包含本项目所有实施成本。关于配套基础设施改造内容，如有需要，投标人可自行到现场进行实地考察。</w:t>
      </w:r>
    </w:p>
    <w:p w14:paraId="18C056A4">
      <w:pPr>
        <w:pStyle w:val="7"/>
        <w:spacing w:before="0" w:after="0"/>
        <w:ind w:firstLine="480" w:firstLineChars="200"/>
        <w:rPr>
          <w:rFonts w:hint="eastAsia" w:ascii="宋体" w:hAnsi="宋体" w:eastAsia="宋体" w:cs="宋体"/>
          <w:iCs w:val="0"/>
          <w:sz w:val="24"/>
          <w:szCs w:val="24"/>
        </w:rPr>
      </w:pPr>
      <w:r>
        <w:rPr>
          <w:rFonts w:hint="eastAsia" w:ascii="宋体" w:hAnsi="宋体" w:eastAsia="宋体" w:cs="宋体"/>
          <w:iCs w:val="0"/>
          <w:sz w:val="24"/>
          <w:szCs w:val="24"/>
        </w:rPr>
        <w:t>7、投标人须就本项目智能实验室系统的CMA资质申请事宜，作出如下专项承诺：（1）国家出台智能实验室CMA资质认定相关文件后，本系统可正常申请CMA资质；（2）本系统申请CMA资质时，无需采购人额外投入及任何配套改造即可满足全部认定要求；若确需改造，全部工作及费用由中标人全额承担，且不影响系统原有功能及履约进度；（3）投标人须在投标文件中提供加盖公章的本项专项承诺函，承诺内容须完整响应上述全部要求，否则视为无效投标，招标人有权取消其投标资格。</w:t>
      </w:r>
    </w:p>
    <w:p w14:paraId="2713F60D"/>
    <w:p w14:paraId="61F094DE"/>
    <w:p w14:paraId="4BDA19C9"/>
    <w:p w14:paraId="51586D2E">
      <w:pPr>
        <w:jc w:val="center"/>
        <w:rPr>
          <w:rFonts w:hint="default" w:eastAsia="宋体"/>
          <w:b/>
          <w:bCs/>
          <w:sz w:val="36"/>
          <w:szCs w:val="36"/>
          <w:lang w:val="en-US" w:eastAsia="zh-CN"/>
        </w:rPr>
      </w:pPr>
      <w:bookmarkStart w:id="0" w:name="_GoBack"/>
      <w:r>
        <w:rPr>
          <w:rFonts w:hint="eastAsia" w:eastAsia="宋体"/>
          <w:b/>
          <w:bCs/>
          <w:sz w:val="36"/>
          <w:szCs w:val="36"/>
          <w:lang w:val="en-US" w:eastAsia="zh-CN"/>
        </w:rPr>
        <w:t>等......详见招标文件。</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D7494C"/>
    <w:rsid w:val="3BD74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Body Text First Indent"/>
    <w:basedOn w:val="1"/>
    <w:next w:val="2"/>
    <w:qFormat/>
    <w:uiPriority w:val="0"/>
    <w:pPr>
      <w:ind w:firstLine="420" w:firstLineChars="100"/>
    </w:pPr>
  </w:style>
  <w:style w:type="paragraph" w:styleId="6">
    <w:name w:val="List Paragraph"/>
    <w:basedOn w:val="1"/>
    <w:qFormat/>
    <w:uiPriority w:val="34"/>
    <w:pPr>
      <w:widowControl w:val="0"/>
      <w:kinsoku/>
      <w:autoSpaceDE/>
      <w:autoSpaceDN/>
      <w:adjustRightInd/>
      <w:snapToGrid/>
      <w:spacing w:line="300" w:lineRule="exact"/>
      <w:ind w:firstLine="420"/>
      <w:jc w:val="both"/>
      <w:textAlignment w:val="auto"/>
    </w:pPr>
    <w:rPr>
      <w:rFonts w:ascii="Times New Roman" w:hAnsi="Times New Roman" w:eastAsia="Times New Roman" w:cs="Times New Roman"/>
      <w:snapToGrid/>
      <w:color w:val="auto"/>
      <w:kern w:val="2"/>
      <w:szCs w:val="22"/>
      <w:lang w:eastAsia="zh-CN"/>
    </w:rPr>
  </w:style>
  <w:style w:type="paragraph" w:customStyle="1" w:styleId="7">
    <w:name w:val="正文首行缩进2字符"/>
    <w:basedOn w:val="1"/>
    <w:qFormat/>
    <w:uiPriority w:val="0"/>
    <w:pPr>
      <w:spacing w:before="120" w:after="120" w:line="360" w:lineRule="auto"/>
      <w:ind w:firstLine="482"/>
    </w:pPr>
    <w:rPr>
      <w:i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2026-06-11T01:48:00Z</dcterms:created>
  <dc:creator>WPS_1620264490</dc:creator>
  <cp:lastModifiedBy>WPS_1620264490</cp:lastModifiedBy>
  <dcterms:modified xsi:type="dcterms:W3CDTF">2026-06-11T01:49:32Z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7E9F16C4F56649E5B4C1C04BD03779DB_11</vt:lpwstr>
  </property>
  <property fmtid="{D5CDD505-2E9C-101B-9397-08002B2CF9AE}" pid="4" name="KSOTemplateDocerSaveRecord">
    <vt:lpwstr>eyJoZGlkIjoiMjEyOTJiNTVhZDI0MmM2NGQ0MjIwOWMzYWVkZmNiMDAiLCJ1c2VySWQiOiIxMjA4MzEzNjYwIn0=</vt:lpwstr>
  </property>
</Properties>
</file>