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994115">
      <w:pPr>
        <w:pStyle w:val="2"/>
        <w:jc w:val="center"/>
        <w:rPr>
          <w:color w:val="auto"/>
          <w:highlight w:val="none"/>
        </w:rPr>
      </w:pPr>
      <w:bookmarkStart w:id="0" w:name="_GoBack"/>
      <w:r>
        <w:rPr>
          <w:color w:val="auto"/>
          <w:highlight w:val="none"/>
        </w:rPr>
        <w:t>采购项目需求</w:t>
      </w:r>
    </w:p>
    <w:bookmarkEnd w:id="0"/>
    <w:p w14:paraId="17329EEB">
      <w:pPr>
        <w:numPr>
          <w:ilvl w:val="0"/>
          <w:numId w:val="1"/>
        </w:numPr>
        <w:ind w:left="1320" w:leftChars="0" w:firstLine="0" w:firstLineChars="0"/>
        <w:jc w:val="both"/>
        <w:rPr>
          <w:rFonts w:hint="eastAsia"/>
          <w:color w:val="auto"/>
          <w:highlight w:val="none"/>
          <w:lang w:val="en-US" w:eastAsia="zh-CN"/>
        </w:rPr>
      </w:pPr>
      <w:r>
        <w:rPr>
          <w:rFonts w:hint="eastAsia"/>
          <w:color w:val="auto"/>
          <w:highlight w:val="none"/>
          <w:lang w:val="en-US" w:eastAsia="zh-CN"/>
        </w:rPr>
        <w:t>采购需求</w:t>
      </w:r>
    </w:p>
    <w:tbl>
      <w:tblPr>
        <w:tblStyle w:val="5"/>
        <w:tblW w:w="1018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74"/>
        <w:gridCol w:w="1275"/>
        <w:gridCol w:w="6439"/>
        <w:gridCol w:w="718"/>
        <w:gridCol w:w="1077"/>
      </w:tblGrid>
      <w:tr w14:paraId="5BA1B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DD031">
            <w:pPr>
              <w:keepNext w:val="0"/>
              <w:keepLines w:val="0"/>
              <w:widowControl/>
              <w:suppressLineNumbers w:val="0"/>
              <w:jc w:val="both"/>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03770">
            <w:pPr>
              <w:keepNext w:val="0"/>
              <w:keepLines w:val="0"/>
              <w:widowControl/>
              <w:suppressLineNumbers w:val="0"/>
              <w:jc w:val="both"/>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产品名称</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69D33">
            <w:pPr>
              <w:keepNext w:val="0"/>
              <w:keepLines w:val="0"/>
              <w:widowControl/>
              <w:suppressLineNumbers w:val="0"/>
              <w:jc w:val="both"/>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技术参数</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2D777">
            <w:pPr>
              <w:keepNext w:val="0"/>
              <w:keepLines w:val="0"/>
              <w:widowControl/>
              <w:suppressLineNumbers w:val="0"/>
              <w:jc w:val="both"/>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单位</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7F351">
            <w:pPr>
              <w:keepNext w:val="0"/>
              <w:keepLines w:val="0"/>
              <w:widowControl/>
              <w:suppressLineNumbers w:val="0"/>
              <w:jc w:val="both"/>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综合单价(元)</w:t>
            </w:r>
          </w:p>
        </w:tc>
      </w:tr>
      <w:tr w14:paraId="3D4C4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ADBF3">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4624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光控灯</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8207A">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1、型号LED</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2、参数10W</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F5AED">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盏</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8086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347</w:t>
            </w:r>
          </w:p>
        </w:tc>
      </w:tr>
      <w:tr w14:paraId="0F67B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4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4126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2</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47602">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56WLED灯具</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7C10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1、功率56W</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2、灯体采用压铸、拉伸铝外壳</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3、整灯光效≥150LM/W，灯具防护等级≥IP65，显色指数Ra≥70</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4、防风等级大于50M/s，防眩光等级G4</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5、色温：3000K;3000小时光通维持率≥95%、耐盐雾</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6、模组在低温-50℃±2℃，高温85℃±2℃环境下，暴露持续时间10min，温度变化速率5℃±1℃/min，循环200次，样品外观无损坏且功能正常</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7、LED光源模组在温度85℃、湿度85%RH额定电应力条件稳态工作800小时，灯具正常工作</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8、LED路灯荧光紫外灯1A型（UVA-340）进行大于200次循2000小时及以上紫外老化试验，测试验后，光通维持率＞95%，色温偏差≤15K，显指偏差≤0.2，色容差偏差≤0.2，色坐标偏差≤0.001</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9、LED路灯开关冲击不低于100000次测试后：光衰≤0.5%，LED路灯产品模组散热片表面温差≤3℃</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C733B">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A240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430</w:t>
            </w:r>
          </w:p>
        </w:tc>
      </w:tr>
      <w:tr w14:paraId="30C00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05FE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B70D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60WLED灯具</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6172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1、功率60W</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2、灯体采用压铸、拉伸铝外壳</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3、整灯光效≥150LM/W，灯具防护等级≥IP65，显色指数Ra≥70</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4、防风等级大于50M/s，防眩光等级G4</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5、色温：3000K;3000小时光通维持率≥95%、耐盐雾</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6、模组在低温-50℃±2℃，高温85℃±2℃环境下，暴露持续时间10min，温度变化速率5℃±1℃/min，循环200次，样品外观无损坏且功能正常</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7、LED光源模组在温度85℃、湿度85%RH额定电应力条件稳态工作800小时，灯具正常工作</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8、LED路灯荧光紫外灯1A型（UVA-340）进行大于200次循环2000小时及以上紫外老化试验，测试验后，光通维持率＞95%，色温偏差≤15K，显指偏差≤0.2，色容差偏差≤0.2，色坐标偏差≤0.001</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9、LED路灯开关冲击不低于100000次测试后：光衰≤0.5%，LED路灯产品模组散热片表面温差≤3℃</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E2BC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盏</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67A3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450</w:t>
            </w:r>
          </w:p>
        </w:tc>
      </w:tr>
      <w:tr w14:paraId="739A1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8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C899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4</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88B5B">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100WLED灯具</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43BFD">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1、功率100W</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2、灯体采用压铸、拉伸铝外壳</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3、整灯光效≥150LM/W，灯具防护等级≥IP65，显色指数Ra≥70</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4、防风等级大于50M/s，防眩光等级G4</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5、色温：3000K;3000小时光通维持率≥95%；使用寿命大于5000小时。耐盐雾</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6、模组在低温-50℃±2℃，高温85℃±2℃环境下，暴露持续时间10min，温度变化速率5℃±1℃/min，循环200次，样品外观无损坏且功能正常</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7、LED光源模组在温度85℃、湿度85%RH额定电应力条件稳态工作800小时，灯具正常工作</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8、LED路灯荧光紫外灯1A型（UVA-340）进行大于200次循2000小时及以上紫外老化试验，测试验后，光通维持率＞95%，色温偏差≤15K，显指偏差≤0.2，色容差偏差≤0.2，色坐标偏差≤0.001</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9、LED路灯开关冲击不低于100000次测试后：光衰≤0.5%，LED路灯产品模组散热片表面温差≤3℃</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055F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盏</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0C94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750</w:t>
            </w:r>
          </w:p>
        </w:tc>
      </w:tr>
      <w:tr w14:paraId="6F1C4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4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6BEC1">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5</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80291">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150WLED灯具</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D73C3">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1、功率150W</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2、灯体采用压铸、拉伸铝外壳</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3、整灯光效≥150LM/W，灯具防护等级≥IP65，显色指数Ra≥70</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4、防风等级大于50M/s，防眩光等级G4</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5、色温：3000K;3000小时光通维持率≥95%、耐盐雾</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6、模组在低温-50℃±2℃，高温85℃±2℃环境下，暴露持续时间10min，温度变化速率5℃±1℃/min，循环200次，样品外观无损坏且功能正常</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7、LED光源模组在温度85℃、湿度85%RH额定电应力条件稳态工作800小时，灯具正常工作</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8、LED路灯荧光紫外灯1A型（UVA-340）进行大于200次循2000小时及以上紫外老化试验，测试验后，光通维持率＞95%，色温偏差≤15K，显指偏差≤0.2，色容差偏差≤0.2，色坐标偏差≤0.001</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9、LED路灯开关冲击不低于100000次测试后：光衰≤0.5%，LED路灯产品模组散热片表面温差≤3℃</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91BC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盏</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41F8B">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1070</w:t>
            </w:r>
          </w:p>
        </w:tc>
      </w:tr>
      <w:tr w14:paraId="53D0E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89"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B979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6</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DB80A">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100WLED投光灯</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0D6F5">
            <w:pPr>
              <w:keepNext w:val="0"/>
              <w:keepLines w:val="0"/>
              <w:widowControl/>
              <w:numPr>
                <w:ilvl w:val="0"/>
                <w:numId w:val="2"/>
              </w:numPr>
              <w:suppressLineNumbers w:val="0"/>
              <w:jc w:val="both"/>
              <w:textAlignment w:val="center"/>
              <w:rPr>
                <w:rFonts w:hint="eastAsia" w:ascii="宋体" w:hAnsi="宋体" w:eastAsia="宋体" w:cs="宋体"/>
                <w:b w:val="0"/>
                <w:bCs w:val="0"/>
                <w:i w:val="0"/>
                <w:iCs w:val="0"/>
                <w:color w:val="auto"/>
                <w:kern w:val="0"/>
                <w:sz w:val="21"/>
                <w:szCs w:val="21"/>
                <w:highlight w:val="none"/>
                <w:u w:val="none"/>
                <w:lang w:val="en-US" w:eastAsia="zh-CN" w:bidi="ar"/>
              </w:rPr>
            </w:pPr>
            <w:r>
              <w:rPr>
                <w:rFonts w:hint="eastAsia" w:ascii="宋体" w:hAnsi="宋体" w:eastAsia="宋体" w:cs="宋体"/>
                <w:b w:val="0"/>
                <w:bCs w:val="0"/>
                <w:i w:val="0"/>
                <w:iCs w:val="0"/>
                <w:color w:val="auto"/>
                <w:kern w:val="0"/>
                <w:sz w:val="21"/>
                <w:szCs w:val="21"/>
                <w:highlight w:val="none"/>
                <w:u w:val="none"/>
                <w:lang w:val="en-US" w:eastAsia="zh-CN" w:bidi="ar"/>
              </w:rPr>
              <w:t>型号LED</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2、参数100W</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（1）道路照明设计标准</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1.平均照度不低于20LX</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2.平均照度不低于1.5cd平方米</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3.照度均匀度不低于0.8</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4.亮度均匀度不低于0.6</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5.机动车交通道路的照明功率密度值为0.7w/m2</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6.眩光阀值不大于8%</w:t>
            </w:r>
          </w:p>
          <w:p w14:paraId="096F1A59">
            <w:pPr>
              <w:keepNext w:val="0"/>
              <w:keepLines w:val="0"/>
              <w:widowControl/>
              <w:numPr>
                <w:ilvl w:val="0"/>
                <w:numId w:val="3"/>
              </w:numPr>
              <w:suppressLineNumbers w:val="0"/>
              <w:jc w:val="both"/>
              <w:textAlignment w:val="center"/>
              <w:rPr>
                <w:rFonts w:hint="eastAsia" w:ascii="宋体" w:hAnsi="宋体" w:eastAsia="宋体" w:cs="宋体"/>
                <w:b w:val="0"/>
                <w:bCs w:val="0"/>
                <w:i w:val="0"/>
                <w:iCs w:val="0"/>
                <w:color w:val="auto"/>
                <w:kern w:val="0"/>
                <w:sz w:val="21"/>
                <w:szCs w:val="21"/>
                <w:highlight w:val="none"/>
                <w:u w:val="none"/>
                <w:lang w:val="en-US" w:eastAsia="zh-CN" w:bidi="ar"/>
              </w:rPr>
            </w:pPr>
            <w:r>
              <w:rPr>
                <w:rFonts w:hint="eastAsia" w:ascii="宋体" w:hAnsi="宋体" w:eastAsia="宋体" w:cs="宋体"/>
                <w:b w:val="0"/>
                <w:bCs w:val="0"/>
                <w:i w:val="0"/>
                <w:iCs w:val="0"/>
                <w:color w:val="auto"/>
                <w:kern w:val="0"/>
                <w:sz w:val="21"/>
                <w:szCs w:val="21"/>
                <w:highlight w:val="none"/>
                <w:u w:val="none"/>
                <w:lang w:val="en-US" w:eastAsia="zh-CN" w:bidi="ar"/>
              </w:rPr>
              <w:t>周边照度系数不低于0.5</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8.灯具光通量不低于12000Lm</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9.防护等级不低于IP 65</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10.光源使用寿命:不低于60000小时(亮度维持率70%)</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11.系统光效:不低于960m/w</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（2）LED投光灯主要技术规格及指标特征描述：</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1.模组独立化设计，便捷组装拆卸；</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2.模组尺寸国标化，通用性强，组配灵活；</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3.全功率自由系列化；</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4.整体结构采用国标铝合金材质；</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5.透镜采用高透光PC材质；</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6.灯体多道防震结构，具有较强的抗碰撞和冲击力；</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7.散热器表面处理采用阳极氧化工艺处理，堵头及背盖采用高科技环保喷涂处理；</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8.光源组成：大功率模组式单颗1W1颗LED白色发光管；</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9.恒流电源采用有浪涌保护，浪涌电压10KV；芯片采用品牌单颗芯片封装；</w:t>
            </w:r>
          </w:p>
          <w:p w14:paraId="781F5BB4">
            <w:pPr>
              <w:keepNext w:val="0"/>
              <w:keepLines w:val="0"/>
              <w:widowControl/>
              <w:numPr>
                <w:ilvl w:val="0"/>
                <w:numId w:val="4"/>
              </w:numPr>
              <w:suppressLineNumbers w:val="0"/>
              <w:jc w:val="both"/>
              <w:textAlignment w:val="center"/>
              <w:rPr>
                <w:rFonts w:hint="eastAsia" w:ascii="宋体" w:hAnsi="宋体" w:eastAsia="宋体" w:cs="宋体"/>
                <w:b w:val="0"/>
                <w:bCs w:val="0"/>
                <w:i w:val="0"/>
                <w:iCs w:val="0"/>
                <w:color w:val="auto"/>
                <w:kern w:val="0"/>
                <w:sz w:val="21"/>
                <w:szCs w:val="21"/>
                <w:highlight w:val="none"/>
                <w:u w:val="none"/>
                <w:lang w:val="en-US" w:eastAsia="zh-CN" w:bidi="ar"/>
              </w:rPr>
            </w:pPr>
            <w:r>
              <w:rPr>
                <w:rFonts w:hint="eastAsia" w:ascii="宋体" w:hAnsi="宋体" w:eastAsia="宋体" w:cs="宋体"/>
                <w:b w:val="0"/>
                <w:bCs w:val="0"/>
                <w:i w:val="0"/>
                <w:iCs w:val="0"/>
                <w:color w:val="auto"/>
                <w:kern w:val="0"/>
                <w:sz w:val="21"/>
                <w:szCs w:val="21"/>
                <w:highlight w:val="none"/>
                <w:u w:val="none"/>
                <w:lang w:val="en-US" w:eastAsia="zh-CN" w:bidi="ar"/>
              </w:rPr>
              <w:t>色温≥4000-5000k；</w:t>
            </w:r>
          </w:p>
          <w:p w14:paraId="472C960A">
            <w:pPr>
              <w:keepNext w:val="0"/>
              <w:keepLines w:val="0"/>
              <w:widowControl/>
              <w:numPr>
                <w:ilvl w:val="0"/>
                <w:numId w:val="4"/>
              </w:numPr>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发热量：光源温度＜60°；</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12.灯具外壳为压铸铝防腐蚀性能：Ⅱ类；</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13.灯具结构满足抗风系数的要求；</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14.10串20并组成模组；</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6894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16F1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730</w:t>
            </w:r>
          </w:p>
        </w:tc>
      </w:tr>
      <w:tr w14:paraId="0F097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48"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E502A">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7</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379D5">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200WLED投光灯</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800DF">
            <w:pPr>
              <w:keepNext w:val="0"/>
              <w:keepLines w:val="0"/>
              <w:widowControl/>
              <w:numPr>
                <w:ilvl w:val="0"/>
                <w:numId w:val="5"/>
              </w:numPr>
              <w:suppressLineNumbers w:val="0"/>
              <w:jc w:val="both"/>
              <w:textAlignment w:val="center"/>
              <w:rPr>
                <w:rFonts w:hint="eastAsia" w:ascii="宋体" w:hAnsi="宋体" w:eastAsia="宋体" w:cs="宋体"/>
                <w:b w:val="0"/>
                <w:bCs w:val="0"/>
                <w:i w:val="0"/>
                <w:iCs w:val="0"/>
                <w:color w:val="auto"/>
                <w:kern w:val="0"/>
                <w:sz w:val="21"/>
                <w:szCs w:val="21"/>
                <w:highlight w:val="none"/>
                <w:u w:val="none"/>
                <w:lang w:val="en-US" w:eastAsia="zh-CN" w:bidi="ar"/>
              </w:rPr>
            </w:pPr>
            <w:r>
              <w:rPr>
                <w:rFonts w:hint="eastAsia" w:ascii="宋体" w:hAnsi="宋体" w:eastAsia="宋体" w:cs="宋体"/>
                <w:b w:val="0"/>
                <w:bCs w:val="0"/>
                <w:i w:val="0"/>
                <w:iCs w:val="0"/>
                <w:color w:val="auto"/>
                <w:kern w:val="0"/>
                <w:sz w:val="21"/>
                <w:szCs w:val="21"/>
                <w:highlight w:val="none"/>
                <w:u w:val="none"/>
                <w:lang w:val="en-US" w:eastAsia="zh-CN" w:bidi="ar"/>
              </w:rPr>
              <w:t>型号LED</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2、参数200W</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（1）道路照明设计标准</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1.平均照度不低于20LX</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2.平均照度不低于1.5cd平方米</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3.照度均匀度不低于0.8</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4.亮度均匀度不低于0.6</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5.机动车交通道路的照明功率密度值为0.7w/m2</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6.眩光阀值不大于8%</w:t>
            </w:r>
          </w:p>
          <w:p w14:paraId="2DFBA38A">
            <w:pPr>
              <w:keepNext w:val="0"/>
              <w:keepLines w:val="0"/>
              <w:widowControl/>
              <w:numPr>
                <w:ilvl w:val="0"/>
                <w:numId w:val="4"/>
              </w:numPr>
              <w:suppressLineNumbers w:val="0"/>
              <w:jc w:val="both"/>
              <w:textAlignment w:val="center"/>
              <w:rPr>
                <w:rFonts w:hint="eastAsia" w:ascii="宋体" w:hAnsi="宋体" w:eastAsia="宋体" w:cs="宋体"/>
                <w:b w:val="0"/>
                <w:bCs w:val="0"/>
                <w:i w:val="0"/>
                <w:iCs w:val="0"/>
                <w:color w:val="auto"/>
                <w:kern w:val="0"/>
                <w:sz w:val="21"/>
                <w:szCs w:val="21"/>
                <w:highlight w:val="none"/>
                <w:u w:val="none"/>
                <w:lang w:val="en-US" w:eastAsia="zh-CN" w:bidi="ar"/>
              </w:rPr>
            </w:pPr>
            <w:r>
              <w:rPr>
                <w:rFonts w:hint="eastAsia" w:ascii="宋体" w:hAnsi="宋体" w:eastAsia="宋体" w:cs="宋体"/>
                <w:b w:val="0"/>
                <w:bCs w:val="0"/>
                <w:i w:val="0"/>
                <w:iCs w:val="0"/>
                <w:color w:val="auto"/>
                <w:kern w:val="0"/>
                <w:sz w:val="21"/>
                <w:szCs w:val="21"/>
                <w:highlight w:val="none"/>
                <w:u w:val="none"/>
                <w:lang w:val="en-US" w:eastAsia="zh-CN" w:bidi="ar"/>
              </w:rPr>
              <w:t>7.周边照度系数不低于0.5</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8.灯具光通量不低于12000Lm</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9.防护等级不低于IP 65</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10.光源使用寿命:不低于60000小时(亮度维持率70%)</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11.系统光效:不低于960m/w</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（2）LED投光灯主要技术规格及指标特征描述：</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1.模组独立化设计，便捷组装拆卸；</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2.模组尺寸国标化，通用性强，组配灵活；</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3.全功率自由系列化；</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4.整体结构采用国标铝合金材质；</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5.透镜采用高透光PC材质；</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6.灯体多道防震结构，具有较强的抗碰撞和冲击力；</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7.散热器表面处理采用阳极氧化工艺处理，堵头及背盖采用高科技环保喷涂处理；</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8.光源组成：大功率模组式单颗1W1颗LED白色发光管；</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9.恒流电源采用有浪涌保护，浪涌电压10KV；芯片采用品牌单颗芯片封装；</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10.色温≥4000-5000k；</w:t>
            </w:r>
          </w:p>
          <w:p w14:paraId="63DDD423">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11.发热量：光源温度＜60°；</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12.灯具外壳为压铸铝防腐蚀性能：Ⅱ类；</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13.灯具结构满足抗风系数的要求；</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14.10串20并组成模组；</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8D5F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97032">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1335</w:t>
            </w:r>
          </w:p>
        </w:tc>
      </w:tr>
      <w:tr w14:paraId="39265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95A8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8</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3B70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电缆铜芯线</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545C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YJV5*16</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53A6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米</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AA075">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80</w:t>
            </w:r>
          </w:p>
        </w:tc>
      </w:tr>
      <w:tr w14:paraId="0DAB1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D0AF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9</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B18A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电缆铜芯线</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20FF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YJV5*10</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2FE9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米</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0C57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48</w:t>
            </w:r>
          </w:p>
        </w:tc>
      </w:tr>
      <w:tr w14:paraId="221FD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B545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B9A4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电缆铜芯线</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B033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YJV3*6</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EAC6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米</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98A9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22</w:t>
            </w:r>
          </w:p>
        </w:tc>
      </w:tr>
      <w:tr w14:paraId="786A8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1423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11</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3B40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护套线</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4411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BVVB2*1.5</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F14AB">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米</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9BBD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3.5</w:t>
            </w:r>
          </w:p>
        </w:tc>
      </w:tr>
      <w:tr w14:paraId="3E044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9CF3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12</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E2625">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护套线</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1CBCB">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BVVB2*2.5</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AD17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米</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480D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5</w:t>
            </w:r>
          </w:p>
        </w:tc>
      </w:tr>
      <w:tr w14:paraId="2BA88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3A05D">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13</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4C0B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护套线</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C8A3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BVVB2*4</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A6CE2">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米</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8BF0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8</w:t>
            </w:r>
          </w:p>
        </w:tc>
      </w:tr>
      <w:tr w14:paraId="5BBB6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D54D1">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14</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89E4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路灯经纬仪智能控制器</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B72F5">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SDK-7AC 220V</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33A8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7A15A">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300</w:t>
            </w:r>
          </w:p>
        </w:tc>
      </w:tr>
      <w:tr w14:paraId="6372F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81"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51F8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15</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4F2F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路灯远程终端模块</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8F9E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1、投标人所投路灯智能照明控制终端相关设备，须与现有的德兴市路灯监控系统兼容，实现数据共享和统一管理。发放中标通知书前，需要进行终端相关设备与平台的兼容性测试（</w:t>
            </w:r>
            <w:r>
              <w:rPr>
                <w:rFonts w:hint="eastAsia" w:cs="宋体"/>
                <w:b w:val="0"/>
                <w:bCs w:val="0"/>
                <w:i w:val="0"/>
                <w:iCs w:val="0"/>
                <w:color w:val="auto"/>
                <w:kern w:val="0"/>
                <w:sz w:val="21"/>
                <w:szCs w:val="21"/>
                <w:highlight w:val="none"/>
                <w:u w:val="none"/>
                <w:lang w:val="en-US" w:eastAsia="zh-CN" w:bidi="ar"/>
              </w:rPr>
              <w:t>投标人</w:t>
            </w:r>
            <w:r>
              <w:rPr>
                <w:rFonts w:hint="eastAsia" w:ascii="宋体" w:hAnsi="宋体" w:eastAsia="宋体" w:cs="宋体"/>
                <w:b w:val="0"/>
                <w:bCs w:val="0"/>
                <w:i w:val="0"/>
                <w:iCs w:val="0"/>
                <w:color w:val="auto"/>
                <w:kern w:val="0"/>
                <w:sz w:val="21"/>
                <w:szCs w:val="21"/>
                <w:highlight w:val="none"/>
                <w:u w:val="none"/>
                <w:lang w:val="en-US" w:eastAsia="zh-CN" w:bidi="ar"/>
              </w:rPr>
              <w:t>须响应且提供承诺函）</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2、①交流模拟量输入接口：6回路电压信号：0-300VAC。</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②12路回路电流信号：0-5A/AC；可扩至48路。</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③交流模拟量采集精度：≤满量程的1%。</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④开关量输入接口：16路通断信号。</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⑤开关量输出接口：8路触点输出（驱动能力30A/250VAC）。</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⑥断电后终端维持运行时间≥8h。</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⑦具备RS485通信，可远程抄表。</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⑧串口波特率300bps~115200bps。</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⑨通信方式：4G/GPRS/CDMA可选。</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⑩三相供电；工作温度：-40～+70℃，相对湿度：0～100%。</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⑪模块化设计，可带电插拔，外形尺寸需根据现场情况定制。</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⑫终端具体定位功能，以太网通讯功能，设备具备抗静电放电功能。</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⑬具备抗浪涌（冲击）功能。</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⑭支持JTAG现场升级</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⑮编址能力：1~9999</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3、符合GB/T 2423.1-2008、GB/T 2423.2-2008、GB/T 2423.3-2016、GB 4943.1-2011等标准</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3240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2C752">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2800</w:t>
            </w:r>
          </w:p>
        </w:tc>
      </w:tr>
      <w:tr w14:paraId="69A32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49"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E362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16</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F189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太阳能一体化灯具</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2F27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1、型号:LED</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2、功率:60w</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3、18V、90W单晶电池板</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4、24AH三元锂电池</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5、12V、10A太阳能控制器</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6、含地笼</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B896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E22E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1250</w:t>
            </w:r>
          </w:p>
        </w:tc>
      </w:tr>
      <w:tr w14:paraId="1C4FA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49"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EA01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17</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F302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太阳能分体路灯</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7260D">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1、型号LED</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2、参数60W</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3、120W单晶太阳能电池板</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4、48AH3元锂电池</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5、12V、10A太阳能控制器</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6、含地笼</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BB59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C7F7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1400</w:t>
            </w:r>
          </w:p>
        </w:tc>
      </w:tr>
      <w:tr w14:paraId="5CCCD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1"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A611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18</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EFA1A">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6米路灯杆</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F426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1、高度：6m</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2、上口径60mm、下口径140mm、壁厚4.0mm、底座（边长260mm、厚度12mm）</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3、杆行整体热镀锌（表面喷塑），镀层平均厚度70μm</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31E2D">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6AA1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1300</w:t>
            </w:r>
          </w:p>
        </w:tc>
      </w:tr>
      <w:tr w14:paraId="061DB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9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697C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19</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6A572">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庭院灯灯具</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02693">
            <w:pPr>
              <w:keepNext w:val="0"/>
              <w:keepLines w:val="0"/>
              <w:widowControl/>
              <w:numPr>
                <w:ilvl w:val="0"/>
                <w:numId w:val="6"/>
              </w:numPr>
              <w:suppressLineNumbers w:val="0"/>
              <w:jc w:val="both"/>
              <w:textAlignment w:val="center"/>
              <w:rPr>
                <w:rFonts w:hint="eastAsia" w:ascii="宋体" w:hAnsi="宋体" w:eastAsia="宋体" w:cs="宋体"/>
                <w:b w:val="0"/>
                <w:bCs w:val="0"/>
                <w:i w:val="0"/>
                <w:iCs w:val="0"/>
                <w:color w:val="auto"/>
                <w:kern w:val="0"/>
                <w:sz w:val="21"/>
                <w:szCs w:val="21"/>
                <w:highlight w:val="none"/>
                <w:u w:val="none"/>
                <w:lang w:val="en-US" w:eastAsia="zh-CN" w:bidi="ar"/>
              </w:rPr>
            </w:pPr>
            <w:r>
              <w:rPr>
                <w:rFonts w:hint="eastAsia" w:ascii="宋体" w:hAnsi="宋体" w:eastAsia="宋体" w:cs="宋体"/>
                <w:b w:val="0"/>
                <w:bCs w:val="0"/>
                <w:i w:val="0"/>
                <w:iCs w:val="0"/>
                <w:color w:val="auto"/>
                <w:kern w:val="0"/>
                <w:sz w:val="21"/>
                <w:szCs w:val="21"/>
                <w:highlight w:val="none"/>
                <w:u w:val="none"/>
                <w:lang w:val="en-US" w:eastAsia="zh-CN" w:bidi="ar"/>
              </w:rPr>
              <w:t>型号:LED</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2、功率:80w</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3、符合CSA016模组标准，灯头为铝合金一次性压铸成型，密封良好，LED芯片采用单颗芯片结构，每颗芯片功率：1W，1W光通量最少120LM</w:t>
            </w:r>
          </w:p>
          <w:p w14:paraId="666D6CB6">
            <w:pPr>
              <w:keepNext w:val="0"/>
              <w:keepLines w:val="0"/>
              <w:widowControl/>
              <w:numPr>
                <w:ilvl w:val="0"/>
                <w:numId w:val="7"/>
              </w:numPr>
              <w:suppressLineNumbers w:val="0"/>
              <w:jc w:val="both"/>
              <w:textAlignment w:val="center"/>
              <w:rPr>
                <w:rFonts w:hint="eastAsia" w:ascii="宋体" w:hAnsi="宋体" w:eastAsia="宋体" w:cs="宋体"/>
                <w:b w:val="0"/>
                <w:bCs w:val="0"/>
                <w:i w:val="0"/>
                <w:iCs w:val="0"/>
                <w:color w:val="auto"/>
                <w:kern w:val="0"/>
                <w:sz w:val="21"/>
                <w:szCs w:val="21"/>
                <w:highlight w:val="none"/>
                <w:u w:val="none"/>
                <w:lang w:val="en-US" w:eastAsia="zh-CN" w:bidi="ar"/>
              </w:rPr>
            </w:pPr>
            <w:r>
              <w:rPr>
                <w:rFonts w:hint="eastAsia" w:ascii="宋体" w:hAnsi="宋体" w:eastAsia="宋体" w:cs="宋体"/>
                <w:b w:val="0"/>
                <w:bCs w:val="0"/>
                <w:i w:val="0"/>
                <w:iCs w:val="0"/>
                <w:color w:val="auto"/>
                <w:kern w:val="0"/>
                <w:sz w:val="21"/>
                <w:szCs w:val="21"/>
                <w:highlight w:val="none"/>
                <w:u w:val="none"/>
                <w:lang w:val="en-US" w:eastAsia="zh-CN" w:bidi="ar"/>
              </w:rPr>
              <w:t>使用寿命：≥50000小时，显色指数：≥85%，功率因数：≥0.95</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5、防触电保护类别：I类</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6、防护等级：IP65</w:t>
            </w:r>
          </w:p>
          <w:p w14:paraId="55E91E12">
            <w:pPr>
              <w:keepNext w:val="0"/>
              <w:keepLines w:val="0"/>
              <w:widowControl/>
              <w:numPr>
                <w:ilvl w:val="0"/>
                <w:numId w:val="0"/>
              </w:numPr>
              <w:suppressLineNumbers w:val="0"/>
              <w:jc w:val="both"/>
              <w:textAlignment w:val="center"/>
              <w:rPr>
                <w:rFonts w:hint="eastAsia" w:ascii="宋体" w:hAnsi="宋体" w:eastAsia="宋体" w:cs="宋体"/>
                <w:b w:val="0"/>
                <w:bCs w:val="0"/>
                <w:i w:val="0"/>
                <w:iCs w:val="0"/>
                <w:color w:val="auto"/>
                <w:kern w:val="0"/>
                <w:sz w:val="21"/>
                <w:szCs w:val="21"/>
                <w:highlight w:val="none"/>
                <w:u w:val="none"/>
                <w:lang w:val="en-US" w:eastAsia="zh-CN" w:bidi="ar"/>
              </w:rPr>
            </w:pPr>
            <w:r>
              <w:rPr>
                <w:rFonts w:hint="eastAsia" w:ascii="宋体" w:hAnsi="宋体" w:eastAsia="宋体" w:cs="宋体"/>
                <w:b w:val="0"/>
                <w:bCs w:val="0"/>
                <w:i w:val="0"/>
                <w:iCs w:val="0"/>
                <w:color w:val="auto"/>
                <w:kern w:val="0"/>
                <w:sz w:val="21"/>
                <w:szCs w:val="21"/>
                <w:highlight w:val="none"/>
                <w:u w:val="none"/>
                <w:lang w:val="en-US" w:eastAsia="zh-CN" w:bidi="ar"/>
              </w:rPr>
              <w:t>7、灯具尺寸：壁厚1.5mm、热镀锌板，功率：80W，尺寸210×210×2500mm.高度2500mm，灯罩：压克力</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8、灯具执行标准：GB/T24907-2010、GB/T17743-2017、GB/T17625.1-2012</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GB/T18595-2014、GB/T17625.5-2019、GB/T17625.5-2019、GB 7000.1-2015、GB 7000.203-2013</w:t>
            </w:r>
          </w:p>
          <w:p w14:paraId="2C4F1C1D">
            <w:pPr>
              <w:keepNext w:val="0"/>
              <w:keepLines w:val="0"/>
              <w:widowControl/>
              <w:numPr>
                <w:ilvl w:val="0"/>
                <w:numId w:val="0"/>
              </w:numPr>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9、LED光源为模块安装，与电源的结合没有任何焊点，插拔式连接，方便LED光源的替换维护和升级换代。</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503E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40DB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1700</w:t>
            </w:r>
          </w:p>
        </w:tc>
      </w:tr>
      <w:tr w14:paraId="16727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26FC1">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20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87B8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不碎球</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1F83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1、规格：350mm</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2、最大瓦数：0-20W（含）</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3、电压：≤36V</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4、最大照射面积：20m2及以上</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00475">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8B6AB">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30</w:t>
            </w:r>
          </w:p>
        </w:tc>
      </w:tr>
      <w:tr w14:paraId="06624C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DD86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21</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6DF9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球泡</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D8AB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1、LED</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2、18W色温3000K-6000K</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3、灯头类型弯矩符合GB16843-2008要求</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4、灯头抗扭矩机械强度符合GB24906-20109.1要求。</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5、黄光、白光等颜色，根据实际需求供货</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8DE6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BFFD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35</w:t>
            </w:r>
          </w:p>
        </w:tc>
      </w:tr>
      <w:tr w14:paraId="418A4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24C1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22</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F1145">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球泡</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890F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1、LED</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2、28W色温6000K</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3、灯头类型弯矩符合GB16843-2008要求</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4、灯头抗扭矩机械强度符合GB24906-20109.1要求。</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5、黄光、白光等颜色，根据实际需求供货</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196C2">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748E1">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45</w:t>
            </w:r>
          </w:p>
        </w:tc>
      </w:tr>
      <w:tr w14:paraId="3F146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07042">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23</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FFC5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绝缘胶布</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99DE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1、PVC电工胶布</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2、无铅600V</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3、防潮耐酸碱</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4、颜色：黑色</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5、规格：18mm*10m*0.13mm</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A7DB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卷</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BB27A">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3.5</w:t>
            </w:r>
          </w:p>
        </w:tc>
      </w:tr>
      <w:tr w14:paraId="740AE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B9AB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24</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6BCB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镀锌钢管∅50</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993A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1、公称外径：50mm</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2、壁厚（国标）：3.5mm（允许偏差±0.3mm）</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3、材质：Q235B低碳钢（热镀锌处理）</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4、连接方式：螺纹连接/法兰连接</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31A0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米</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BE79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30</w:t>
            </w:r>
          </w:p>
        </w:tc>
      </w:tr>
      <w:tr w14:paraId="69001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C2BD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25</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13EC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镀锌钢管∅32</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3498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1、公称外径：32mm</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2、壁厚（国标）：3.2mm（允许偏差±0.3mm）</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3、材质：Q235B低碳钢（热镀锌处理）</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4、连接方式：螺纹连接/法兰连接</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DC8C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米</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964F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20</w:t>
            </w:r>
          </w:p>
        </w:tc>
      </w:tr>
      <w:tr w14:paraId="608EE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A359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26</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BB00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瓷灯头</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564C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E27</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C701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只</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4847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8</w:t>
            </w:r>
          </w:p>
        </w:tc>
      </w:tr>
      <w:tr w14:paraId="0AB4F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2C5A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27</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837B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150WLED路灯模组</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（含电源）</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778A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1、基础性能：额定功率150W（偏差±5%），适配主流路灯壳体，执行GB 7000.1、GB 19573等核心国标。</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2、光源性能：SMD 5050灯珠（晶元芯片），光效≥135lm/W、总光通量≥20250lm，Ra≥75，3万小时光衰≤15%，寿命≥5万小时。</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3、内置电源：AC 85-265V宽压，转换效率≥92%（二级能效），带过压/过流/过温等保护，避免电网波动损坏。</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4、安全防护：IP67防水（-30℃~+60℃可用），阻燃V-0级外壳，绝缘电阻≥100MΩ，AC 3750V耐压无击穿，EMC符合GB 17743。</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45115">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A118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800</w:t>
            </w:r>
          </w:p>
        </w:tc>
      </w:tr>
      <w:tr w14:paraId="67536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31E3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28</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EFB6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铝护套线</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94E9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BLVVB 2×2.5mm²‌</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FEBFD">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米</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72702">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3.5</w:t>
            </w:r>
          </w:p>
        </w:tc>
      </w:tr>
      <w:tr w14:paraId="7527D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A12A3">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29</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B8415">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铝护套线</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B463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BLVVB 2×4mm²‌</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EA2FD">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米</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914D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5</w:t>
            </w:r>
          </w:p>
        </w:tc>
      </w:tr>
      <w:tr w14:paraId="0A7F5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4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C7CB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F84EA">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塑壳断路器</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A07ED">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1、基础规格：外壳为UL94 V-0级阻燃塑料，适配AC 50/60Hz电路，额定电流常见10A-250A，额定电压多为AC 230V/400V，分断能力（Icu）分10kA、15kA、25kA等，用于家庭、工业低压配电（AC 380V以下）。</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2、核心保护：标配过载保护（反时限，过载越大跳闸越快）、短路保护（瞬时跳闸，短路电流达额定5-10倍触发）；部分带漏电保护（剩余动作电流≤30mA，动作时间≤0.1s，符合GB 16917），防设备烧毁、触电。</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3、关键性能：额定运行短路分断能力（Ics）为极限分断能力（Icu）的50%-100%，电寿命≥10000次、机械寿命≥20000次，工作温度-25℃~+60℃，防护等级IP20，支持导轨或螺钉安装。</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50AC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个</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9520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550</w:t>
            </w:r>
          </w:p>
        </w:tc>
      </w:tr>
      <w:tr w14:paraId="66F7A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7901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31</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AF4F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玉兰灯灯罩</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36131">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1、材质：具有耐高温、抗老化、透光率高（不低于90%）等特点，能保证灯罩的使用寿命和透光效果。</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2、外形：玉兰花造型，外观有光洁度，常见尺寸有直径300mm，高度有52cm、60cm、72cm等多种规格，部分灯罩带有花瓣装饰，使灯具更具美观性。</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3、性能：具有防眩光功能，能为行人和车辆提供舒适的视觉环境，整灯防护等级≥IP65，可适应户外各种恶劣环境。</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4、安装方式：通过旋转、推动或螺丝固定等方式安装在灯具上，一些镶嵌式灯罩则通过弹簧卡入灯座的弹簧槽内进行固定。</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209A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74F13">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150</w:t>
            </w:r>
          </w:p>
        </w:tc>
      </w:tr>
      <w:tr w14:paraId="6F853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2C3C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32</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F21EB">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锂电锤</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015C2">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适配GB 3883.1，常见18V/20V电池，冲击频率≥3000次/分钟，钻孔直径混凝土≤26mm、钢材≤13mm，带安全离合防打手，便携用于户外安装钻孔。</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5A55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把</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30AC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800</w:t>
            </w:r>
          </w:p>
        </w:tc>
      </w:tr>
      <w:tr w14:paraId="21AF2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B7AF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33</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1D9A5">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锂切割机</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D485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18V/20V供电，切割片直径115mm/125mm，空载转速≥12000转/分钟，切深钢材≤38mm、木材≤45mm，带防尘罩，适配金属/建材切割。</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045BB">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把</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4CE05">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500</w:t>
            </w:r>
          </w:p>
        </w:tc>
      </w:tr>
      <w:tr w14:paraId="3976A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6F80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34</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4409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锂电动扳手</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1F35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18V/20V电池，最大扭矩≥300N・m，空载转速≥2800转/分钟，支持正反转，带扭矩调节，用于路灯支架、螺栓快速拆装。</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AFB6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把</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308D3">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500</w:t>
            </w:r>
          </w:p>
        </w:tc>
      </w:tr>
      <w:tr w14:paraId="7AFCA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2CCA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35</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4F20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膨胀螺丝8mm</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AD8F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螺纹8mm，总长60-100mm，膨胀管外径12mm；钻孔10mm，C20混凝土抗拉≥1.8kN、抗剪≥1.2kN；配螺杆、膨胀管、垫圈、螺母，碳钢/304不锈钢材质。</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4008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629A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1.8</w:t>
            </w:r>
          </w:p>
        </w:tc>
      </w:tr>
      <w:tr w14:paraId="3EC0F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19BB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36</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D051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膨胀螺丝12mm</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B3E6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螺纹12mm，总长80-120mm，膨胀管外径18mm；钻孔14mm，C20混凝土抗拉≥4.5kN、抗剪≥3.0kN；配全套配件，碳钢/304不锈钢材质。</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384B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C3B2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w:t>
            </w:r>
          </w:p>
        </w:tc>
      </w:tr>
      <w:tr w14:paraId="2D17B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36DE1">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37</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FBBC5">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膨胀螺丝14mm</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2D22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螺纹14mm，总长100-150mm，膨胀管外径20mm；钻孔16mm，C20混凝土抗拉≥6.0kN、抗剪≥4.0kN；配全套配件，碳钢/304不锈钢材质。</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9EFF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142D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3.6</w:t>
            </w:r>
          </w:p>
        </w:tc>
      </w:tr>
      <w:tr w14:paraId="21644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A6D5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38</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9863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交流接触器20A</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1D39D">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1、基本规格：极数：3极；额定绝缘电压Ui：690V；约定发热电流Ith：≥20A；额定工作电压Ue：AC 220V/380V</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2、性能参数：分断能力：≥1000A；机械寿命：≥1000万次；电寿命：≥60万次；吸合电压：85%-110%Ue，释放电压：20%-75%Ue</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3、结构与安装：外形尺寸（长×宽×高）：约70mm×50mm×90mm；安装方式：35mm导轨安装/螺钉安装</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4、防护等级：IP20</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EFEB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个</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9B815">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150</w:t>
            </w:r>
          </w:p>
        </w:tc>
      </w:tr>
      <w:tr w14:paraId="2C55E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83A25">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39</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6C9D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交流接触器40A</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8476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1、基本规格：极数：3极；额定绝缘电压Ui：690V；约定发热电流Ith：≥40A；额定工作电压Ue：AC 220V/380V</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2、性能参数：分断能力：≥2500A；机械寿命：≥1000万次；电寿命：≥60万次；吸合电压：85%-110%Ue，释放电压：20%-75%Ue</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3、结构与安装：外形尺寸（长×宽×高）：约90mm×60mm×110mm；安装方式：35mm导轨安装/螺钉安装</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4、防护等级：IP20</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0215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个</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2117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245</w:t>
            </w:r>
          </w:p>
        </w:tc>
      </w:tr>
      <w:tr w14:paraId="72B9A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2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0820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40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C18A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交流接触器63A</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C715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1、基本规格：极数：3极；额定绝缘电压Ui：690V；约定发热电流Ith：≥63A；额定工作电压Ue：AC 220V/380V</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2、性能参数：分断能力：分断能力：≥4000A；机械寿命：≥1000万次；电寿命：≥60万次；吸合电压：85%-110%Ue，释放电压：20%-75%Ue</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3、外形尺寸（长×宽×高）：约110mm×70mm×130mm；安装方式：35mm导轨安装/螺钉安装</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4、防护等级：IP20</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C156A">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个</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F0B2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330</w:t>
            </w:r>
          </w:p>
        </w:tc>
      </w:tr>
      <w:tr w14:paraId="0EF6A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4DAB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41</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BAA4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交流接触器100A</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8120B">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1、基本规格：极数：3 极；额定绝缘电压 Ui：690V；约定发热电流 Ith：≥100A；额定工作电压 Ue：AC 220V/380V</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2、性能参数：分断能力：≥6300A；机械寿命：≥1000 万次；电寿命：≥60 万次；吸合电压：85%-110% Ue，释放电压：20%-75% Ue</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3、外形尺寸（长 × 宽 × 高）：约130mm×85mm×150mm；安装方式：35mm导轨安装/螺钉安装</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4、防护等级：IP20</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ED2C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个</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E636B">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430</w:t>
            </w:r>
          </w:p>
        </w:tc>
      </w:tr>
      <w:tr w14:paraId="5B435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1C6D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42</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920A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交流接触器160A</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95FE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1、基本规格：极数：3极；额定绝缘电压Ui：690V；约定发热电流Ith：≥160A；额定工作电压Ue：AC 220V/380V</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2、性能参数：分断能力：≥8000A；机械寿命：≥1000万次；电寿命：≥60万次；吸合电压：85%-110%Ue，释放电压：20%-75%Ue</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3、外形尺寸（长×宽×高）：约150mm×100mm×180mm；安装方式：35mm导轨安装/螺钉安装</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4、防护等级：IP20</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DD82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个</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CEAE2">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eastAsia="zh-CN"/>
              </w:rPr>
            </w:pPr>
            <w:r>
              <w:rPr>
                <w:rFonts w:hint="eastAsia" w:ascii="宋体" w:hAnsi="宋体" w:eastAsia="宋体" w:cs="宋体"/>
                <w:b w:val="0"/>
                <w:bCs w:val="0"/>
                <w:i w:val="0"/>
                <w:iCs w:val="0"/>
                <w:color w:val="auto"/>
                <w:sz w:val="21"/>
                <w:szCs w:val="21"/>
                <w:highlight w:val="none"/>
                <w:u w:val="none"/>
                <w:lang w:val="en-US" w:eastAsia="zh-CN"/>
              </w:rPr>
              <w:t>590</w:t>
            </w:r>
          </w:p>
        </w:tc>
      </w:tr>
      <w:tr w14:paraId="10944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3CC0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43</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9773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小型断路器</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6380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1、基础规格：额定电流63A，适配低压电路，外壳阻燃，防护等级IP20。</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2、核心保护：标配过载（反时限跳闸）、短路（瞬时跳闸）保护，避免电路过载或短路烧毁设备。</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3、关键性能：电寿命≥10000次，工作温度-25℃~+60℃，支持导轨安装，体积小巧适配配电箱。</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00C3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个</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8677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105</w:t>
            </w:r>
          </w:p>
        </w:tc>
      </w:tr>
      <w:tr w14:paraId="132CA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F23B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44</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39925">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仿古灯（亚克力板）</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BB87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1、材质：采用100%全新原生聚甲基丙烯酸甲酯（PMMA），即亚克力，符合GB/T 7134-2008标准要求，确保性能稳定。</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2、透光率：透光率高达92%以上，光线柔和均匀，使仿古灯照明效果佳，视觉清晰，能有效展现光源亮度。</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3、耐候性：抗紫外线等级≥4级，可在-30℃至70℃温度区间正常使用。正常户外环境下，3年内褪色不明显，10年后透光率下降≤10%，已完成10000小时快速老化试验，相当于户外使用20年。</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4、力学性能：拉伸强度≥70Mpa，拉伸弹性模量≥3100Mpa，洛氏硬度/M标尺≥98，维卡软化温度≥105℃，断裂伸长率≥4%，具备良好强度与韧性，不易变形、开裂。</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5、防火等级：阻燃等级达B2-E级，具备一定防火性能，降低使用安全风险。</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A356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套</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BC1D2">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60</w:t>
            </w:r>
          </w:p>
        </w:tc>
      </w:tr>
      <w:tr w14:paraId="2840E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2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F355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45</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C210A">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钳形电流表</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F565D">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1、基础规格：钳口量程AC 0-600A/1000A（常用款），分辨率0.1A，适配交流低压电路，钳口开口≥30mm，可夹单根Φ16mm以下线缆。</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2、测量性能：精度等级±2.5%（50/60Hz），支持交流电流、电压（AC 0-600V）双测，部分带电阻测量（0-200Ω），背光显示屏，暗处可读数。</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3、安全与便捷性：绝缘等级CAT III 600V，防误操作设计；体积小巧，钳口自动归零，一键锁定读数，适合户外带电检修。</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0ED2B">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个</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0A7B3">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250</w:t>
            </w:r>
          </w:p>
        </w:tc>
      </w:tr>
      <w:tr w14:paraId="7E04F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1349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46</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D988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路灯远程监控终端</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697A3">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1、数据采集模块</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1）开关量输入信号采集</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光电隔离，16路开关量输入信号采集，输入信号为不带电的“通”/“断”切换触点，12V电源驱动。</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2）交流电压、电流采集</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3路交流电压采集，范围：0～300VAC。</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12交流电流采集，范围：0～5A。</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采集精度：≤1%。</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2、电能计量模块</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测量精度：1%。</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3、开关量控制输出模块</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光电隔离，8路开关量输出，常开触点，负载能力AC 250V/30A。</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4、通信模块</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RS485通信（光电隔离），波特率1200～115200bps可选。</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7模全网通（2G、3G、4G）通信。</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通信地址：1～9999可设置。</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5、定位模块</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具备北斗卫星定位。定位精度3米以内，主动上报设备经纬度信息。</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6、断电参数保存与时钟</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断电数据保持时间为10年。</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时钟精度：误差≤0.12s/h，断电维持运行时间为10年。</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7、电源模块</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采用变压器式隔离电源，防止外部电源干扰与浪涌抗压。对地最大泄露电流不大于0.4mA，泄漏电流实测值不大于 5 μA。</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支持DC12V，AC220V，AC380V三种供电，交流三相四线供电，缺任一相可正常运行。额定电压：220V（±20％），频率：50Hz。</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功耗：≤20W。</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8、本地存储模块：</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本地存储功能：具有历史运行数据本地存储功能，可自动存储30天以上每10秒时间点的连续测量数据。</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9、漏电模块：</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监测范围：15mA—30000mA。</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测试精度：500mA以下±5mA，500mA—30000mA精度±1%。</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继电器输出响应时间：&lt;1s。</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10、环境条件</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工作温度：-40℃～70℃；相对湿度：0～90％。</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EFCB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台</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13F3D">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15000</w:t>
            </w:r>
          </w:p>
        </w:tc>
      </w:tr>
      <w:tr w14:paraId="4C239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5F73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47</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76DF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100WLED灯头电源</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953A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1、电气规格：符合GB 19510.14等标准，输入电压AC 90-305V，适配不同地区电网。功率100W，偏差控制在±5%。</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2、性能特性：转换效率达93%左右，减少能耗。内置主动式PFC，功率因数≥0.95，降低电网干扰。具备过流、过压、短路、过温保护，故障排除后自动恢复。</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3、物理参数：金属外壳，防护等级IP65，防水防尘，适应户外环境。</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2EFE3">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个</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E57C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300</w:t>
            </w:r>
          </w:p>
        </w:tc>
      </w:tr>
      <w:tr w14:paraId="1C7B5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1E187">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48</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F2BB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30W模组</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90C5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1、基础规格：额定功率30W，适配中小型路灯，安装孔位与主流灯壳通用，无需改电路。</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2、光源性能：SMD 3030灯珠，光效≥130lm/W，色温3000K/4500K/6000K可选，Ra≥75，3万小时光衰≤15%（符合GB/T 24827）。</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3、防护与耐候：IP67防护，-30℃~+60℃可长期工作，铝合金基板散热，户外抗腐蚀寿命≥5年。</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4、安全合规：阻燃V-0级外壳，绝缘电阻≥100MΩ，AC 3000V耐压无击穿，EMC符合GB 17743。</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8A4C0">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个</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101D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320</w:t>
            </w:r>
          </w:p>
        </w:tc>
      </w:tr>
      <w:tr w14:paraId="589AC9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54551">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49</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E4293">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无刷手电钻</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98282">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1、12V电池供电，无刷电机。额定空载转速0-500/0-1800转/分钟，最大转矩40N・m。</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2、扭力调节20+1档，最大夹持10mm。</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3、电池容量2.0Ah，充电80分钟，有电量显示，重0.9kg。</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972D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把</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686E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lang w:val="en-US"/>
              </w:rPr>
            </w:pPr>
            <w:r>
              <w:rPr>
                <w:rFonts w:hint="eastAsia" w:ascii="宋体" w:hAnsi="宋体" w:eastAsia="宋体" w:cs="宋体"/>
                <w:b w:val="0"/>
                <w:bCs w:val="0"/>
                <w:i w:val="0"/>
                <w:iCs w:val="0"/>
                <w:color w:val="auto"/>
                <w:kern w:val="0"/>
                <w:sz w:val="21"/>
                <w:szCs w:val="21"/>
                <w:highlight w:val="none"/>
                <w:u w:val="none"/>
                <w:lang w:val="en-US" w:eastAsia="zh-CN" w:bidi="ar"/>
              </w:rPr>
              <w:t>883</w:t>
            </w:r>
          </w:p>
        </w:tc>
      </w:tr>
      <w:tr w14:paraId="069E4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E801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50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B3E1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PVC线管16mm</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A778A">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1、材质：聚氯乙烯（PVC）。</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2、外观：内外壁光滑，无气泡、裂口等缺陷。</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3、性能：具备抗压、阻燃、耐腐蚀性，常温下可弯曲，连接便捷。</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1935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米</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34FA2">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1.5</w:t>
            </w:r>
          </w:p>
        </w:tc>
      </w:tr>
      <w:tr w14:paraId="3D1CB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F03E5">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51</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5F7BA">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PVC线管20mm</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DF2DF">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1、材质：聚氯乙烯（PVC）。</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2、外观：内外壁光滑，无气泡、裂口等缺陷。</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3、性能：具备抗压、阻燃、耐腐蚀性，常温下可弯曲，连接便捷。</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0891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米</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D26C6">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2</w:t>
            </w:r>
          </w:p>
        </w:tc>
      </w:tr>
      <w:tr w14:paraId="70B4E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AEF0D">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52</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F2FC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PVC线管25mm</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E37DD">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1、材质：聚氯乙烯（PVC）。</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2、外观：内外壁光滑，无气泡、裂口等缺陷。</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3、性能：具备抗压、阻燃、耐腐蚀性，常温下可弯曲，连接便捷。</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2787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米</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97AEC">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4</w:t>
            </w:r>
          </w:p>
        </w:tc>
      </w:tr>
      <w:tr w14:paraId="5AF83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9BBC9">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53</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E1BC8">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PVC线管32mm</w:t>
            </w:r>
          </w:p>
        </w:tc>
        <w:tc>
          <w:tcPr>
            <w:tcW w:w="64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9D87E">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1、材质：聚氯乙烯（PVC）。</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2、外观：内外壁光滑，无气泡、裂口等缺陷。</w:t>
            </w:r>
            <w:r>
              <w:rPr>
                <w:rFonts w:hint="eastAsia" w:ascii="宋体" w:hAnsi="宋体" w:eastAsia="宋体" w:cs="宋体"/>
                <w:b w:val="0"/>
                <w:bCs w:val="0"/>
                <w:i w:val="0"/>
                <w:iCs w:val="0"/>
                <w:color w:val="auto"/>
                <w:kern w:val="0"/>
                <w:sz w:val="21"/>
                <w:szCs w:val="21"/>
                <w:highlight w:val="none"/>
                <w:u w:val="none"/>
                <w:lang w:val="en-US" w:eastAsia="zh-CN" w:bidi="ar"/>
              </w:rPr>
              <w:br w:type="textWrapping"/>
            </w:r>
            <w:r>
              <w:rPr>
                <w:rFonts w:hint="eastAsia" w:ascii="宋体" w:hAnsi="宋体" w:eastAsia="宋体" w:cs="宋体"/>
                <w:b w:val="0"/>
                <w:bCs w:val="0"/>
                <w:i w:val="0"/>
                <w:iCs w:val="0"/>
                <w:color w:val="auto"/>
                <w:kern w:val="0"/>
                <w:sz w:val="21"/>
                <w:szCs w:val="21"/>
                <w:highlight w:val="none"/>
                <w:u w:val="none"/>
                <w:lang w:val="en-US" w:eastAsia="zh-CN" w:bidi="ar"/>
              </w:rPr>
              <w:t>3、性能：具备抗压、阻燃、耐腐蚀性，常温下可弯曲，连接便捷。</w:t>
            </w:r>
          </w:p>
        </w:tc>
        <w:tc>
          <w:tcPr>
            <w:tcW w:w="7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2A664">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米</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E0782">
            <w:pPr>
              <w:keepNext w:val="0"/>
              <w:keepLines w:val="0"/>
              <w:widowControl/>
              <w:suppressLineNumbers w:val="0"/>
              <w:jc w:val="both"/>
              <w:textAlignment w:val="center"/>
              <w:rPr>
                <w:rFonts w:hint="eastAsia" w:ascii="宋体" w:hAnsi="宋体" w:eastAsia="宋体" w:cs="宋体"/>
                <w:b w:val="0"/>
                <w:bCs w:val="0"/>
                <w:i w:val="0"/>
                <w:iCs w:val="0"/>
                <w:color w:val="auto"/>
                <w:sz w:val="21"/>
                <w:szCs w:val="21"/>
                <w:highlight w:val="none"/>
                <w:u w:val="none"/>
              </w:rPr>
            </w:pPr>
            <w:r>
              <w:rPr>
                <w:rFonts w:hint="eastAsia" w:ascii="宋体" w:hAnsi="宋体" w:eastAsia="宋体" w:cs="宋体"/>
                <w:b w:val="0"/>
                <w:bCs w:val="0"/>
                <w:i w:val="0"/>
                <w:iCs w:val="0"/>
                <w:color w:val="auto"/>
                <w:kern w:val="0"/>
                <w:sz w:val="21"/>
                <w:szCs w:val="21"/>
                <w:highlight w:val="none"/>
                <w:u w:val="none"/>
                <w:lang w:val="en-US" w:eastAsia="zh-CN" w:bidi="ar"/>
              </w:rPr>
              <w:t>6</w:t>
            </w:r>
          </w:p>
        </w:tc>
      </w:tr>
    </w:tbl>
    <w:p w14:paraId="23E32C98">
      <w:pPr>
        <w:bidi w:val="0"/>
        <w:jc w:val="both"/>
        <w:rPr>
          <w:highlight w:val="none"/>
          <w:lang w:val="zh-CN" w:eastAsia="zh-CN"/>
        </w:rPr>
      </w:pPr>
    </w:p>
    <w:p w14:paraId="1F912A54">
      <w:pPr>
        <w:bidi w:val="0"/>
        <w:jc w:val="both"/>
        <w:rPr>
          <w:highlight w:val="none"/>
          <w:lang w:val="zh-CN" w:eastAsia="zh-CN"/>
        </w:rPr>
      </w:pPr>
    </w:p>
    <w:p w14:paraId="66EB811B">
      <w:pPr>
        <w:numPr>
          <w:ilvl w:val="0"/>
          <w:numId w:val="8"/>
        </w:numPr>
        <w:tabs>
          <w:tab w:val="left" w:pos="1877"/>
        </w:tabs>
        <w:bidi w:val="0"/>
        <w:ind w:left="0" w:leftChars="0" w:firstLine="0" w:firstLineChars="0"/>
        <w:jc w:val="both"/>
        <w:rPr>
          <w:rFonts w:hint="eastAsia"/>
          <w:b/>
          <w:bCs/>
          <w:highlight w:val="none"/>
          <w:lang w:val="en-US" w:eastAsia="zh-CN"/>
        </w:rPr>
      </w:pPr>
      <w:r>
        <w:rPr>
          <w:rFonts w:hint="eastAsia"/>
          <w:b/>
          <w:bCs/>
          <w:highlight w:val="none"/>
          <w:lang w:val="en-US" w:eastAsia="zh-CN"/>
        </w:rPr>
        <w:t>商务要求</w:t>
      </w:r>
    </w:p>
    <w:p w14:paraId="60F9548B">
      <w:pPr>
        <w:keepNext w:val="0"/>
        <w:keepLines w:val="0"/>
        <w:pageBreakBefore w:val="0"/>
        <w:widowControl w:val="0"/>
        <w:numPr>
          <w:ilvl w:val="0"/>
          <w:numId w:val="9"/>
        </w:numPr>
        <w:kinsoku w:val="0"/>
        <w:wordWrap/>
        <w:overflowPunct/>
        <w:topLinePunct w:val="0"/>
        <w:autoSpaceDE w:val="0"/>
        <w:autoSpaceDN w:val="0"/>
        <w:bidi w:val="0"/>
        <w:adjustRightInd w:val="0"/>
        <w:snapToGrid w:val="0"/>
        <w:spacing w:before="78" w:line="480" w:lineRule="auto"/>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路灯远程监控终端技术要求</w:t>
      </w:r>
    </w:p>
    <w:p w14:paraId="36AFBC3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1、照明监控终端采用模块化设计，组合灵活，具有遥测、遥控、遥信等功能。同时具有现场和远程升级功能，具有多路控制输出及电流、电压等电能参数的采集功能、故障报警等功能。</w:t>
      </w:r>
    </w:p>
    <w:p w14:paraId="5D9F7E7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jc w:val="both"/>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功能特点：</w:t>
      </w:r>
    </w:p>
    <w:p w14:paraId="452C49D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1、控制功能：具有自主开关灯功能，在与控制中心通信中断时，能自主独立运行，需实现经纬度、光照度、定时或设定的时间、默认计划等自主开灯，按照预定的计划任务执行操作。</w:t>
      </w:r>
    </w:p>
    <w:p w14:paraId="69A8ACB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2、通信功能：具有可靠的通讯方式，4G通信，支持双链接通信。</w:t>
      </w:r>
    </w:p>
    <w:p w14:paraId="0BC657E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3、扩展模块功能：具有RS-485接口，可与数字电表、单灯设备、电子门禁等外部设备进行通信，实现远程抄表、单灯管理等功能扩展。</w:t>
      </w:r>
    </w:p>
    <w:p w14:paraId="61BC19C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4、故障报警功能：包括但不限于缺相、断电、过压、欠压、过流、跳闸报警、温湿度超限报警、开关状态异常报警、终端断电、A/B/C相断电等故障主动报警推送。</w:t>
      </w:r>
    </w:p>
    <w:p w14:paraId="6F1B3EE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5、漏电检测和报警、保护功能：支持漏电监测功能，漏电检测应支持5级漏电告警阈值，精确检测漏电状态变化。漏电回路断电保护功能，漏电回路断电功能可通过后台设置是否启用和解除保护功能)。</w:t>
      </w:r>
    </w:p>
    <w:p w14:paraId="14E36F7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6、定时控制功能：具有独立的定时控制，可通过远程及现场设置修改控制方案，每回路应支持每天四段开关灯时间设置，可存储全年开关灯控制方案。</w:t>
      </w:r>
    </w:p>
    <w:p w14:paraId="3C299F8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7、开关量输入采集、开关量控制输出功能：需具有多路可独立控制的输出和信号采集输入接口，并具有独立的输入/输出信号通断状态指示灯，具有运行状态指示灯。具有每路独立的采集电流接口。</w:t>
      </w:r>
    </w:p>
    <w:p w14:paraId="6C36E99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8、电能采集功能：需具备单相或三相四线电压、电流、功率、频率、功率因数、电能计量功能。具有运行状态指示灯。</w:t>
      </w:r>
    </w:p>
    <w:p w14:paraId="41F56AE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9、具有断电运行功能：交流电断电后，终端所有功能需正常运行且运行时间在8小时以上，以保持测控状态以及与控制中心的正常通信。</w:t>
      </w:r>
    </w:p>
    <w:p w14:paraId="30DDA2D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10、具有远程升级功能：具备JTAG现场升级以及通过4G等远程升级功能。</w:t>
      </w:r>
    </w:p>
    <w:p w14:paraId="4D832F7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11、中标后七个工作日内提供原厂商质保售后服务承诺函。</w:t>
      </w:r>
    </w:p>
    <w:p w14:paraId="4974FE1C">
      <w:pPr>
        <w:keepNext w:val="0"/>
        <w:keepLines w:val="0"/>
        <w:pageBreakBefore w:val="0"/>
        <w:widowControl w:val="0"/>
        <w:kinsoku w:val="0"/>
        <w:wordWrap/>
        <w:overflowPunct/>
        <w:topLinePunct w:val="0"/>
        <w:autoSpaceDE w:val="0"/>
        <w:autoSpaceDN w:val="0"/>
        <w:bidi w:val="0"/>
        <w:adjustRightInd w:val="0"/>
        <w:snapToGrid w:val="0"/>
        <w:spacing w:before="78" w:line="480" w:lineRule="auto"/>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（二） 商务条件</w:t>
      </w:r>
    </w:p>
    <w:p w14:paraId="4981C23E">
      <w:pPr>
        <w:keepNext w:val="0"/>
        <w:keepLines w:val="0"/>
        <w:pageBreakBefore w:val="0"/>
        <w:widowControl w:val="0"/>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1、服务地点:采购人指定地点。</w:t>
      </w:r>
    </w:p>
    <w:p w14:paraId="3BFDB1A9">
      <w:pPr>
        <w:keepNext w:val="0"/>
        <w:keepLines w:val="0"/>
        <w:pageBreakBefore w:val="0"/>
        <w:widowControl w:val="0"/>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2、付款方式:</w:t>
      </w:r>
      <w:r>
        <w:rPr>
          <w:rFonts w:hint="eastAsia" w:cs="宋体"/>
          <w:color w:val="auto"/>
          <w:spacing w:val="0"/>
          <w:position w:val="0"/>
          <w:sz w:val="24"/>
          <w:szCs w:val="24"/>
          <w:highlight w:val="none"/>
          <w:u w:val="none"/>
          <w:lang w:val="en-US" w:eastAsia="zh-CN"/>
        </w:rPr>
        <w:t>中标单位按需求分批次供货，按季度结算供货清单，经验收合格后按季度支付结算价的95%货款，余款一年后支付</w:t>
      </w:r>
      <w:r>
        <w:rPr>
          <w:rFonts w:hint="eastAsia" w:ascii="宋体" w:hAnsi="宋体" w:eastAsia="宋体" w:cs="宋体"/>
          <w:color w:val="auto"/>
          <w:spacing w:val="0"/>
          <w:position w:val="0"/>
          <w:sz w:val="24"/>
          <w:szCs w:val="24"/>
          <w:highlight w:val="none"/>
          <w:u w:val="none"/>
          <w:lang w:val="en-US" w:eastAsia="zh-CN"/>
        </w:rPr>
        <w:t>。</w:t>
      </w:r>
    </w:p>
    <w:p w14:paraId="05F434D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3、服务期限：本合同服务期限自签订之日起 1 年，交货期为采购人批次订单生效后 10 日内供货至采购人指定地点。</w:t>
      </w:r>
    </w:p>
    <w:p w14:paraId="245C2B3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4、数量：分批次供货，根据实际需求量供货。</w:t>
      </w:r>
    </w:p>
    <w:p w14:paraId="013ED87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5、服务质量要求：中标人提供的服务技术规格，应与招标文件规定的技术规格及投标文件的投标规范偏离表相一致或优于招标文件要求。</w:t>
      </w:r>
    </w:p>
    <w:p w14:paraId="1486F73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6、交货包装</w:t>
      </w:r>
    </w:p>
    <w:p w14:paraId="6CE8559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①投标人提供的全部货物均应按标准保护措施进行包装，这类包装应适应于远距离运输、防潮、防震、防锈和防野蛮装卸，以确保货物安全无损运抵指定现场。由于包装不善所引起的货物锈蚀、损坏和损失均由投标人负责。</w:t>
      </w:r>
    </w:p>
    <w:p w14:paraId="42878AB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left="502" w:leftChars="228"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②投标人交货时，须提供货物的全部资料，如产品合格证、质量保证书等。③投标人提供的全部货物所有附件必须都配备齐全。</w:t>
      </w:r>
    </w:p>
    <w:p w14:paraId="5C847EA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7、验收标准</w:t>
      </w:r>
    </w:p>
    <w:p w14:paraId="2F9ACD3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①投标人在交货或采购方规定的时间内交货，有关运输和保险的一切费用由投标人承担。所有货物运抵现场并验收合格后的日期为实际交货日期。</w:t>
      </w:r>
    </w:p>
    <w:p w14:paraId="385F2AD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②货物到现场后，采购人（或其授权代表）、投标人组织相关人员共同对到货物的数量、外观、包装质量、技术资料等进行检查。</w:t>
      </w:r>
    </w:p>
    <w:p w14:paraId="45CFB1D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③货物供货完成以后，在 7 个工作日内由采购人或其授权代表组织人员或委托第三方专业机构对货物依照招标文件上的技术规格要求以及国家有关标准进行验收；货物性能达到技术要求的，给予签收；验收合格后由采购人或其授权代表签署确认验收合格文件（一式叁份）；全部技术资料等应当在验收合格后移交用户单位（业主），验收报告一式叁份，投标人、采购单位、采购代理机构各持一份。验收时如发现货物的质量、性能不符合招标文件规定标准的，本项目采购人有权在货物验收时予以拒收；因此产生的一切经济损失由投标人承担。</w:t>
      </w:r>
    </w:p>
    <w:p w14:paraId="28EBCF6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④交付验收标准：依次序对照适用标准为：（1）符合中华人民共和国国家安全质量标准、环保标准或行业标准；（2）符合招标文件和投标承诺中采购人认可的配置、参数及各项要求；</w:t>
      </w:r>
    </w:p>
    <w:p w14:paraId="05F2F55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⑤投标人须为验收提供必需的设备、工具及其他便利条件。</w:t>
      </w:r>
    </w:p>
    <w:p w14:paraId="38C658C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⑥在验收过程中发现数量不足或有质量、技术等问题，投标人应负责按照采购人的要求采取补足、更换或退货等措施妥善处理，并承担由此发生的一切费用和损失。</w:t>
      </w:r>
    </w:p>
    <w:p w14:paraId="408E1D2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⑦对于不合格的货物，投标人必须在 3 个工作日里及时完成更换并重新对更换货物进行验收。</w:t>
      </w:r>
    </w:p>
    <w:p w14:paraId="46951CAA">
      <w:pPr>
        <w:keepNext w:val="0"/>
        <w:keepLines w:val="0"/>
        <w:pageBreakBefore w:val="0"/>
        <w:widowControl w:val="0"/>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8、其它要求</w:t>
      </w:r>
    </w:p>
    <w:p w14:paraId="3564BB42">
      <w:pPr>
        <w:keepNext w:val="0"/>
        <w:keepLines w:val="0"/>
        <w:pageBreakBefore w:val="0"/>
        <w:widowControl w:val="0"/>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①响应</w:t>
      </w:r>
      <w:r>
        <w:rPr>
          <w:rFonts w:hint="eastAsia"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val="en-US" w:eastAsia="zh-CN"/>
        </w:rPr>
        <w:t>必须要有专门队伍从事此项工作，且在接到采购人或使用单位售后通知时，必须确保在 3 小时之内赶到现场实地解决问题。</w:t>
      </w:r>
    </w:p>
    <w:p w14:paraId="5F1914A6">
      <w:pPr>
        <w:keepNext w:val="0"/>
        <w:keepLines w:val="0"/>
        <w:pageBreakBefore w:val="0"/>
        <w:widowControl w:val="0"/>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②中标人应保证采购人在中华人民共和国使用中标人所提供的货物或货物的任何一部分时，免受第三方提出的侵犯其专利权、商标权的起诉；如果任何第三方提出侵权指控，中标人承担一切与之有关的责任。</w:t>
      </w:r>
    </w:p>
    <w:p w14:paraId="1AFB4616">
      <w:pPr>
        <w:keepNext w:val="0"/>
        <w:keepLines w:val="0"/>
        <w:pageBreakBefore w:val="0"/>
        <w:widowControl w:val="0"/>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③若中标，在产品配送途中的不可预见意外事件由中标人承担；严格按照需方提供的规格标准及响应文件进行供货；经营合理合规，经营产品接受相关部门的监管，</w:t>
      </w:r>
      <w:r>
        <w:rPr>
          <w:rFonts w:hint="eastAsia" w:cs="宋体"/>
          <w:color w:val="auto"/>
          <w:spacing w:val="0"/>
          <w:position w:val="0"/>
          <w:sz w:val="24"/>
          <w:szCs w:val="24"/>
          <w:highlight w:val="none"/>
          <w:lang w:val="en-US" w:eastAsia="zh-CN"/>
        </w:rPr>
        <w:t>中标人</w:t>
      </w:r>
      <w:r>
        <w:rPr>
          <w:rFonts w:hint="eastAsia" w:ascii="宋体" w:hAnsi="宋体" w:eastAsia="宋体" w:cs="宋体"/>
          <w:color w:val="auto"/>
          <w:spacing w:val="0"/>
          <w:position w:val="0"/>
          <w:sz w:val="24"/>
          <w:szCs w:val="24"/>
          <w:highlight w:val="none"/>
          <w:lang w:val="en-US" w:eastAsia="zh-CN"/>
        </w:rPr>
        <w:t>承诺并签章。</w:t>
      </w:r>
    </w:p>
    <w:p w14:paraId="4C8382D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④货物数量为暂定数量，最终数量以甲方下达的订单为准。货物总价为暂定总价，具体数量可以按实际甲方需求增加或减少，单价不变。</w:t>
      </w:r>
    </w:p>
    <w:p w14:paraId="3861A56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⑤如有未尽事宜，可另行协商补充。</w:t>
      </w:r>
    </w:p>
    <w:p w14:paraId="5C48DF6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leftChars="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9、报价：投标价为固定报价，报价方式以折扣率报价方式，报价应包括：企业人员工资(员工工资不得低于最新德兴市政府部门规定的最低工资标准)、社会保险、福利、供货过程中发生的人工费材料费、机械费、燃油费、管理费、措施费、利润、税金、招标代理服务费等完成项目过程中不可预见费用等其他相关所有费用。</w:t>
      </w:r>
    </w:p>
    <w:p w14:paraId="322AED8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left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10、售后服务</w:t>
      </w:r>
    </w:p>
    <w:p w14:paraId="02E4ABE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leftChars="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①</w:t>
      </w:r>
      <w:r>
        <w:rPr>
          <w:rFonts w:hint="default" w:ascii="宋体" w:hAnsi="宋体" w:eastAsia="宋体" w:cs="宋体"/>
          <w:color w:val="auto"/>
          <w:spacing w:val="0"/>
          <w:position w:val="0"/>
          <w:sz w:val="24"/>
          <w:szCs w:val="24"/>
          <w:highlight w:val="none"/>
          <w:lang w:val="en-US" w:eastAsia="zh-CN"/>
        </w:rPr>
        <w:t>为了确保项目顺利实施和提供优质的售后服务，保障我方及最终用户的权益，要求中标</w:t>
      </w:r>
      <w:r>
        <w:rPr>
          <w:rFonts w:hint="eastAsia" w:cs="宋体"/>
          <w:color w:val="auto"/>
          <w:spacing w:val="0"/>
          <w:position w:val="0"/>
          <w:sz w:val="24"/>
          <w:szCs w:val="24"/>
          <w:highlight w:val="none"/>
          <w:lang w:val="en-US" w:eastAsia="zh-CN"/>
        </w:rPr>
        <w:t>人</w:t>
      </w:r>
      <w:r>
        <w:rPr>
          <w:rFonts w:hint="default" w:ascii="宋体" w:hAnsi="宋体" w:eastAsia="宋体" w:cs="宋体"/>
          <w:color w:val="auto"/>
          <w:spacing w:val="0"/>
          <w:position w:val="0"/>
          <w:sz w:val="24"/>
          <w:szCs w:val="24"/>
          <w:highlight w:val="none"/>
          <w:lang w:val="en-US" w:eastAsia="zh-CN"/>
        </w:rPr>
        <w:t>成立售后机构并派驻相关人员。</w:t>
      </w:r>
    </w:p>
    <w:p w14:paraId="47F1C08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leftChars="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②</w:t>
      </w:r>
      <w:r>
        <w:rPr>
          <w:rFonts w:hint="default" w:ascii="宋体" w:hAnsi="宋体" w:eastAsia="宋体" w:cs="宋体"/>
          <w:color w:val="auto"/>
          <w:spacing w:val="0"/>
          <w:position w:val="0"/>
          <w:sz w:val="24"/>
          <w:szCs w:val="24"/>
          <w:highlight w:val="none"/>
          <w:lang w:val="en-US" w:eastAsia="zh-CN"/>
        </w:rPr>
        <w:t>派驻人员要求：</w:t>
      </w:r>
      <w:r>
        <w:rPr>
          <w:rFonts w:hint="eastAsia" w:ascii="宋体" w:hAnsi="宋体" w:eastAsia="宋体" w:cs="宋体"/>
          <w:color w:val="auto"/>
          <w:spacing w:val="0"/>
          <w:position w:val="0"/>
          <w:sz w:val="24"/>
          <w:szCs w:val="24"/>
          <w:highlight w:val="none"/>
          <w:lang w:val="en-US" w:eastAsia="zh-CN"/>
        </w:rPr>
        <w:t>（1）</w:t>
      </w:r>
      <w:r>
        <w:rPr>
          <w:rFonts w:hint="eastAsia" w:cs="宋体"/>
          <w:color w:val="auto"/>
          <w:spacing w:val="0"/>
          <w:position w:val="0"/>
          <w:sz w:val="24"/>
          <w:szCs w:val="24"/>
          <w:highlight w:val="none"/>
          <w:lang w:val="en-US" w:eastAsia="zh-CN"/>
        </w:rPr>
        <w:t>中标人</w:t>
      </w:r>
      <w:r>
        <w:rPr>
          <w:rFonts w:hint="default" w:ascii="宋体" w:hAnsi="宋体" w:eastAsia="宋体" w:cs="宋体"/>
          <w:color w:val="auto"/>
          <w:spacing w:val="0"/>
          <w:position w:val="0"/>
          <w:sz w:val="24"/>
          <w:szCs w:val="24"/>
          <w:highlight w:val="none"/>
          <w:lang w:val="en-US" w:eastAsia="zh-CN"/>
        </w:rPr>
        <w:t>应派驻至少 2 名具备相关专业知识和技能的售后人员常驻本地</w:t>
      </w:r>
      <w:r>
        <w:rPr>
          <w:rFonts w:hint="eastAsia" w:ascii="宋体" w:hAnsi="宋体" w:eastAsia="宋体" w:cs="宋体"/>
          <w:color w:val="auto"/>
          <w:spacing w:val="0"/>
          <w:position w:val="0"/>
          <w:sz w:val="24"/>
          <w:szCs w:val="24"/>
          <w:highlight w:val="none"/>
          <w:lang w:val="en-US" w:eastAsia="zh-CN"/>
        </w:rPr>
        <w:t>（2）</w:t>
      </w:r>
      <w:r>
        <w:rPr>
          <w:rFonts w:hint="default" w:ascii="宋体" w:hAnsi="宋体" w:eastAsia="宋体" w:cs="宋体"/>
          <w:color w:val="auto"/>
          <w:spacing w:val="0"/>
          <w:position w:val="0"/>
          <w:sz w:val="24"/>
          <w:szCs w:val="24"/>
          <w:highlight w:val="none"/>
          <w:lang w:val="en-US" w:eastAsia="zh-CN"/>
        </w:rPr>
        <w:t>派驻人员应具备相关工作经验，且熟悉</w:t>
      </w:r>
      <w:r>
        <w:rPr>
          <w:rFonts w:hint="eastAsia" w:cs="宋体"/>
          <w:color w:val="auto"/>
          <w:spacing w:val="0"/>
          <w:position w:val="0"/>
          <w:sz w:val="24"/>
          <w:szCs w:val="24"/>
          <w:highlight w:val="none"/>
          <w:lang w:val="en-US" w:eastAsia="zh-CN"/>
        </w:rPr>
        <w:t>中标人</w:t>
      </w:r>
      <w:r>
        <w:rPr>
          <w:rFonts w:hint="default" w:ascii="宋体" w:hAnsi="宋体" w:eastAsia="宋体" w:cs="宋体"/>
          <w:color w:val="auto"/>
          <w:spacing w:val="0"/>
          <w:position w:val="0"/>
          <w:sz w:val="24"/>
          <w:szCs w:val="24"/>
          <w:highlight w:val="none"/>
          <w:lang w:val="en-US" w:eastAsia="zh-CN"/>
        </w:rPr>
        <w:t>所提供的产品或服务③派驻人员需经过我方的培训和考核，合格后方可上岗。</w:t>
      </w:r>
    </w:p>
    <w:p w14:paraId="3ABCE29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leftChars="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③</w:t>
      </w:r>
      <w:r>
        <w:rPr>
          <w:rFonts w:hint="default" w:ascii="宋体" w:hAnsi="宋体" w:eastAsia="宋体" w:cs="宋体"/>
          <w:color w:val="auto"/>
          <w:spacing w:val="0"/>
          <w:position w:val="0"/>
          <w:sz w:val="24"/>
          <w:szCs w:val="24"/>
          <w:highlight w:val="none"/>
          <w:lang w:val="en-US" w:eastAsia="zh-CN"/>
        </w:rPr>
        <w:t>职责：</w:t>
      </w:r>
      <w:r>
        <w:rPr>
          <w:rFonts w:hint="eastAsia" w:ascii="宋体" w:hAnsi="宋体" w:eastAsia="宋体" w:cs="宋体"/>
          <w:color w:val="auto"/>
          <w:spacing w:val="0"/>
          <w:position w:val="0"/>
          <w:sz w:val="24"/>
          <w:szCs w:val="24"/>
          <w:highlight w:val="none"/>
          <w:lang w:val="en-US" w:eastAsia="zh-CN"/>
        </w:rPr>
        <w:t>（1）</w:t>
      </w:r>
      <w:r>
        <w:rPr>
          <w:rFonts w:hint="default" w:ascii="宋体" w:hAnsi="宋体" w:eastAsia="宋体" w:cs="宋体"/>
          <w:color w:val="auto"/>
          <w:spacing w:val="0"/>
          <w:position w:val="0"/>
          <w:sz w:val="24"/>
          <w:szCs w:val="24"/>
          <w:highlight w:val="none"/>
          <w:lang w:val="en-US" w:eastAsia="zh-CN"/>
        </w:rPr>
        <w:t>售后机构和派驻人员应负责处理本地用户的咨询、投诉和技术支持</w:t>
      </w:r>
      <w:r>
        <w:rPr>
          <w:rFonts w:hint="eastAsia" w:ascii="宋体" w:hAnsi="宋体" w:eastAsia="宋体" w:cs="宋体"/>
          <w:color w:val="auto"/>
          <w:spacing w:val="0"/>
          <w:position w:val="0"/>
          <w:sz w:val="24"/>
          <w:szCs w:val="24"/>
          <w:highlight w:val="none"/>
          <w:lang w:val="en-US" w:eastAsia="zh-CN"/>
        </w:rPr>
        <w:t>（2）</w:t>
      </w:r>
      <w:r>
        <w:rPr>
          <w:rFonts w:hint="default" w:ascii="宋体" w:hAnsi="宋体" w:eastAsia="宋体" w:cs="宋体"/>
          <w:color w:val="auto"/>
          <w:spacing w:val="0"/>
          <w:position w:val="0"/>
          <w:sz w:val="24"/>
          <w:szCs w:val="24"/>
          <w:highlight w:val="none"/>
          <w:lang w:val="en-US" w:eastAsia="zh-CN"/>
        </w:rPr>
        <w:t xml:space="preserve">对于一般性问题，应在 </w:t>
      </w:r>
      <w:r>
        <w:rPr>
          <w:rFonts w:hint="eastAsia" w:cs="宋体"/>
          <w:color w:val="auto"/>
          <w:spacing w:val="0"/>
          <w:position w:val="0"/>
          <w:sz w:val="24"/>
          <w:szCs w:val="24"/>
          <w:highlight w:val="none"/>
          <w:lang w:val="en-US" w:eastAsia="zh-CN"/>
        </w:rPr>
        <w:t>2</w:t>
      </w:r>
      <w:r>
        <w:rPr>
          <w:rFonts w:hint="default" w:ascii="宋体" w:hAnsi="宋体" w:eastAsia="宋体" w:cs="宋体"/>
          <w:color w:val="auto"/>
          <w:spacing w:val="0"/>
          <w:position w:val="0"/>
          <w:sz w:val="24"/>
          <w:szCs w:val="24"/>
          <w:highlight w:val="none"/>
          <w:lang w:val="en-US" w:eastAsia="zh-CN"/>
        </w:rPr>
        <w:t xml:space="preserve"> 小时内给予答复和解决；对于复杂问题，应在 </w:t>
      </w:r>
      <w:r>
        <w:rPr>
          <w:rFonts w:hint="eastAsia" w:cs="宋体"/>
          <w:color w:val="auto"/>
          <w:spacing w:val="0"/>
          <w:position w:val="0"/>
          <w:sz w:val="24"/>
          <w:szCs w:val="24"/>
          <w:highlight w:val="none"/>
          <w:lang w:val="en-US" w:eastAsia="zh-CN"/>
        </w:rPr>
        <w:t>3</w:t>
      </w:r>
      <w:r>
        <w:rPr>
          <w:rFonts w:hint="default"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val="en-US" w:eastAsia="zh-CN"/>
        </w:rPr>
        <w:t>小时</w:t>
      </w:r>
      <w:r>
        <w:rPr>
          <w:rFonts w:hint="default" w:ascii="宋体" w:hAnsi="宋体" w:eastAsia="宋体" w:cs="宋体"/>
          <w:color w:val="auto"/>
          <w:spacing w:val="0"/>
          <w:position w:val="0"/>
          <w:sz w:val="24"/>
          <w:szCs w:val="24"/>
          <w:highlight w:val="none"/>
          <w:lang w:val="en-US" w:eastAsia="zh-CN"/>
        </w:rPr>
        <w:t>内提出解决方案并着手处理</w:t>
      </w:r>
      <w:r>
        <w:rPr>
          <w:rFonts w:hint="eastAsia" w:ascii="宋体" w:hAnsi="宋体" w:eastAsia="宋体" w:cs="宋体"/>
          <w:color w:val="auto"/>
          <w:spacing w:val="0"/>
          <w:position w:val="0"/>
          <w:sz w:val="24"/>
          <w:szCs w:val="24"/>
          <w:highlight w:val="none"/>
          <w:lang w:val="en-US" w:eastAsia="zh-CN"/>
        </w:rPr>
        <w:t>（3）</w:t>
      </w:r>
      <w:r>
        <w:rPr>
          <w:rFonts w:hint="default" w:ascii="宋体" w:hAnsi="宋体" w:eastAsia="宋体" w:cs="宋体"/>
          <w:color w:val="auto"/>
          <w:spacing w:val="0"/>
          <w:position w:val="0"/>
          <w:sz w:val="24"/>
          <w:szCs w:val="24"/>
          <w:highlight w:val="none"/>
          <w:lang w:val="en-US" w:eastAsia="zh-CN"/>
        </w:rPr>
        <w:t>定期对所提供的产品或服务进行巡检和维护，确保其正常运行</w:t>
      </w:r>
      <w:r>
        <w:rPr>
          <w:rFonts w:hint="eastAsia" w:ascii="宋体" w:hAnsi="宋体" w:eastAsia="宋体" w:cs="宋体"/>
          <w:color w:val="auto"/>
          <w:spacing w:val="0"/>
          <w:position w:val="0"/>
          <w:sz w:val="24"/>
          <w:szCs w:val="24"/>
          <w:highlight w:val="none"/>
          <w:lang w:val="en-US" w:eastAsia="zh-CN"/>
        </w:rPr>
        <w:t>（4）</w:t>
      </w:r>
      <w:r>
        <w:rPr>
          <w:rFonts w:hint="default" w:ascii="宋体" w:hAnsi="宋体" w:eastAsia="宋体" w:cs="宋体"/>
          <w:color w:val="auto"/>
          <w:spacing w:val="0"/>
          <w:position w:val="0"/>
          <w:sz w:val="24"/>
          <w:szCs w:val="24"/>
          <w:highlight w:val="none"/>
          <w:lang w:val="en-US" w:eastAsia="zh-CN"/>
        </w:rPr>
        <w:t>建立完善的售后服务档案，记录用户的问题处理情况和产品维护信息。</w:t>
      </w:r>
    </w:p>
    <w:p w14:paraId="000DCBE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80" w:lineRule="auto"/>
        <w:ind w:leftChars="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④</w:t>
      </w:r>
      <w:r>
        <w:rPr>
          <w:rFonts w:hint="default" w:ascii="宋体" w:hAnsi="宋体" w:eastAsia="宋体" w:cs="宋体"/>
          <w:color w:val="auto"/>
          <w:spacing w:val="0"/>
          <w:position w:val="0"/>
          <w:sz w:val="24"/>
          <w:szCs w:val="24"/>
          <w:highlight w:val="none"/>
          <w:lang w:val="en-US" w:eastAsia="zh-CN"/>
        </w:rPr>
        <w:t>监督与考核：</w:t>
      </w:r>
      <w:r>
        <w:rPr>
          <w:rFonts w:hint="eastAsia" w:ascii="宋体" w:hAnsi="宋体" w:eastAsia="宋体" w:cs="宋体"/>
          <w:color w:val="auto"/>
          <w:spacing w:val="0"/>
          <w:position w:val="0"/>
          <w:sz w:val="24"/>
          <w:szCs w:val="24"/>
          <w:highlight w:val="none"/>
          <w:lang w:val="en-US" w:eastAsia="zh-CN"/>
        </w:rPr>
        <w:t>（1）</w:t>
      </w:r>
      <w:r>
        <w:rPr>
          <w:rFonts w:hint="default" w:ascii="宋体" w:hAnsi="宋体" w:eastAsia="宋体" w:cs="宋体"/>
          <w:color w:val="auto"/>
          <w:spacing w:val="0"/>
          <w:position w:val="0"/>
          <w:sz w:val="24"/>
          <w:szCs w:val="24"/>
          <w:highlight w:val="none"/>
          <w:lang w:val="en-US" w:eastAsia="zh-CN"/>
        </w:rPr>
        <w:t>我方将定期对售后机构和派驻人员的工作进行监督和考核。</w:t>
      </w:r>
      <w:r>
        <w:rPr>
          <w:rFonts w:hint="eastAsia" w:ascii="宋体" w:hAnsi="宋体" w:eastAsia="宋体" w:cs="宋体"/>
          <w:color w:val="auto"/>
          <w:spacing w:val="0"/>
          <w:position w:val="0"/>
          <w:sz w:val="24"/>
          <w:szCs w:val="24"/>
          <w:highlight w:val="none"/>
          <w:lang w:val="en-US" w:eastAsia="zh-CN"/>
        </w:rPr>
        <w:t>（2）</w:t>
      </w:r>
      <w:r>
        <w:rPr>
          <w:rFonts w:hint="default" w:ascii="宋体" w:hAnsi="宋体" w:eastAsia="宋体" w:cs="宋体"/>
          <w:color w:val="auto"/>
          <w:spacing w:val="0"/>
          <w:position w:val="0"/>
          <w:sz w:val="24"/>
          <w:szCs w:val="24"/>
          <w:highlight w:val="none"/>
          <w:lang w:val="en-US" w:eastAsia="zh-CN"/>
        </w:rPr>
        <w:t>如发现售后机构或派驻人员未能履行职责，</w:t>
      </w:r>
      <w:r>
        <w:rPr>
          <w:rFonts w:hint="eastAsia" w:cs="宋体"/>
          <w:color w:val="auto"/>
          <w:spacing w:val="0"/>
          <w:position w:val="0"/>
          <w:sz w:val="24"/>
          <w:szCs w:val="24"/>
          <w:highlight w:val="none"/>
          <w:lang w:val="en-US" w:eastAsia="zh-CN"/>
        </w:rPr>
        <w:t>中标人</w:t>
      </w:r>
      <w:r>
        <w:rPr>
          <w:rFonts w:hint="default" w:ascii="宋体" w:hAnsi="宋体" w:eastAsia="宋体" w:cs="宋体"/>
          <w:color w:val="auto"/>
          <w:spacing w:val="0"/>
          <w:position w:val="0"/>
          <w:sz w:val="24"/>
          <w:szCs w:val="24"/>
          <w:highlight w:val="none"/>
          <w:lang w:val="en-US" w:eastAsia="zh-CN"/>
        </w:rPr>
        <w:t>应在 3 日内进行整改。</w:t>
      </w:r>
      <w:r>
        <w:rPr>
          <w:rFonts w:hint="eastAsia" w:ascii="宋体" w:hAnsi="宋体" w:eastAsia="宋体" w:cs="宋体"/>
          <w:color w:val="auto"/>
          <w:spacing w:val="0"/>
          <w:position w:val="0"/>
          <w:sz w:val="24"/>
          <w:szCs w:val="24"/>
          <w:highlight w:val="none"/>
          <w:lang w:val="en-US" w:eastAsia="zh-CN"/>
        </w:rPr>
        <w:t>（3）</w:t>
      </w:r>
      <w:r>
        <w:rPr>
          <w:rFonts w:hint="default" w:ascii="宋体" w:hAnsi="宋体" w:eastAsia="宋体" w:cs="宋体"/>
          <w:color w:val="auto"/>
          <w:spacing w:val="0"/>
          <w:position w:val="0"/>
          <w:sz w:val="24"/>
          <w:szCs w:val="24"/>
          <w:highlight w:val="none"/>
          <w:lang w:val="en-US" w:eastAsia="zh-CN"/>
        </w:rPr>
        <w:t>对于多次</w:t>
      </w:r>
      <w:r>
        <w:rPr>
          <w:rFonts w:hint="eastAsia" w:cs="宋体"/>
          <w:color w:val="auto"/>
          <w:spacing w:val="0"/>
          <w:position w:val="0"/>
          <w:sz w:val="24"/>
          <w:szCs w:val="24"/>
          <w:highlight w:val="none"/>
          <w:lang w:val="en-US" w:eastAsia="zh-CN"/>
        </w:rPr>
        <w:t>（三次（含）以上）</w:t>
      </w:r>
      <w:r>
        <w:rPr>
          <w:rFonts w:hint="default" w:ascii="宋体" w:hAnsi="宋体" w:eastAsia="宋体" w:cs="宋体"/>
          <w:color w:val="auto"/>
          <w:spacing w:val="0"/>
          <w:position w:val="0"/>
          <w:sz w:val="24"/>
          <w:szCs w:val="24"/>
          <w:highlight w:val="none"/>
          <w:lang w:val="en-US" w:eastAsia="zh-CN"/>
        </w:rPr>
        <w:t>整改仍不达标的</w:t>
      </w:r>
      <w:r>
        <w:rPr>
          <w:rFonts w:hint="eastAsia" w:cs="宋体"/>
          <w:color w:val="auto"/>
          <w:spacing w:val="0"/>
          <w:position w:val="0"/>
          <w:sz w:val="24"/>
          <w:szCs w:val="24"/>
          <w:highlight w:val="none"/>
          <w:lang w:val="en-US" w:eastAsia="zh-CN"/>
        </w:rPr>
        <w:t>中标人</w:t>
      </w:r>
      <w:r>
        <w:rPr>
          <w:rFonts w:hint="default" w:ascii="宋体" w:hAnsi="宋体" w:eastAsia="宋体" w:cs="宋体"/>
          <w:color w:val="auto"/>
          <w:spacing w:val="0"/>
          <w:position w:val="0"/>
          <w:sz w:val="24"/>
          <w:szCs w:val="24"/>
          <w:highlight w:val="none"/>
          <w:lang w:val="en-US" w:eastAsia="zh-CN"/>
        </w:rPr>
        <w:t>，我方有权采取相应的处罚措施，包括但不限于扣除合同款、终止合同等。</w:t>
      </w:r>
    </w:p>
    <w:p w14:paraId="30D4E61F">
      <w:pPr>
        <w:pStyle w:val="4"/>
        <w:jc w:val="both"/>
        <w:rPr>
          <w:rFonts w:hint="eastAsia"/>
          <w:highlight w:val="none"/>
          <w:lang w:val="en-US" w:eastAsia="zh-CN"/>
        </w:rPr>
      </w:pPr>
    </w:p>
    <w:p w14:paraId="0CBB6FCE">
      <w:pPr>
        <w:pStyle w:val="3"/>
        <w:keepNext w:val="0"/>
        <w:keepLines w:val="0"/>
        <w:pageBreakBefore w:val="0"/>
        <w:widowControl w:val="0"/>
        <w:kinsoku/>
        <w:wordWrap/>
        <w:overflowPunct/>
        <w:topLinePunct w:val="0"/>
        <w:autoSpaceDE/>
        <w:autoSpaceDN/>
        <w:bidi w:val="0"/>
        <w:adjustRightInd/>
        <w:snapToGrid/>
        <w:spacing w:after="0" w:line="360" w:lineRule="auto"/>
        <w:ind w:left="0" w:leftChars="0" w:right="869" w:rightChars="395" w:firstLine="0" w:firstLineChars="0"/>
        <w:jc w:val="both"/>
        <w:textAlignment w:val="auto"/>
        <w:rPr>
          <w:rFonts w:hint="eastAsia" w:ascii="宋体" w:hAnsi="宋体"/>
          <w:color w:val="auto"/>
          <w:kern w:val="2"/>
          <w:sz w:val="24"/>
          <w:szCs w:val="24"/>
          <w:highlight w:val="none"/>
          <w:u w:val="none"/>
          <w:lang w:val="en-US" w:eastAsia="zh-CN" w:bidi="ar-SA"/>
        </w:rPr>
      </w:pPr>
      <w:r>
        <w:rPr>
          <w:rFonts w:hint="eastAsia" w:ascii="宋体" w:hAnsi="宋体"/>
          <w:color w:val="auto"/>
          <w:kern w:val="2"/>
          <w:sz w:val="24"/>
          <w:szCs w:val="24"/>
          <w:highlight w:val="none"/>
          <w:lang w:val="en-US" w:eastAsia="zh-CN" w:bidi="ar-SA"/>
        </w:rPr>
        <w:t>付款方式：</w:t>
      </w:r>
      <w:r>
        <w:rPr>
          <w:rFonts w:hint="eastAsia" w:cs="宋体"/>
          <w:color w:val="auto"/>
          <w:spacing w:val="0"/>
          <w:position w:val="0"/>
          <w:sz w:val="24"/>
          <w:szCs w:val="24"/>
          <w:highlight w:val="none"/>
          <w:u w:val="none"/>
          <w:lang w:val="en-US" w:eastAsia="zh-CN"/>
        </w:rPr>
        <w:t>中标单位按需求分批次供货，按季度结算供货清单，经验收合格后按季度支付结算价的95%货款，余款一年后支付</w:t>
      </w:r>
      <w:r>
        <w:rPr>
          <w:rFonts w:hint="eastAsia" w:ascii="宋体" w:hAnsi="宋体" w:eastAsia="宋体" w:cs="宋体"/>
          <w:color w:val="auto"/>
          <w:spacing w:val="0"/>
          <w:position w:val="0"/>
          <w:sz w:val="24"/>
          <w:szCs w:val="24"/>
          <w:highlight w:val="none"/>
          <w:u w:val="none"/>
          <w:lang w:val="en-US" w:eastAsia="zh-CN"/>
        </w:rPr>
        <w:t>。</w:t>
      </w:r>
    </w:p>
    <w:p w14:paraId="2296EFC8"/>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S PGothic">
    <w:panose1 w:val="020B0600070205080204"/>
    <w:charset w:val="80"/>
    <w:family w:val="auto"/>
    <w:pitch w:val="default"/>
    <w:sig w:usb0="E00002FF" w:usb1="6AC7FDFB" w:usb2="08000012" w:usb3="00000000" w:csb0="4002009F" w:csb1="DFD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96CE2C"/>
    <w:multiLevelType w:val="singleLevel"/>
    <w:tmpl w:val="9C96CE2C"/>
    <w:lvl w:ilvl="0" w:tentative="0">
      <w:start w:val="1"/>
      <w:numFmt w:val="decimal"/>
      <w:suff w:val="nothing"/>
      <w:lvlText w:val="%1、"/>
      <w:lvlJc w:val="left"/>
    </w:lvl>
  </w:abstractNum>
  <w:abstractNum w:abstractNumId="1">
    <w:nsid w:val="A8D8AF75"/>
    <w:multiLevelType w:val="singleLevel"/>
    <w:tmpl w:val="A8D8AF75"/>
    <w:lvl w:ilvl="0" w:tentative="0">
      <w:start w:val="1"/>
      <w:numFmt w:val="chineseCounting"/>
      <w:suff w:val="nothing"/>
      <w:lvlText w:val="%1、"/>
      <w:lvlJc w:val="left"/>
      <w:pPr>
        <w:ind w:left="1320" w:leftChars="0" w:firstLine="0" w:firstLineChars="0"/>
      </w:pPr>
      <w:rPr>
        <w:rFonts w:hint="eastAsia"/>
      </w:rPr>
    </w:lvl>
  </w:abstractNum>
  <w:abstractNum w:abstractNumId="2">
    <w:nsid w:val="BD61E122"/>
    <w:multiLevelType w:val="singleLevel"/>
    <w:tmpl w:val="BD61E122"/>
    <w:lvl w:ilvl="0" w:tentative="0">
      <w:start w:val="1"/>
      <w:numFmt w:val="chineseCounting"/>
      <w:suff w:val="space"/>
      <w:lvlText w:val="（%1）"/>
      <w:lvlJc w:val="left"/>
      <w:rPr>
        <w:rFonts w:hint="eastAsia"/>
      </w:rPr>
    </w:lvl>
  </w:abstractNum>
  <w:abstractNum w:abstractNumId="3">
    <w:nsid w:val="D5DEF24B"/>
    <w:multiLevelType w:val="singleLevel"/>
    <w:tmpl w:val="D5DEF24B"/>
    <w:lvl w:ilvl="0" w:tentative="0">
      <w:start w:val="10"/>
      <w:numFmt w:val="decimal"/>
      <w:lvlText w:val="%1."/>
      <w:lvlJc w:val="left"/>
      <w:pPr>
        <w:tabs>
          <w:tab w:val="left" w:pos="312"/>
        </w:tabs>
      </w:pPr>
    </w:lvl>
  </w:abstractNum>
  <w:abstractNum w:abstractNumId="4">
    <w:nsid w:val="DC6F7080"/>
    <w:multiLevelType w:val="singleLevel"/>
    <w:tmpl w:val="DC6F7080"/>
    <w:lvl w:ilvl="0" w:tentative="0">
      <w:start w:val="2"/>
      <w:numFmt w:val="chineseCounting"/>
      <w:suff w:val="nothing"/>
      <w:lvlText w:val="%1、"/>
      <w:lvlJc w:val="left"/>
      <w:pPr>
        <w:ind w:left="1430" w:leftChars="0" w:firstLine="0" w:firstLineChars="0"/>
      </w:pPr>
      <w:rPr>
        <w:rFonts w:hint="eastAsia"/>
      </w:rPr>
    </w:lvl>
  </w:abstractNum>
  <w:abstractNum w:abstractNumId="5">
    <w:nsid w:val="DE0A6787"/>
    <w:multiLevelType w:val="singleLevel"/>
    <w:tmpl w:val="DE0A6787"/>
    <w:lvl w:ilvl="0" w:tentative="0">
      <w:start w:val="7"/>
      <w:numFmt w:val="decimal"/>
      <w:lvlText w:val="%1."/>
      <w:lvlJc w:val="left"/>
      <w:pPr>
        <w:tabs>
          <w:tab w:val="left" w:pos="312"/>
        </w:tabs>
      </w:pPr>
    </w:lvl>
  </w:abstractNum>
  <w:abstractNum w:abstractNumId="6">
    <w:nsid w:val="5371DBD4"/>
    <w:multiLevelType w:val="singleLevel"/>
    <w:tmpl w:val="5371DBD4"/>
    <w:lvl w:ilvl="0" w:tentative="0">
      <w:start w:val="1"/>
      <w:numFmt w:val="decimal"/>
      <w:suff w:val="nothing"/>
      <w:lvlText w:val="%1、"/>
      <w:lvlJc w:val="left"/>
    </w:lvl>
  </w:abstractNum>
  <w:abstractNum w:abstractNumId="7">
    <w:nsid w:val="5C97E6FD"/>
    <w:multiLevelType w:val="singleLevel"/>
    <w:tmpl w:val="5C97E6FD"/>
    <w:lvl w:ilvl="0" w:tentative="0">
      <w:start w:val="4"/>
      <w:numFmt w:val="decimal"/>
      <w:suff w:val="nothing"/>
      <w:lvlText w:val="%1、"/>
      <w:lvlJc w:val="left"/>
    </w:lvl>
  </w:abstractNum>
  <w:abstractNum w:abstractNumId="8">
    <w:nsid w:val="6716C5E1"/>
    <w:multiLevelType w:val="singleLevel"/>
    <w:tmpl w:val="6716C5E1"/>
    <w:lvl w:ilvl="0" w:tentative="0">
      <w:start w:val="1"/>
      <w:numFmt w:val="decimal"/>
      <w:suff w:val="nothing"/>
      <w:lvlText w:val="%1、"/>
      <w:lvlJc w:val="left"/>
    </w:lvl>
  </w:abstractNum>
  <w:num w:numId="1">
    <w:abstractNumId w:val="1"/>
  </w:num>
  <w:num w:numId="2">
    <w:abstractNumId w:val="0"/>
  </w:num>
  <w:num w:numId="3">
    <w:abstractNumId w:val="5"/>
  </w:num>
  <w:num w:numId="4">
    <w:abstractNumId w:val="3"/>
  </w:num>
  <w:num w:numId="5">
    <w:abstractNumId w:val="8"/>
  </w:num>
  <w:num w:numId="6">
    <w:abstractNumId w:val="6"/>
  </w:num>
  <w:num w:numId="7">
    <w:abstractNumId w:val="7"/>
  </w:num>
  <w:num w:numId="8">
    <w:abstractNumId w:val="4"/>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EE695D"/>
    <w:rsid w:val="36EE69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zh-CN" w:eastAsia="zh-CN" w:bidi="zh-CN"/>
    </w:rPr>
  </w:style>
  <w:style w:type="paragraph" w:styleId="2">
    <w:name w:val="heading 2"/>
    <w:basedOn w:val="1"/>
    <w:next w:val="1"/>
    <w:qFormat/>
    <w:uiPriority w:val="1"/>
    <w:pPr>
      <w:spacing w:before="147"/>
      <w:ind w:left="1275" w:right="1284"/>
      <w:jc w:val="center"/>
      <w:outlineLvl w:val="2"/>
    </w:pPr>
    <w:rPr>
      <w:rFonts w:ascii="宋体" w:hAnsi="宋体" w:eastAsia="宋体" w:cs="宋体"/>
      <w:b/>
      <w:bCs/>
      <w:sz w:val="32"/>
      <w:szCs w:val="32"/>
      <w:lang w:val="zh-CN" w:eastAsia="zh-CN" w:bidi="zh-CN"/>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Body Text"/>
    <w:basedOn w:val="1"/>
    <w:qFormat/>
    <w:uiPriority w:val="1"/>
    <w:rPr>
      <w:rFonts w:ascii="宋体" w:hAnsi="宋体" w:eastAsia="宋体" w:cs="宋体"/>
      <w:sz w:val="22"/>
      <w:szCs w:val="22"/>
      <w:lang w:val="zh-CN" w:eastAsia="zh-CN" w:bidi="zh-CN"/>
    </w:rPr>
  </w:style>
  <w:style w:type="paragraph" w:styleId="4">
    <w:name w:val="Body Text First Indent"/>
    <w:basedOn w:val="3"/>
    <w:qFormat/>
    <w:uiPriority w:val="0"/>
    <w:pPr>
      <w:ind w:firstLine="420" w:firstLineChars="100"/>
    </w:pPr>
    <w:rPr>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2026-06-10T13:00:00Z</dcterms:created>
  <dc:creator>Administrator</dc:creator>
  <cp:lastModifiedBy>Administrator</cp:lastModifiedBy>
  <dcterms:modified xsi:type="dcterms:W3CDTF">2026-06-10T13:01:12Z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AD288E14479B434CB472C5A36B7CC374_11</vt:lpwstr>
  </property>
  <property fmtid="{D5CDD505-2E9C-101B-9397-08002B2CF9AE}" pid="4" name="KSOTemplateDocerSaveRecord">
    <vt:lpwstr>eyJoZGlkIjoiOTUzYTgxYWRiNzc3ODkwMWExYmI5MjBkNWE5MDcyODEiLCJ1c2VySWQiOiIyMTIxMjc2ODMifQ==</vt:lpwstr>
  </property>
</Properties>
</file>