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2CC931">
      <w:pPr>
        <w:spacing w:line="360" w:lineRule="auto"/>
        <w:jc w:val="center"/>
        <w:outlineLvl w:val="0"/>
        <w:rPr>
          <w:rFonts w:hint="eastAsia" w:ascii="宋体" w:hAnsi="宋体" w:eastAsia="宋体" w:cs="宋体"/>
          <w:highlight w:val="none"/>
        </w:rPr>
      </w:pPr>
      <w:bookmarkStart w:id="0" w:name="_Toc9440"/>
      <w:bookmarkStart w:id="1" w:name="_Toc30619"/>
      <w:bookmarkStart w:id="2" w:name="_Toc19977"/>
      <w:bookmarkStart w:id="3" w:name="_Toc27769"/>
      <w:bookmarkStart w:id="4" w:name="_Toc2652"/>
      <w:r>
        <w:rPr>
          <w:rStyle w:val="10"/>
          <w:rFonts w:hint="eastAsia" w:ascii="宋体" w:hAnsi="宋体" w:eastAsia="宋体" w:cs="宋体"/>
          <w:highlight w:val="none"/>
        </w:rPr>
        <w:t>第四章、技术服务要求及商务要求</w:t>
      </w:r>
      <w:bookmarkEnd w:id="0"/>
      <w:bookmarkEnd w:id="1"/>
      <w:bookmarkEnd w:id="2"/>
      <w:bookmarkEnd w:id="3"/>
    </w:p>
    <w:bookmarkEnd w:id="4"/>
    <w:p w14:paraId="4F0F5B6D">
      <w:pPr>
        <w:adjustRightInd/>
        <w:snapToGrid/>
        <w:spacing w:line="360" w:lineRule="auto"/>
        <w:jc w:val="center"/>
        <w:outlineLvl w:val="0"/>
        <w:rPr>
          <w:rFonts w:hint="eastAsia" w:ascii="宋体" w:hAnsi="宋体" w:eastAsia="宋体" w:cs="宋体"/>
          <w:b/>
          <w:bCs/>
          <w:spacing w:val="7"/>
          <w:sz w:val="28"/>
          <w:szCs w:val="28"/>
          <w:highlight w:val="none"/>
        </w:rPr>
      </w:pPr>
      <w:bookmarkStart w:id="5" w:name="_Toc14713"/>
      <w:r>
        <w:rPr>
          <w:rFonts w:hint="eastAsia" w:ascii="宋体" w:hAnsi="宋体" w:eastAsia="宋体" w:cs="宋体"/>
          <w:b/>
          <w:bCs/>
          <w:spacing w:val="7"/>
          <w:sz w:val="28"/>
          <w:szCs w:val="28"/>
          <w:highlight w:val="none"/>
        </w:rPr>
        <w:t>第一部分 技术服务要求</w:t>
      </w:r>
      <w:bookmarkEnd w:id="5"/>
    </w:p>
    <w:p w14:paraId="13C688AD">
      <w:pPr>
        <w:pStyle w:val="3"/>
        <w:spacing w:before="156"/>
        <w:rPr>
          <w:rFonts w:hint="eastAsia" w:ascii="宋体" w:hAnsi="宋体" w:eastAsia="宋体" w:cs="宋体"/>
          <w:color w:val="auto"/>
          <w:sz w:val="24"/>
          <w:szCs w:val="24"/>
        </w:rPr>
      </w:pPr>
      <w:bookmarkStart w:id="6" w:name="_Toc16111"/>
      <w:bookmarkStart w:id="7" w:name="_Toc37151779"/>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一</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采购需求一览表</w:t>
      </w:r>
      <w:bookmarkEnd w:id="6"/>
      <w:bookmarkEnd w:id="7"/>
    </w:p>
    <w:tbl>
      <w:tblPr>
        <w:tblStyle w:val="7"/>
        <w:tblpPr w:leftFromText="180" w:rightFromText="180" w:vertAnchor="text" w:tblpY="1"/>
        <w:tblOverlap w:val="never"/>
        <w:tblW w:w="93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59"/>
        <w:gridCol w:w="5763"/>
      </w:tblGrid>
      <w:tr w14:paraId="7D958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97" w:hRule="atLeast"/>
        </w:trPr>
        <w:tc>
          <w:tcPr>
            <w:tcW w:w="3559" w:type="dxa"/>
            <w:tcBorders>
              <w:top w:val="single" w:color="auto" w:sz="12" w:space="0"/>
              <w:left w:val="single" w:color="auto" w:sz="12" w:space="0"/>
            </w:tcBorders>
            <w:noWrap w:val="0"/>
            <w:vAlign w:val="top"/>
          </w:tcPr>
          <w:p w14:paraId="5C4D0D75">
            <w:pPr>
              <w:keepNext w:val="0"/>
              <w:keepLines w:val="0"/>
              <w:suppressLineNumbers w:val="0"/>
              <w:spacing w:before="0" w:beforeAutospacing="0" w:after="0" w:afterAutospacing="0" w:line="360" w:lineRule="auto"/>
              <w:ind w:left="0" w:right="0"/>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mc:AlternateContent>
                <mc:Choice Requires="wpg">
                  <w:drawing>
                    <wp:anchor distT="0" distB="0" distL="114300" distR="114300" simplePos="0" relativeHeight="251659264" behindDoc="0" locked="0" layoutInCell="1" allowOverlap="1">
                      <wp:simplePos x="0" y="0"/>
                      <wp:positionH relativeFrom="column">
                        <wp:posOffset>-62230</wp:posOffset>
                      </wp:positionH>
                      <wp:positionV relativeFrom="paragraph">
                        <wp:posOffset>0</wp:posOffset>
                      </wp:positionV>
                      <wp:extent cx="2251075" cy="1310005"/>
                      <wp:effectExtent l="2540" t="3810" r="13335" b="19685"/>
                      <wp:wrapNone/>
                      <wp:docPr id="11" name="组合 11"/>
                      <wp:cNvGraphicFramePr/>
                      <a:graphic xmlns:a="http://schemas.openxmlformats.org/drawingml/2006/main">
                        <a:graphicData uri="http://schemas.microsoft.com/office/word/2010/wordprocessingGroup">
                          <wpg:wgp>
                            <wpg:cNvGrpSpPr/>
                            <wpg:grpSpPr>
                              <a:xfrm>
                                <a:off x="0" y="0"/>
                                <a:ext cx="2251075" cy="1310005"/>
                                <a:chOff x="0" y="0"/>
                                <a:chExt cx="2805" cy="1850"/>
                              </a:xfrm>
                              <a:effectLst/>
                            </wpg:grpSpPr>
                            <wps:wsp>
                              <wps:cNvPr id="1" name="__TH_L178"/>
                              <wps:cNvCnPr/>
                              <wps:spPr>
                                <a:xfrm>
                                  <a:off x="0" y="0"/>
                                  <a:ext cx="2805" cy="1850"/>
                                </a:xfrm>
                                <a:prstGeom prst="line">
                                  <a:avLst/>
                                </a:prstGeom>
                                <a:ln w="6350" cap="flat" cmpd="sng">
                                  <a:solidFill>
                                    <a:srgbClr val="000000"/>
                                  </a:solidFill>
                                  <a:prstDash val="solid"/>
                                  <a:headEnd type="none" w="med" len="med"/>
                                  <a:tailEnd type="none" w="med" len="med"/>
                                </a:ln>
                                <a:effectLst/>
                              </wps:spPr>
                              <wps:bodyPr upright="1"/>
                            </wps:wsp>
                            <wps:wsp>
                              <wps:cNvPr id="3" name="__TH_B11179"/>
                              <wps:cNvSpPr txBox="1"/>
                              <wps:spPr>
                                <a:xfrm>
                                  <a:off x="1086" y="104"/>
                                  <a:ext cx="300" cy="300"/>
                                </a:xfrm>
                                <a:prstGeom prst="rect">
                                  <a:avLst/>
                                </a:prstGeom>
                                <a:noFill/>
                                <a:ln>
                                  <a:noFill/>
                                </a:ln>
                                <a:effectLst/>
                              </wps:spPr>
                              <wps:txbx>
                                <w:txbxContent>
                                  <w:p w14:paraId="14637D6E">
                                    <w:pPr>
                                      <w:snapToGrid w:val="0"/>
                                      <w:spacing w:line="240" w:lineRule="auto"/>
                                    </w:pPr>
                                    <w:r>
                                      <w:rPr>
                                        <w:rFonts w:hint="eastAsia"/>
                                      </w:rPr>
                                      <w:t>标</w:t>
                                    </w:r>
                                  </w:p>
                                </w:txbxContent>
                              </wps:txbx>
                              <wps:bodyPr lIns="0" tIns="0" rIns="0" bIns="0" upright="1"/>
                            </wps:wsp>
                            <wps:wsp>
                              <wps:cNvPr id="6" name="__TH_B12180"/>
                              <wps:cNvSpPr txBox="1"/>
                              <wps:spPr>
                                <a:xfrm>
                                  <a:off x="1491" y="371"/>
                                  <a:ext cx="300" cy="300"/>
                                </a:xfrm>
                                <a:prstGeom prst="rect">
                                  <a:avLst/>
                                </a:prstGeom>
                                <a:noFill/>
                                <a:ln>
                                  <a:noFill/>
                                </a:ln>
                                <a:effectLst/>
                              </wps:spPr>
                              <wps:txbx>
                                <w:txbxContent>
                                  <w:p w14:paraId="19BDCABD">
                                    <w:pPr>
                                      <w:snapToGrid w:val="0"/>
                                      <w:spacing w:line="240" w:lineRule="auto"/>
                                    </w:pPr>
                                    <w:r>
                                      <w:rPr>
                                        <w:rFonts w:hint="eastAsia"/>
                                      </w:rPr>
                                      <w:t>的</w:t>
                                    </w:r>
                                  </w:p>
                                </w:txbxContent>
                              </wps:txbx>
                              <wps:bodyPr lIns="0" tIns="0" rIns="0" bIns="0" upright="1"/>
                            </wps:wsp>
                            <wps:wsp>
                              <wps:cNvPr id="7" name="__TH_B13181"/>
                              <wps:cNvSpPr txBox="1"/>
                              <wps:spPr>
                                <a:xfrm>
                                  <a:off x="1897" y="639"/>
                                  <a:ext cx="300" cy="300"/>
                                </a:xfrm>
                                <a:prstGeom prst="rect">
                                  <a:avLst/>
                                </a:prstGeom>
                                <a:noFill/>
                                <a:ln>
                                  <a:noFill/>
                                </a:ln>
                                <a:effectLst/>
                              </wps:spPr>
                              <wps:txbx>
                                <w:txbxContent>
                                  <w:p w14:paraId="71387695">
                                    <w:pPr>
                                      <w:snapToGrid w:val="0"/>
                                      <w:spacing w:line="240" w:lineRule="auto"/>
                                    </w:pPr>
                                    <w:r>
                                      <w:rPr>
                                        <w:rFonts w:hint="eastAsia"/>
                                      </w:rPr>
                                      <w:t>名</w:t>
                                    </w:r>
                                  </w:p>
                                </w:txbxContent>
                              </wps:txbx>
                              <wps:bodyPr lIns="0" tIns="0" rIns="0" bIns="0" upright="1"/>
                            </wps:wsp>
                            <wps:wsp>
                              <wps:cNvPr id="8" name="__TH_B14182"/>
                              <wps:cNvSpPr txBox="1"/>
                              <wps:spPr>
                                <a:xfrm>
                                  <a:off x="2302" y="906"/>
                                  <a:ext cx="300" cy="300"/>
                                </a:xfrm>
                                <a:prstGeom prst="rect">
                                  <a:avLst/>
                                </a:prstGeom>
                                <a:noFill/>
                                <a:ln>
                                  <a:noFill/>
                                </a:ln>
                                <a:effectLst/>
                              </wps:spPr>
                              <wps:txbx>
                                <w:txbxContent>
                                  <w:p w14:paraId="69A5FBE9">
                                    <w:pPr>
                                      <w:snapToGrid w:val="0"/>
                                      <w:spacing w:line="240" w:lineRule="auto"/>
                                    </w:pPr>
                                    <w:r>
                                      <w:rPr>
                                        <w:rFonts w:hint="eastAsia"/>
                                      </w:rPr>
                                      <w:t>称</w:t>
                                    </w:r>
                                  </w:p>
                                </w:txbxContent>
                              </wps:txbx>
                              <wps:bodyPr lIns="0" tIns="0" rIns="0" bIns="0" upright="1"/>
                            </wps:wsp>
                            <wps:wsp>
                              <wps:cNvPr id="9" name="__TH_B21183"/>
                              <wps:cNvSpPr txBox="1"/>
                              <wps:spPr>
                                <a:xfrm>
                                  <a:off x="405" y="779"/>
                                  <a:ext cx="300" cy="300"/>
                                </a:xfrm>
                                <a:prstGeom prst="rect">
                                  <a:avLst/>
                                </a:prstGeom>
                                <a:noFill/>
                                <a:ln>
                                  <a:noFill/>
                                </a:ln>
                                <a:effectLst/>
                              </wps:spPr>
                              <wps:txbx>
                                <w:txbxContent>
                                  <w:p w14:paraId="12219201">
                                    <w:pPr>
                                      <w:snapToGrid w:val="0"/>
                                      <w:spacing w:line="240" w:lineRule="auto"/>
                                    </w:pPr>
                                    <w:r>
                                      <w:rPr>
                                        <w:rFonts w:hint="eastAsia"/>
                                      </w:rPr>
                                      <w:t>内</w:t>
                                    </w:r>
                                  </w:p>
                                </w:txbxContent>
                              </wps:txbx>
                              <wps:bodyPr lIns="0" tIns="0" rIns="0" bIns="0" upright="1"/>
                            </wps:wsp>
                            <wps:wsp>
                              <wps:cNvPr id="10" name="__TH_B22184"/>
                              <wps:cNvSpPr txBox="1"/>
                              <wps:spPr>
                                <a:xfrm>
                                  <a:off x="1215" y="1313"/>
                                  <a:ext cx="300" cy="300"/>
                                </a:xfrm>
                                <a:prstGeom prst="rect">
                                  <a:avLst/>
                                </a:prstGeom>
                                <a:noFill/>
                                <a:ln>
                                  <a:noFill/>
                                </a:ln>
                                <a:effectLst/>
                              </wps:spPr>
                              <wps:txbx>
                                <w:txbxContent>
                                  <w:p w14:paraId="729D64DA">
                                    <w:pPr>
                                      <w:snapToGrid w:val="0"/>
                                      <w:spacing w:line="240" w:lineRule="auto"/>
                                    </w:pPr>
                                    <w:r>
                                      <w:rPr>
                                        <w:rFonts w:hint="eastAsia"/>
                                      </w:rPr>
                                      <w:t>容</w:t>
                                    </w:r>
                                  </w:p>
                                </w:txbxContent>
                              </wps:txbx>
                              <wps:bodyPr lIns="0" tIns="0" rIns="0" bIns="0" upright="1"/>
                            </wps:wsp>
                          </wpg:wgp>
                        </a:graphicData>
                      </a:graphic>
                    </wp:anchor>
                  </w:drawing>
                </mc:Choice>
                <mc:Fallback>
                  <w:pict>
                    <v:group id="_x0000_s1026" o:spid="_x0000_s1026" o:spt="203" style="position:absolute;left:0pt;margin-left:-4.9pt;margin-top:0pt;height:103.15pt;width:177.25pt;z-index:251659264;mso-width-relative:page;mso-height-relative:page;" coordsize="2805,1850" o:gfxdata="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">
                      <o:lock v:ext="edit" aspectratio="f"/>
                      <v:line id="__TH_L178" o:spid="_x0000_s1026" o:spt="20" style="position:absolute;left:0;top:0;height:1850;width:2805;" filled="f" stroked="t" coordsize="21600,21600" o:gfxdata="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2wcIfbgAAADaAAAA&#10;DwAAAAAAAAABACAAAAAiAAAAZHJzL2Rvd25yZXYueG1sUEsBAhQAFAAAAAgAh07iQDMvBZ47AAAA&#10;OQAAABAAAAAAAAAAAQAgAAAABwEAAGRycy9zaGFwZXhtbC54bWxQSwUGAAAAAAYABgBbAQAAsQMA&#10;AAAA&#10;">
                        <v:path arrowok="t"/>
                        <v:fill on="f" focussize="0,0"/>
                        <v:stroke weight="0.5pt" joinstyle="round"/>
                        <v:imagedata o:title=""/>
                        <o:lock v:ext="edit" aspectratio="f"/>
                      </v:line>
                      <v:shape id="__TH_B11179" o:spid="_x0000_s1026" o:spt="202" type="#_x0000_t202" style="position:absolute;left:1086;top:104;height:300;width:300;" filled="f" stroked="f" coordsize="21600,21600" o:gfxdata="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6fiTvQAA&#10;ANoAAAAPAAAAAAAAAAEAIAAAACIAAABkcnMvZG93bnJldi54bWxQSwECFAAUAAAACACHTuJAMy8F&#10;njsAAAA5AAAAEAAAAAAAAAABACAAAAAMAQAAZHJzL3NoYXBleG1sLnhtbFBLBQYAAAAABgAGAFsB&#10;AAC2AwAAAAA=&#10;">
                        <v:path/>
                        <v:fill on="f" focussize="0,0"/>
                        <v:stroke on="f"/>
                        <v:imagedata o:title=""/>
                        <o:lock v:ext="edit" aspectratio="f"/>
                        <v:textbox inset="0mm,0mm,0mm,0mm">
                          <w:txbxContent>
                            <w:p w14:paraId="14637D6E">
                              <w:pPr>
                                <w:snapToGrid w:val="0"/>
                                <w:spacing w:line="240" w:lineRule="auto"/>
                              </w:pPr>
                              <w:r>
                                <w:rPr>
                                  <w:rFonts w:hint="eastAsia"/>
                                </w:rPr>
                                <w:t>标</w:t>
                              </w:r>
                            </w:p>
                          </w:txbxContent>
                        </v:textbox>
                      </v:shape>
                      <v:shape id="__TH_B12180" o:spid="_x0000_s1026" o:spt="202" type="#_x0000_t202" style="position:absolute;left:1491;top:371;height:300;width:300;" filled="f" stroked="f" coordsize="21600,21600" o:gfxdata="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nlsLvQAA&#10;ANoAAAAPAAAAAAAAAAEAIAAAACIAAABkcnMvZG93bnJldi54bWxQSwECFAAUAAAACACHTuJAMy8F&#10;njsAAAA5AAAAEAAAAAAAAAABACAAAAAMAQAAZHJzL3NoYXBleG1sLnhtbFBLBQYAAAAABgAGAFsB&#10;AAC2AwAAAAA=&#10;">
                        <v:path/>
                        <v:fill on="f" focussize="0,0"/>
                        <v:stroke on="f"/>
                        <v:imagedata o:title=""/>
                        <o:lock v:ext="edit" aspectratio="f"/>
                        <v:textbox inset="0mm,0mm,0mm,0mm">
                          <w:txbxContent>
                            <w:p w14:paraId="19BDCABD">
                              <w:pPr>
                                <w:snapToGrid w:val="0"/>
                                <w:spacing w:line="240" w:lineRule="auto"/>
                              </w:pPr>
                              <w:r>
                                <w:rPr>
                                  <w:rFonts w:hint="eastAsia"/>
                                </w:rPr>
                                <w:t>的</w:t>
                              </w:r>
                            </w:p>
                          </w:txbxContent>
                        </v:textbox>
                      </v:shape>
                      <v:shape id="__TH_B13181" o:spid="_x0000_s1026" o:spt="202" type="#_x0000_t202" style="position:absolute;left:1897;top:639;height:300;width:300;" filled="f" stroked="f" coordsize="21600,21600" o:gfxdata="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dL+kL4A&#10;AADaAAAADwAAAAAAAAABACAAAAAiAAAAZHJzL2Rvd25yZXYueG1sUEsBAhQAFAAAAAgAh07iQDMv&#10;BZ47AAAAOQAAABAAAAAAAAAAAQAgAAAADQEAAGRycy9zaGFwZXhtbC54bWxQSwUGAAAAAAYABgBb&#10;AQAAtwMAAAAA&#10;">
                        <v:path/>
                        <v:fill on="f" focussize="0,0"/>
                        <v:stroke on="f"/>
                        <v:imagedata o:title=""/>
                        <o:lock v:ext="edit" aspectratio="f"/>
                        <v:textbox inset="0mm,0mm,0mm,0mm">
                          <w:txbxContent>
                            <w:p w14:paraId="71387695">
                              <w:pPr>
                                <w:snapToGrid w:val="0"/>
                                <w:spacing w:line="240" w:lineRule="auto"/>
                              </w:pPr>
                              <w:r>
                                <w:rPr>
                                  <w:rFonts w:hint="eastAsia"/>
                                </w:rPr>
                                <w:t>名</w:t>
                              </w:r>
                            </w:p>
                          </w:txbxContent>
                        </v:textbox>
                      </v:shape>
                      <v:shape id="__TH_B14182" o:spid="_x0000_s1026" o:spt="202" type="#_x0000_t202" style="position:absolute;left:2302;top:906;height:300;width:300;" filled="f" stroked="f" coordsize="21600,21600" o:gfxdata="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BNauK5AAAA2gAA&#10;AA8AAAAAAAAAAQAgAAAAIgAAAGRycy9kb3ducmV2LnhtbFBLAQIUABQAAAAIAIdO4kAzLwWeOwAA&#10;ADkAAAAQAAAAAAAAAAEAIAAAAAgBAABkcnMvc2hhcGV4bWwueG1sUEsFBgAAAAAGAAYAWwEAALID&#10;AAAAAA==&#10;">
                        <v:path/>
                        <v:fill on="f" focussize="0,0"/>
                        <v:stroke on="f"/>
                        <v:imagedata o:title=""/>
                        <o:lock v:ext="edit" aspectratio="f"/>
                        <v:textbox inset="0mm,0mm,0mm,0mm">
                          <w:txbxContent>
                            <w:p w14:paraId="69A5FBE9">
                              <w:pPr>
                                <w:snapToGrid w:val="0"/>
                                <w:spacing w:line="240" w:lineRule="auto"/>
                              </w:pPr>
                              <w:r>
                                <w:rPr>
                                  <w:rFonts w:hint="eastAsia"/>
                                </w:rPr>
                                <w:t>称</w:t>
                              </w:r>
                            </w:p>
                          </w:txbxContent>
                        </v:textbox>
                      </v:shape>
                      <v:shape id="__TH_B21183" o:spid="_x0000_s1026" o:spt="202" type="#_x0000_t202" style="position:absolute;left:405;top:779;height:300;width:300;" filled="f" stroked="f" coordsize="21600,21600" o:gfxdata="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Ac95vQAA&#10;ANoAAAAPAAAAAAAAAAEAIAAAACIAAABkcnMvZG93bnJldi54bWxQSwECFAAUAAAACACHTuJAMy8F&#10;njsAAAA5AAAAEAAAAAAAAAABACAAAAAMAQAAZHJzL3NoYXBleG1sLnhtbFBLBQYAAAAABgAGAFsB&#10;AAC2AwAAAAA=&#10;">
                        <v:path/>
                        <v:fill on="f" focussize="0,0"/>
                        <v:stroke on="f"/>
                        <v:imagedata o:title=""/>
                        <o:lock v:ext="edit" aspectratio="f"/>
                        <v:textbox inset="0mm,0mm,0mm,0mm">
                          <w:txbxContent>
                            <w:p w14:paraId="12219201">
                              <w:pPr>
                                <w:snapToGrid w:val="0"/>
                                <w:spacing w:line="240" w:lineRule="auto"/>
                              </w:pPr>
                              <w:r>
                                <w:rPr>
                                  <w:rFonts w:hint="eastAsia"/>
                                </w:rPr>
                                <w:t>内</w:t>
                              </w:r>
                            </w:p>
                          </w:txbxContent>
                        </v:textbox>
                      </v:shape>
                      <v:shape id="__TH_B22184" o:spid="_x0000_s1026" o:spt="202" type="#_x0000_t202" style="position:absolute;left:1215;top:1313;height:300;width:300;" filled="f" stroked="f" coordsize="21600,21600" o:gfxdata="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grxuL4A&#10;AADbAAAADwAAAAAAAAABACAAAAAiAAAAZHJzL2Rvd25yZXYueG1sUEsBAhQAFAAAAAgAh07iQDMv&#10;BZ47AAAAOQAAABAAAAAAAAAAAQAgAAAADQEAAGRycy9zaGFwZXhtbC54bWxQSwUGAAAAAAYABgBb&#10;AQAAtwMAAAAA&#10;">
                        <v:path/>
                        <v:fill on="f" focussize="0,0"/>
                        <v:stroke on="f"/>
                        <v:imagedata o:title=""/>
                        <o:lock v:ext="edit" aspectratio="f"/>
                        <v:textbox inset="0mm,0mm,0mm,0mm">
                          <w:txbxContent>
                            <w:p w14:paraId="729D64DA">
                              <w:pPr>
                                <w:snapToGrid w:val="0"/>
                                <w:spacing w:line="240" w:lineRule="auto"/>
                              </w:pPr>
                              <w:r>
                                <w:rPr>
                                  <w:rFonts w:hint="eastAsia"/>
                                </w:rPr>
                                <w:t>容</w:t>
                              </w:r>
                            </w:p>
                          </w:txbxContent>
                        </v:textbox>
                      </v:shape>
                    </v:group>
                  </w:pict>
                </mc:Fallback>
              </mc:AlternateContent>
            </w:r>
          </w:p>
        </w:tc>
        <w:tc>
          <w:tcPr>
            <w:tcW w:w="5763" w:type="dxa"/>
            <w:tcBorders>
              <w:top w:val="single" w:color="auto" w:sz="12" w:space="0"/>
              <w:right w:val="single" w:color="auto" w:sz="12" w:space="0"/>
            </w:tcBorders>
            <w:noWrap w:val="0"/>
            <w:vAlign w:val="center"/>
          </w:tcPr>
          <w:p w14:paraId="29BAEE07">
            <w:pPr>
              <w:keepNext w:val="0"/>
              <w:keepLines w:val="0"/>
              <w:suppressLineNumbers w:val="0"/>
              <w:spacing w:before="0" w:beforeAutospacing="0" w:after="0" w:afterAutospacing="0" w:line="900" w:lineRule="exact"/>
              <w:ind w:left="0" w:right="0"/>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202</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年省级农产品质量安全监测服务</w:t>
            </w:r>
          </w:p>
        </w:tc>
      </w:tr>
      <w:tr w14:paraId="3F854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2" w:hRule="atLeast"/>
        </w:trPr>
        <w:tc>
          <w:tcPr>
            <w:tcW w:w="3559" w:type="dxa"/>
            <w:tcBorders>
              <w:left w:val="single" w:color="auto" w:sz="12" w:space="0"/>
            </w:tcBorders>
            <w:noWrap w:val="0"/>
            <w:vAlign w:val="center"/>
          </w:tcPr>
          <w:p w14:paraId="39EF68FE">
            <w:pPr>
              <w:keepNext w:val="0"/>
              <w:keepLines w:val="0"/>
              <w:suppressLineNumbers w:val="0"/>
              <w:spacing w:before="0" w:beforeAutospacing="0" w:after="0" w:afterAutospacing="0" w:line="900" w:lineRule="exact"/>
              <w:ind w:left="0" w:right="0"/>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5763" w:type="dxa"/>
            <w:tcBorders>
              <w:right w:val="single" w:color="auto" w:sz="12" w:space="0"/>
            </w:tcBorders>
            <w:noWrap w:val="0"/>
            <w:vAlign w:val="center"/>
          </w:tcPr>
          <w:p w14:paraId="20D6A6DE">
            <w:pPr>
              <w:keepNext w:val="0"/>
              <w:keepLines w:val="0"/>
              <w:suppressLineNumbers w:val="0"/>
              <w:spacing w:before="0" w:beforeAutospacing="0" w:after="0" w:afterAutospacing="0" w:line="900" w:lineRule="exact"/>
              <w:ind w:left="0" w:right="0"/>
              <w:jc w:val="center"/>
              <w:textAlignment w:val="center"/>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eastAsia="zh-CN" w:bidi="ar-SA"/>
              </w:rPr>
              <w:t>1项</w:t>
            </w:r>
          </w:p>
        </w:tc>
      </w:tr>
      <w:tr w14:paraId="1FA94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93" w:hRule="atLeast"/>
        </w:trPr>
        <w:tc>
          <w:tcPr>
            <w:tcW w:w="3559" w:type="dxa"/>
            <w:tcBorders>
              <w:left w:val="single" w:color="auto" w:sz="12" w:space="0"/>
            </w:tcBorders>
            <w:noWrap w:val="0"/>
            <w:vAlign w:val="center"/>
          </w:tcPr>
          <w:p w14:paraId="12199954">
            <w:pPr>
              <w:keepNext w:val="0"/>
              <w:keepLines w:val="0"/>
              <w:suppressLineNumbers w:val="0"/>
              <w:spacing w:before="0" w:beforeAutospacing="0" w:after="0" w:afterAutospacing="0" w:line="900" w:lineRule="exact"/>
              <w:ind w:left="0" w:right="0"/>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服务期限</w:t>
            </w:r>
          </w:p>
        </w:tc>
        <w:tc>
          <w:tcPr>
            <w:tcW w:w="5763" w:type="dxa"/>
            <w:tcBorders>
              <w:right w:val="single" w:color="auto" w:sz="12" w:space="0"/>
            </w:tcBorders>
            <w:noWrap w:val="0"/>
            <w:vAlign w:val="center"/>
          </w:tcPr>
          <w:p w14:paraId="600735DE">
            <w:pPr>
              <w:keepNext w:val="0"/>
              <w:keepLines w:val="0"/>
              <w:suppressLineNumbers w:val="0"/>
              <w:spacing w:before="0" w:beforeAutospacing="0" w:after="0" w:afterAutospacing="0" w:line="360" w:lineRule="auto"/>
              <w:ind w:left="0" w:right="0"/>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服务执行开始时间为合同签订之日起，服务终止时间为202</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年</w:t>
            </w:r>
            <w:r>
              <w:rPr>
                <w:rFonts w:hint="eastAsia" w:ascii="宋体" w:hAnsi="宋体" w:eastAsia="宋体" w:cs="宋体"/>
                <w:color w:val="auto"/>
                <w:sz w:val="24"/>
                <w:szCs w:val="24"/>
                <w:lang w:val="en-US" w:eastAsia="zh-CN"/>
              </w:rPr>
              <w:t>12</w:t>
            </w:r>
            <w:r>
              <w:rPr>
                <w:rFonts w:hint="eastAsia" w:ascii="宋体" w:hAnsi="宋体" w:eastAsia="宋体" w:cs="宋体"/>
                <w:color w:val="auto"/>
                <w:sz w:val="24"/>
                <w:szCs w:val="24"/>
              </w:rPr>
              <w:t>月</w:t>
            </w:r>
            <w:r>
              <w:rPr>
                <w:rFonts w:hint="eastAsia" w:ascii="宋体" w:hAnsi="宋体" w:eastAsia="宋体" w:cs="宋体"/>
                <w:color w:val="auto"/>
                <w:sz w:val="24"/>
                <w:szCs w:val="24"/>
                <w:lang w:val="en-US" w:eastAsia="zh-CN"/>
              </w:rPr>
              <w:t>31</w:t>
            </w:r>
            <w:r>
              <w:rPr>
                <w:rFonts w:hint="eastAsia" w:ascii="宋体" w:hAnsi="宋体" w:eastAsia="宋体" w:cs="宋体"/>
                <w:color w:val="auto"/>
                <w:sz w:val="24"/>
                <w:szCs w:val="24"/>
              </w:rPr>
              <w:t>日。</w:t>
            </w:r>
          </w:p>
        </w:tc>
      </w:tr>
      <w:tr w14:paraId="101B3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9" w:hRule="atLeast"/>
        </w:trPr>
        <w:tc>
          <w:tcPr>
            <w:tcW w:w="3559" w:type="dxa"/>
            <w:tcBorders>
              <w:left w:val="single" w:color="auto" w:sz="12" w:space="0"/>
            </w:tcBorders>
            <w:noWrap w:val="0"/>
            <w:vAlign w:val="center"/>
          </w:tcPr>
          <w:p w14:paraId="25801929">
            <w:pPr>
              <w:keepNext w:val="0"/>
              <w:keepLines w:val="0"/>
              <w:suppressLineNumbers w:val="0"/>
              <w:spacing w:before="0" w:beforeAutospacing="0" w:after="0" w:afterAutospacing="0" w:line="900" w:lineRule="exact"/>
              <w:ind w:left="0" w:right="0"/>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服务地点</w:t>
            </w:r>
          </w:p>
        </w:tc>
        <w:tc>
          <w:tcPr>
            <w:tcW w:w="5763" w:type="dxa"/>
            <w:tcBorders>
              <w:right w:val="single" w:color="auto" w:sz="12" w:space="0"/>
            </w:tcBorders>
            <w:noWrap w:val="0"/>
            <w:vAlign w:val="center"/>
          </w:tcPr>
          <w:p w14:paraId="71BC403F">
            <w:pPr>
              <w:keepNext w:val="0"/>
              <w:keepLines w:val="0"/>
              <w:suppressLineNumbers w:val="0"/>
              <w:spacing w:before="0" w:beforeAutospacing="0" w:after="0" w:afterAutospacing="0" w:line="440" w:lineRule="exact"/>
              <w:ind w:left="480" w:right="0" w:hanging="480" w:hangingChars="200"/>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检测成果递交地点：采购人指定地点</w:t>
            </w:r>
          </w:p>
          <w:p w14:paraId="1B7785B6">
            <w:pPr>
              <w:keepNext w:val="0"/>
              <w:keepLines w:val="0"/>
              <w:suppressLineNumbers w:val="0"/>
              <w:spacing w:before="0" w:beforeAutospacing="0" w:after="0" w:afterAutospacing="0" w:line="440" w:lineRule="exact"/>
              <w:ind w:left="480" w:right="0" w:hanging="480" w:hangingChars="200"/>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（抚州市各个县区）</w:t>
            </w:r>
            <w:r>
              <w:rPr>
                <w:rFonts w:hint="eastAsia" w:ascii="宋体" w:hAnsi="宋体" w:eastAsia="宋体" w:cs="宋体"/>
                <w:color w:val="auto"/>
                <w:sz w:val="24"/>
                <w:szCs w:val="24"/>
              </w:rPr>
              <w:t>。</w:t>
            </w:r>
          </w:p>
        </w:tc>
      </w:tr>
      <w:tr w14:paraId="2CB3C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18" w:hRule="atLeast"/>
        </w:trPr>
        <w:tc>
          <w:tcPr>
            <w:tcW w:w="3559" w:type="dxa"/>
            <w:tcBorders>
              <w:left w:val="single" w:color="auto" w:sz="12" w:space="0"/>
            </w:tcBorders>
            <w:noWrap w:val="0"/>
            <w:vAlign w:val="center"/>
          </w:tcPr>
          <w:p w14:paraId="7E19C417">
            <w:pPr>
              <w:keepNext w:val="0"/>
              <w:keepLines w:val="0"/>
              <w:suppressLineNumbers w:val="0"/>
              <w:spacing w:before="0" w:beforeAutospacing="0" w:after="0" w:afterAutospacing="0" w:line="900" w:lineRule="exact"/>
              <w:ind w:left="0" w:right="0"/>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备注</w:t>
            </w:r>
          </w:p>
        </w:tc>
        <w:tc>
          <w:tcPr>
            <w:tcW w:w="5763" w:type="dxa"/>
            <w:tcBorders>
              <w:right w:val="single" w:color="auto" w:sz="12" w:space="0"/>
            </w:tcBorders>
            <w:noWrap w:val="0"/>
            <w:vAlign w:val="center"/>
          </w:tcPr>
          <w:p w14:paraId="22013E03">
            <w:pPr>
              <w:keepNext w:val="0"/>
              <w:keepLines w:val="0"/>
              <w:suppressLineNumbers w:val="0"/>
              <w:spacing w:before="0" w:beforeAutospacing="0" w:after="0" w:afterAutospacing="0" w:line="440" w:lineRule="exact"/>
              <w:ind w:left="480" w:right="0" w:hanging="480" w:hangingChars="200"/>
              <w:jc w:val="center"/>
              <w:textAlignment w:val="center"/>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bl>
    <w:p w14:paraId="3F3FEA60">
      <w:pPr>
        <w:rPr>
          <w:rFonts w:hint="eastAsia" w:ascii="宋体" w:hAnsi="宋体" w:eastAsia="宋体" w:cs="宋体"/>
          <w:color w:val="auto"/>
        </w:rPr>
      </w:pPr>
    </w:p>
    <w:p w14:paraId="44F77B75">
      <w:pPr>
        <w:rPr>
          <w:rFonts w:hint="eastAsia" w:ascii="宋体" w:hAnsi="宋体" w:eastAsia="宋体" w:cs="宋体"/>
          <w:color w:val="auto"/>
        </w:rPr>
      </w:pPr>
    </w:p>
    <w:p w14:paraId="580C4E34">
      <w:pPr>
        <w:rPr>
          <w:rFonts w:hint="eastAsia" w:ascii="宋体" w:hAnsi="宋体" w:eastAsia="宋体" w:cs="宋体"/>
          <w:color w:val="auto"/>
        </w:rPr>
      </w:pPr>
    </w:p>
    <w:p w14:paraId="06B6255A">
      <w:pPr>
        <w:rPr>
          <w:rFonts w:hint="eastAsia" w:ascii="宋体" w:hAnsi="宋体" w:eastAsia="宋体" w:cs="宋体"/>
          <w:color w:val="auto"/>
        </w:rPr>
      </w:pPr>
    </w:p>
    <w:p w14:paraId="369348E2">
      <w:pPr>
        <w:rPr>
          <w:rFonts w:hint="eastAsia" w:ascii="宋体" w:hAnsi="宋体" w:eastAsia="宋体" w:cs="宋体"/>
          <w:color w:val="auto"/>
        </w:rPr>
      </w:pPr>
    </w:p>
    <w:p w14:paraId="505A297E">
      <w:pPr>
        <w:rPr>
          <w:rFonts w:hint="eastAsia" w:ascii="宋体" w:hAnsi="宋体" w:eastAsia="宋体" w:cs="宋体"/>
          <w:color w:val="auto"/>
        </w:rPr>
      </w:pPr>
    </w:p>
    <w:p w14:paraId="22447291">
      <w:pPr>
        <w:rPr>
          <w:rFonts w:hint="eastAsia" w:ascii="宋体" w:hAnsi="宋体" w:eastAsia="宋体" w:cs="宋体"/>
          <w:color w:val="auto"/>
        </w:rPr>
      </w:pPr>
    </w:p>
    <w:p w14:paraId="25FF0111">
      <w:pPr>
        <w:rPr>
          <w:rFonts w:hint="eastAsia" w:ascii="宋体" w:hAnsi="宋体" w:eastAsia="宋体" w:cs="宋体"/>
          <w:color w:val="auto"/>
        </w:rPr>
      </w:pPr>
    </w:p>
    <w:p w14:paraId="68C7BCCD">
      <w:pPr>
        <w:rPr>
          <w:rFonts w:hint="eastAsia" w:ascii="宋体" w:hAnsi="宋体" w:eastAsia="宋体" w:cs="宋体"/>
          <w:color w:val="auto"/>
        </w:rPr>
      </w:pPr>
    </w:p>
    <w:p w14:paraId="2CF4EB9E">
      <w:pPr>
        <w:rPr>
          <w:rFonts w:hint="eastAsia" w:ascii="宋体" w:hAnsi="宋体" w:eastAsia="宋体" w:cs="宋体"/>
          <w:color w:val="auto"/>
        </w:rPr>
        <w:sectPr>
          <w:pgSz w:w="11906" w:h="16838"/>
          <w:pgMar w:top="1440" w:right="1440" w:bottom="1440" w:left="1440" w:header="851" w:footer="992" w:gutter="0"/>
          <w:pgNumType w:fmt="decimal"/>
          <w:cols w:space="720" w:num="1"/>
          <w:docGrid w:type="lines" w:linePitch="312" w:charSpace="0"/>
        </w:sectPr>
      </w:pPr>
    </w:p>
    <w:p w14:paraId="457BA3BA">
      <w:pPr>
        <w:pStyle w:val="3"/>
        <w:spacing w:before="156"/>
        <w:rPr>
          <w:rFonts w:hint="eastAsia" w:ascii="宋体" w:hAnsi="宋体" w:eastAsia="宋体" w:cs="宋体"/>
          <w:color w:val="auto"/>
          <w:sz w:val="24"/>
          <w:szCs w:val="24"/>
          <w:highlight w:val="yellow"/>
        </w:rPr>
      </w:pPr>
      <w:bookmarkStart w:id="8" w:name="_Toc37151780"/>
      <w:bookmarkStart w:id="9" w:name="_Toc18082"/>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二）</w:t>
      </w:r>
      <w:r>
        <w:rPr>
          <w:rFonts w:hint="eastAsia" w:ascii="宋体" w:hAnsi="宋体" w:eastAsia="宋体" w:cs="宋体"/>
          <w:color w:val="auto"/>
          <w:sz w:val="24"/>
          <w:szCs w:val="24"/>
          <w:highlight w:val="none"/>
        </w:rPr>
        <w:t>技术要求</w:t>
      </w:r>
      <w:bookmarkEnd w:id="8"/>
      <w:bookmarkEnd w:id="9"/>
    </w:p>
    <w:p w14:paraId="77AF1CD9">
      <w:pPr>
        <w:pStyle w:val="11"/>
        <w:keepNext w:val="0"/>
        <w:keepLines w:val="0"/>
        <w:pageBreakBefore w:val="0"/>
        <w:kinsoku/>
        <w:wordWrap/>
        <w:overflowPunct/>
        <w:topLinePunct w:val="0"/>
        <w:autoSpaceDE/>
        <w:autoSpaceDN/>
        <w:bidi w:val="0"/>
        <w:adjustRightInd w:val="0"/>
        <w:spacing w:before="0" w:after="0" w:line="360" w:lineRule="auto"/>
        <w:ind w:firstLine="482" w:firstLineChars="200"/>
        <w:textAlignment w:val="baseline"/>
        <w:rPr>
          <w:rFonts w:hint="eastAsia" w:ascii="宋体" w:hAnsi="宋体" w:eastAsia="宋体" w:cs="宋体"/>
          <w:b/>
          <w:bCs/>
          <w:color w:val="auto"/>
          <w:sz w:val="24"/>
          <w:szCs w:val="24"/>
          <w:lang w:val="en-US" w:eastAsia="zh-CN" w:bidi="ar-SA"/>
        </w:rPr>
      </w:pPr>
      <w:r>
        <w:rPr>
          <w:rFonts w:hint="eastAsia" w:ascii="宋体" w:hAnsi="宋体" w:eastAsia="宋体" w:cs="宋体"/>
          <w:b/>
          <w:bCs/>
          <w:color w:val="auto"/>
          <w:sz w:val="24"/>
          <w:szCs w:val="24"/>
          <w:lang w:val="en-US" w:eastAsia="zh-CN" w:bidi="ar-SA"/>
        </w:rPr>
        <w:t>一、项目概况</w:t>
      </w:r>
    </w:p>
    <w:p w14:paraId="15477263">
      <w:pPr>
        <w:pStyle w:val="11"/>
        <w:keepNext w:val="0"/>
        <w:keepLines w:val="0"/>
        <w:pageBreakBefore w:val="0"/>
        <w:widowControl w:val="0"/>
        <w:kinsoku/>
        <w:wordWrap/>
        <w:overflowPunct/>
        <w:topLinePunct w:val="0"/>
        <w:autoSpaceDE/>
        <w:autoSpaceDN/>
        <w:bidi w:val="0"/>
        <w:adjustRightInd w:val="0"/>
        <w:snapToGrid/>
        <w:spacing w:before="0" w:after="144" w:afterLines="50" w:line="360" w:lineRule="auto"/>
        <w:ind w:firstLineChars="200"/>
        <w:jc w:val="both"/>
        <w:textAlignment w:val="baseline"/>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lang w:val="en-US" w:eastAsia="zh-CN" w:bidi="ar-SA"/>
        </w:rPr>
        <w:t>为全面科学掌握我省农产品生产过程中的质量安全状况，及时消除风险隐患。抚州市农业农村局拟面向全国采购一家检测机构承担抚州市</w:t>
      </w:r>
      <w:r>
        <w:rPr>
          <w:rFonts w:hint="eastAsia" w:ascii="宋体" w:hAnsi="宋体" w:eastAsia="宋体" w:cs="宋体"/>
          <w:color w:val="auto"/>
          <w:sz w:val="24"/>
          <w:szCs w:val="24"/>
          <w:highlight w:val="none"/>
          <w:lang w:val="en-US" w:eastAsia="zh-CN" w:bidi="ar-SA"/>
        </w:rPr>
        <w:t>“202</w:t>
      </w:r>
      <w:r>
        <w:rPr>
          <w:rFonts w:hint="eastAsia" w:ascii="宋体" w:hAnsi="宋体" w:cs="宋体"/>
          <w:color w:val="auto"/>
          <w:sz w:val="24"/>
          <w:szCs w:val="24"/>
          <w:highlight w:val="none"/>
          <w:lang w:val="en-US" w:eastAsia="zh-CN" w:bidi="ar-SA"/>
        </w:rPr>
        <w:t>6</w:t>
      </w:r>
      <w:r>
        <w:rPr>
          <w:rFonts w:hint="eastAsia" w:ascii="宋体" w:hAnsi="宋体" w:eastAsia="宋体" w:cs="宋体"/>
          <w:color w:val="auto"/>
          <w:sz w:val="24"/>
          <w:szCs w:val="24"/>
          <w:highlight w:val="none"/>
          <w:lang w:val="en-US" w:eastAsia="zh-CN" w:bidi="ar-SA"/>
        </w:rPr>
        <w:t>年度江西省级农产品质量安全监测服务”的抽样检测工作。</w:t>
      </w:r>
    </w:p>
    <w:tbl>
      <w:tblPr>
        <w:tblStyle w:val="7"/>
        <w:tblW w:w="88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
        <w:gridCol w:w="3527"/>
        <w:gridCol w:w="1545"/>
        <w:gridCol w:w="1335"/>
        <w:gridCol w:w="1480"/>
      </w:tblGrid>
      <w:tr w14:paraId="7538B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928" w:type="dxa"/>
            <w:tcBorders>
              <w:top w:val="single" w:color="auto" w:sz="4" w:space="0"/>
              <w:left w:val="single" w:color="auto" w:sz="4" w:space="0"/>
              <w:bottom w:val="single" w:color="auto" w:sz="4" w:space="0"/>
              <w:right w:val="single" w:color="auto" w:sz="4" w:space="0"/>
            </w:tcBorders>
            <w:noWrap w:val="0"/>
            <w:vAlign w:val="center"/>
          </w:tcPr>
          <w:p w14:paraId="23BD7D0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60" w:lineRule="auto"/>
              <w:ind w:left="0" w:right="0"/>
              <w:jc w:val="center"/>
              <w:textAlignment w:val="baseline"/>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品目</w:t>
            </w:r>
          </w:p>
        </w:tc>
        <w:tc>
          <w:tcPr>
            <w:tcW w:w="3527" w:type="dxa"/>
            <w:tcBorders>
              <w:top w:val="single" w:color="auto" w:sz="4" w:space="0"/>
              <w:left w:val="single" w:color="auto" w:sz="4" w:space="0"/>
              <w:bottom w:val="single" w:color="auto" w:sz="4" w:space="0"/>
              <w:right w:val="single" w:color="auto" w:sz="4" w:space="0"/>
            </w:tcBorders>
            <w:noWrap w:val="0"/>
            <w:vAlign w:val="center"/>
          </w:tcPr>
          <w:p w14:paraId="59E2EF7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60" w:lineRule="auto"/>
              <w:ind w:left="0" w:right="0"/>
              <w:jc w:val="center"/>
              <w:textAlignment w:val="baseline"/>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标项内容</w:t>
            </w:r>
          </w:p>
        </w:tc>
        <w:tc>
          <w:tcPr>
            <w:tcW w:w="1545" w:type="dxa"/>
            <w:tcBorders>
              <w:top w:val="single" w:color="auto" w:sz="4" w:space="0"/>
              <w:left w:val="single" w:color="auto" w:sz="4" w:space="0"/>
              <w:bottom w:val="single" w:color="auto" w:sz="4" w:space="0"/>
              <w:right w:val="single" w:color="auto" w:sz="4" w:space="0"/>
            </w:tcBorders>
            <w:noWrap w:val="0"/>
            <w:vAlign w:val="center"/>
          </w:tcPr>
          <w:p w14:paraId="2A61711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60" w:lineRule="auto"/>
              <w:ind w:left="0" w:right="0"/>
              <w:jc w:val="center"/>
              <w:textAlignment w:val="baseline"/>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县区数量</w:t>
            </w:r>
          </w:p>
        </w:tc>
        <w:tc>
          <w:tcPr>
            <w:tcW w:w="1335" w:type="dxa"/>
            <w:tcBorders>
              <w:top w:val="single" w:color="auto" w:sz="4" w:space="0"/>
              <w:left w:val="single" w:color="auto" w:sz="4" w:space="0"/>
              <w:bottom w:val="single" w:color="auto" w:sz="4" w:space="0"/>
              <w:right w:val="single" w:color="auto" w:sz="4" w:space="0"/>
            </w:tcBorders>
            <w:noWrap w:val="0"/>
            <w:vAlign w:val="center"/>
          </w:tcPr>
          <w:p w14:paraId="28C5585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60" w:lineRule="auto"/>
              <w:ind w:left="0" w:right="0"/>
              <w:jc w:val="center"/>
              <w:textAlignment w:val="baseline"/>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批次</w:t>
            </w:r>
          </w:p>
        </w:tc>
        <w:tc>
          <w:tcPr>
            <w:tcW w:w="1480" w:type="dxa"/>
            <w:tcBorders>
              <w:top w:val="single" w:color="auto" w:sz="4" w:space="0"/>
              <w:left w:val="single" w:color="auto" w:sz="4" w:space="0"/>
              <w:bottom w:val="single" w:color="auto" w:sz="4" w:space="0"/>
              <w:right w:val="single" w:color="auto" w:sz="4" w:space="0"/>
            </w:tcBorders>
            <w:noWrap w:val="0"/>
            <w:vAlign w:val="center"/>
          </w:tcPr>
          <w:p w14:paraId="6A768D9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60" w:lineRule="auto"/>
              <w:ind w:left="0" w:right="0"/>
              <w:jc w:val="center"/>
              <w:textAlignment w:val="baseline"/>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预算金额</w:t>
            </w:r>
          </w:p>
          <w:p w14:paraId="295BDAE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60" w:lineRule="auto"/>
              <w:ind w:left="0" w:right="0"/>
              <w:jc w:val="center"/>
              <w:textAlignment w:val="baseline"/>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（万元）</w:t>
            </w:r>
          </w:p>
        </w:tc>
      </w:tr>
      <w:tr w14:paraId="7308B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928" w:type="dxa"/>
            <w:tcBorders>
              <w:top w:val="single" w:color="auto" w:sz="4" w:space="0"/>
              <w:left w:val="single" w:color="auto" w:sz="4" w:space="0"/>
              <w:bottom w:val="single" w:color="auto" w:sz="4" w:space="0"/>
              <w:right w:val="single" w:color="auto" w:sz="4" w:space="0"/>
            </w:tcBorders>
            <w:noWrap w:val="0"/>
            <w:vAlign w:val="center"/>
          </w:tcPr>
          <w:p w14:paraId="2880DC52">
            <w:pPr>
              <w:keepNext w:val="0"/>
              <w:keepLines w:val="0"/>
              <w:pageBreakBefore w:val="0"/>
              <w:widowControl/>
              <w:suppressLineNumbers w:val="0"/>
              <w:kinsoku/>
              <w:wordWrap/>
              <w:overflowPunct/>
              <w:topLinePunct w:val="0"/>
              <w:autoSpaceDE/>
              <w:autoSpaceDN/>
              <w:bidi w:val="0"/>
              <w:adjustRightInd w:val="0"/>
              <w:spacing w:before="0" w:beforeAutospacing="0" w:after="0" w:afterAutospacing="0" w:line="360" w:lineRule="auto"/>
              <w:ind w:left="0" w:right="0"/>
              <w:jc w:val="center"/>
              <w:textAlignment w:val="baseline"/>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1</w:t>
            </w:r>
          </w:p>
        </w:tc>
        <w:tc>
          <w:tcPr>
            <w:tcW w:w="3527" w:type="dxa"/>
            <w:tcBorders>
              <w:top w:val="single" w:color="auto" w:sz="4" w:space="0"/>
              <w:left w:val="single" w:color="auto" w:sz="4" w:space="0"/>
              <w:bottom w:val="single" w:color="auto" w:sz="4" w:space="0"/>
              <w:right w:val="single" w:color="auto" w:sz="4" w:space="0"/>
            </w:tcBorders>
            <w:noWrap w:val="0"/>
            <w:vAlign w:val="center"/>
          </w:tcPr>
          <w:p w14:paraId="2DB86CE6">
            <w:pPr>
              <w:keepNext w:val="0"/>
              <w:keepLines w:val="0"/>
              <w:pageBreakBefore w:val="0"/>
              <w:suppressLineNumbers w:val="0"/>
              <w:kinsoku/>
              <w:wordWrap/>
              <w:overflowPunct/>
              <w:topLinePunct w:val="0"/>
              <w:autoSpaceDE/>
              <w:autoSpaceDN/>
              <w:bidi w:val="0"/>
              <w:adjustRightInd w:val="0"/>
              <w:spacing w:before="0" w:beforeAutospacing="0" w:after="0" w:afterAutospacing="0" w:line="360" w:lineRule="auto"/>
              <w:ind w:left="0" w:right="0"/>
              <w:jc w:val="center"/>
              <w:textAlignment w:val="baseline"/>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省级农产品质量安全监测服务</w:t>
            </w:r>
          </w:p>
        </w:tc>
        <w:tc>
          <w:tcPr>
            <w:tcW w:w="1545" w:type="dxa"/>
            <w:tcBorders>
              <w:top w:val="single" w:color="auto" w:sz="4" w:space="0"/>
              <w:left w:val="single" w:color="auto" w:sz="4" w:space="0"/>
              <w:bottom w:val="single" w:color="auto" w:sz="4" w:space="0"/>
              <w:right w:val="single" w:color="auto" w:sz="4" w:space="0"/>
            </w:tcBorders>
            <w:noWrap w:val="0"/>
            <w:vAlign w:val="center"/>
          </w:tcPr>
          <w:p w14:paraId="23ADA4D3">
            <w:pPr>
              <w:keepNext w:val="0"/>
              <w:keepLines w:val="0"/>
              <w:pageBreakBefore w:val="0"/>
              <w:widowControl/>
              <w:suppressLineNumbers w:val="0"/>
              <w:kinsoku/>
              <w:wordWrap/>
              <w:overflowPunct/>
              <w:topLinePunct w:val="0"/>
              <w:autoSpaceDE/>
              <w:autoSpaceDN/>
              <w:bidi w:val="0"/>
              <w:adjustRightInd w:val="0"/>
              <w:spacing w:before="0" w:beforeAutospacing="0" w:after="0" w:afterAutospacing="0" w:line="360" w:lineRule="auto"/>
              <w:ind w:left="0" w:right="0"/>
              <w:jc w:val="center"/>
              <w:textAlignment w:val="baseline"/>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12</w:t>
            </w:r>
          </w:p>
        </w:tc>
        <w:tc>
          <w:tcPr>
            <w:tcW w:w="1335" w:type="dxa"/>
            <w:tcBorders>
              <w:top w:val="single" w:color="auto" w:sz="4" w:space="0"/>
              <w:left w:val="single" w:color="auto" w:sz="4" w:space="0"/>
              <w:bottom w:val="single" w:color="auto" w:sz="4" w:space="0"/>
              <w:right w:val="single" w:color="auto" w:sz="4" w:space="0"/>
            </w:tcBorders>
            <w:noWrap w:val="0"/>
            <w:vAlign w:val="center"/>
          </w:tcPr>
          <w:p w14:paraId="705C1D06">
            <w:pPr>
              <w:keepNext w:val="0"/>
              <w:keepLines w:val="0"/>
              <w:pageBreakBefore w:val="0"/>
              <w:widowControl/>
              <w:suppressLineNumbers w:val="0"/>
              <w:kinsoku/>
              <w:wordWrap/>
              <w:overflowPunct/>
              <w:topLinePunct w:val="0"/>
              <w:autoSpaceDE/>
              <w:autoSpaceDN/>
              <w:bidi w:val="0"/>
              <w:adjustRightInd w:val="0"/>
              <w:spacing w:before="0" w:beforeAutospacing="0" w:after="0" w:afterAutospacing="0" w:line="360" w:lineRule="auto"/>
              <w:ind w:left="0" w:right="0"/>
              <w:jc w:val="center"/>
              <w:textAlignment w:val="baseline"/>
              <w:rPr>
                <w:rFonts w:hint="default"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3068</w:t>
            </w:r>
          </w:p>
        </w:tc>
        <w:tc>
          <w:tcPr>
            <w:tcW w:w="1480" w:type="dxa"/>
            <w:tcBorders>
              <w:top w:val="single" w:color="auto" w:sz="4" w:space="0"/>
              <w:left w:val="single" w:color="auto" w:sz="4" w:space="0"/>
              <w:bottom w:val="single" w:color="auto" w:sz="4" w:space="0"/>
              <w:right w:val="single" w:color="auto" w:sz="4" w:space="0"/>
            </w:tcBorders>
            <w:noWrap w:val="0"/>
            <w:vAlign w:val="center"/>
          </w:tcPr>
          <w:p w14:paraId="744FDF54">
            <w:pPr>
              <w:keepNext w:val="0"/>
              <w:keepLines w:val="0"/>
              <w:pageBreakBefore w:val="0"/>
              <w:suppressLineNumbers w:val="0"/>
              <w:kinsoku/>
              <w:wordWrap/>
              <w:overflowPunct/>
              <w:topLinePunct w:val="0"/>
              <w:autoSpaceDE/>
              <w:autoSpaceDN/>
              <w:bidi w:val="0"/>
              <w:adjustRightInd w:val="0"/>
              <w:spacing w:before="0" w:beforeAutospacing="0" w:after="0" w:afterAutospacing="0" w:line="360" w:lineRule="auto"/>
              <w:ind w:left="0" w:right="0"/>
              <w:jc w:val="center"/>
              <w:textAlignment w:val="baseline"/>
              <w:rPr>
                <w:rFonts w:hint="default" w:ascii="宋体" w:hAnsi="宋体" w:eastAsia="宋体" w:cs="宋体"/>
                <w:color w:val="auto"/>
                <w:sz w:val="24"/>
                <w:szCs w:val="24"/>
                <w:highlight w:val="none"/>
                <w:lang w:val="en-US" w:eastAsia="zh-CN" w:bidi="ar-SA"/>
              </w:rPr>
            </w:pPr>
            <w:r>
              <w:rPr>
                <w:rFonts w:hint="eastAsia" w:ascii="宋体" w:hAnsi="宋体" w:eastAsia="宋体" w:cs="宋体"/>
                <w:bCs/>
                <w:color w:val="auto"/>
                <w:sz w:val="24"/>
                <w:szCs w:val="24"/>
                <w:highlight w:val="none"/>
                <w:lang w:val="en-US" w:eastAsia="zh-CN"/>
              </w:rPr>
              <w:t>330</w:t>
            </w:r>
          </w:p>
        </w:tc>
      </w:tr>
    </w:tbl>
    <w:p w14:paraId="15228187">
      <w:pPr>
        <w:pStyle w:val="11"/>
        <w:keepNext w:val="0"/>
        <w:keepLines w:val="0"/>
        <w:pageBreakBefore w:val="0"/>
        <w:widowControl w:val="0"/>
        <w:kinsoku/>
        <w:wordWrap/>
        <w:overflowPunct/>
        <w:topLinePunct w:val="0"/>
        <w:autoSpaceDE/>
        <w:autoSpaceDN/>
        <w:bidi w:val="0"/>
        <w:adjustRightInd w:val="0"/>
        <w:snapToGrid/>
        <w:spacing w:before="144" w:beforeLines="50" w:after="0" w:line="360" w:lineRule="auto"/>
        <w:ind w:firstLine="482" w:firstLineChars="200"/>
        <w:textAlignment w:val="baseline"/>
        <w:rPr>
          <w:rFonts w:hint="eastAsia" w:ascii="宋体" w:hAnsi="宋体" w:eastAsia="宋体" w:cs="宋体"/>
          <w:b/>
          <w:bCs/>
          <w:color w:val="auto"/>
          <w:sz w:val="24"/>
          <w:szCs w:val="24"/>
          <w:highlight w:val="none"/>
          <w:lang w:val="en-US" w:eastAsia="zh-CN" w:bidi="ar-SA"/>
        </w:rPr>
      </w:pPr>
      <w:bookmarkStart w:id="10" w:name="_Toc12520416"/>
      <w:bookmarkStart w:id="11" w:name="_Toc20250"/>
      <w:r>
        <w:rPr>
          <w:rFonts w:hint="eastAsia" w:ascii="宋体" w:hAnsi="宋体" w:eastAsia="宋体" w:cs="宋体"/>
          <w:b/>
          <w:bCs/>
          <w:color w:val="auto"/>
          <w:sz w:val="24"/>
          <w:szCs w:val="24"/>
          <w:highlight w:val="none"/>
          <w:lang w:val="en-US" w:eastAsia="zh-CN" w:bidi="ar-SA"/>
        </w:rPr>
        <w:t>二、</w:t>
      </w:r>
      <w:bookmarkEnd w:id="10"/>
      <w:r>
        <w:rPr>
          <w:rFonts w:hint="eastAsia" w:ascii="宋体" w:hAnsi="宋体" w:eastAsia="宋体" w:cs="宋体"/>
          <w:b/>
          <w:bCs/>
          <w:color w:val="auto"/>
          <w:sz w:val="24"/>
          <w:szCs w:val="24"/>
          <w:highlight w:val="none"/>
          <w:lang w:val="en-US" w:eastAsia="zh-CN" w:bidi="ar-SA"/>
        </w:rPr>
        <w:t>采购服务需求</w:t>
      </w:r>
    </w:p>
    <w:p w14:paraId="5E8D075D">
      <w:pPr>
        <w:keepNext w:val="0"/>
        <w:keepLines w:val="0"/>
        <w:pageBreakBefore w:val="0"/>
        <w:tabs>
          <w:tab w:val="left" w:pos="900"/>
        </w:tabs>
        <w:kinsoku/>
        <w:wordWrap/>
        <w:overflowPunct/>
        <w:topLinePunct w:val="0"/>
        <w:autoSpaceDE/>
        <w:autoSpaceDN/>
        <w:bidi w:val="0"/>
        <w:adjustRightInd w:val="0"/>
        <w:spacing w:line="360" w:lineRule="auto"/>
        <w:ind w:firstLine="424" w:firstLineChars="177"/>
        <w:jc w:val="both"/>
        <w:textAlignment w:val="baseline"/>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1、负责抽样、样品检测，按相关规定进行备样保存，并配合样品的复检工作。按照《农产品质量安全监测管理办法》的有关规定、江西省农业农村厅下发的有关监测文件《2026年全省农产品质量安全监测实施方案》（赣农厅办字〔2026〕12号）、《江西省农业农村厅关于2026年农产品质量安全监督抽查的通知》（赣农厅办便函〔2026〕44号）以及抚州市农业农村局下发的相关文件要求执行，依托云上赣农-农产品质量安全智慧监管子系统和“农检抽样”小程序，严格按照相关检验标准规定程序对样品进行抽样检测，并按要求报送结果，合格率符合《2026年全省农产品质量安全监测实施方案》的要求。</w:t>
      </w:r>
    </w:p>
    <w:p w14:paraId="7DC82D6E">
      <w:pPr>
        <w:keepNext w:val="0"/>
        <w:keepLines w:val="0"/>
        <w:pageBreakBefore w:val="0"/>
        <w:tabs>
          <w:tab w:val="left" w:pos="900"/>
        </w:tabs>
        <w:kinsoku/>
        <w:wordWrap/>
        <w:overflowPunct/>
        <w:topLinePunct w:val="0"/>
        <w:autoSpaceDE/>
        <w:autoSpaceDN/>
        <w:bidi w:val="0"/>
        <w:adjustRightInd w:val="0"/>
        <w:spacing w:line="360" w:lineRule="auto"/>
        <w:ind w:firstLine="424" w:firstLineChars="177"/>
        <w:jc w:val="both"/>
        <w:textAlignment w:val="baseline"/>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2、抽检工作应严格按照蔬菜、食用菌和水果按《农药残留分析样本的采样方法》（NY/T 789-2004）执行；茶叶按《茶取样》（GB/T8302-2013）执行；畜禽产品按《动物及动物产品兽药残留监控抽样规范》（NY/T 1897-2010）、《屠宰企业畜禽及其产品抽样操作规范》（NY/T 3227-2018）执行；水产品按《水产品抽样规范》（GB/T 30891-2014）等相关规定和要求实施抽样检验工作。承检机构应按照委托方要求，依托省级农产品质量安全大数据智慧监管平台（以下简称“大数据平台”）和农检抽样程序，根据《农产品质量安全法》、《农产品质量安全监测管理办法》组织开展各类抽样检测工作。严格遵守抽样“四不两直”、“双随机一公开”等工作规范，保证抽样工作有效。监督抽查样品抽取要由县区农产品质量监管或执法人员在场时完成，样品运输要符合样品管理规定，保证样品不损坏，留样保存在抚州市农业农村局。</w:t>
      </w:r>
    </w:p>
    <w:p w14:paraId="13D10773">
      <w:pPr>
        <w:keepNext w:val="0"/>
        <w:keepLines w:val="0"/>
        <w:pageBreakBefore w:val="0"/>
        <w:widowControl/>
        <w:tabs>
          <w:tab w:val="left" w:pos="900"/>
        </w:tabs>
        <w:kinsoku/>
        <w:wordWrap/>
        <w:overflowPunct/>
        <w:topLinePunct w:val="0"/>
        <w:autoSpaceDE/>
        <w:autoSpaceDN/>
        <w:bidi w:val="0"/>
        <w:adjustRightInd w:val="0"/>
        <w:snapToGrid w:val="0"/>
        <w:spacing w:line="360" w:lineRule="auto"/>
        <w:ind w:firstLine="424" w:firstLineChars="177"/>
        <w:jc w:val="both"/>
        <w:textAlignment w:val="baseline"/>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3、样品种类及数量。省级监测任务3068批次，其中，例行监测1668批次；专项监测767批次，其中全市抽检猕猴桃、葡萄、火龙果、柑橘、草莓（检膨大剂）不少于15批次；监督抽查633批次，每个县（区）抽检重点问题品种不少于7批次。重点品种为：种植业产品。蔬菜主要抽检但不限于豇豆、甘薯、葱（细香葱）、辣椒、生姜、芹菜、韭菜、山药、萝卜、茄子、芋头等；水果主要抽检但不限于草莓、柑橘（脐橙）、猕猴桃、葡萄、西瓜、火龙果等；食用菌主要抽检香菇、平菇、金针菇、黑木耳(含毛木耳)、茶树菇、草菇等，均为鲜品；茶叶每个县（区）抽检不多于3批次。畜禽产品。主要抽检猪肉、猪肝、羊肉（肝）、牛肉（肝）、禽肉（鸡肉、鸭肉、乌骨鸡肉）、禽蛋（鸡蛋、鸭蛋、鸽子蛋、鹌鹑蛋）等，抽检数量按3：1：1：1：2：2比例分配。禽肉中鸡肉和鸭肉按2：1比例分配。禽蛋按6：2：1：1比例分配。水产品。主要抽检但不限于黄鳝、牛蛙、泥鳅、鳊鱼、鲫鱼、乌鳢、大口黑鲈、青鱼、草鱼、鲢鱼、鳙鱼、小龙虾等。市级监测任务1000批次，品种和比例参照省级监测任务。</w:t>
      </w:r>
    </w:p>
    <w:p w14:paraId="467731A9">
      <w:pPr>
        <w:pStyle w:val="2"/>
        <w:rPr>
          <w:rFonts w:hint="default"/>
          <w:lang w:val="en-US" w:eastAsia="zh-CN"/>
        </w:rPr>
      </w:pPr>
      <w:r>
        <w:rPr>
          <w:rFonts w:hint="eastAsia" w:hAnsi="宋体" w:eastAsia="宋体" w:cs="宋体"/>
          <w:color w:val="auto"/>
          <w:sz w:val="24"/>
          <w:szCs w:val="24"/>
          <w:highlight w:val="none"/>
          <w:lang w:val="en-US" w:eastAsia="zh-CN" w:bidi="ar-SA"/>
        </w:rPr>
        <w:t xml:space="preserve">    4、</w:t>
      </w:r>
      <w:r>
        <w:rPr>
          <w:rFonts w:hint="eastAsia" w:ascii="宋体" w:hAnsi="宋体" w:eastAsia="宋体" w:cs="宋体"/>
          <w:color w:val="auto"/>
          <w:sz w:val="24"/>
          <w:szCs w:val="24"/>
          <w:highlight w:val="none"/>
          <w:lang w:val="en-US" w:eastAsia="zh-CN" w:bidi="ar-SA"/>
        </w:rPr>
        <w:t>问题发现率</w:t>
      </w:r>
      <w:r>
        <w:rPr>
          <w:rFonts w:hint="eastAsia" w:hAnsi="宋体" w:eastAsia="宋体" w:cs="宋体"/>
          <w:color w:val="auto"/>
          <w:sz w:val="24"/>
          <w:szCs w:val="24"/>
          <w:highlight w:val="none"/>
          <w:lang w:val="en-US" w:eastAsia="zh-CN" w:bidi="ar-SA"/>
        </w:rPr>
        <w:t>要求。</w:t>
      </w:r>
      <w:r>
        <w:rPr>
          <w:rFonts w:hint="eastAsia" w:ascii="宋体" w:hAnsi="宋体" w:eastAsia="宋体" w:cs="宋体"/>
          <w:color w:val="auto"/>
          <w:sz w:val="24"/>
          <w:szCs w:val="24"/>
          <w:highlight w:val="none"/>
          <w:lang w:val="en-US" w:eastAsia="zh-CN" w:bidi="ar-SA"/>
        </w:rPr>
        <w:t>例行监测、专项监测</w:t>
      </w:r>
      <w:r>
        <w:rPr>
          <w:rFonts w:hint="eastAsia" w:hAnsi="宋体" w:eastAsia="宋体" w:cs="宋体"/>
          <w:color w:val="auto"/>
          <w:sz w:val="24"/>
          <w:szCs w:val="24"/>
          <w:highlight w:val="none"/>
          <w:lang w:val="en-US" w:eastAsia="zh-CN" w:bidi="ar-SA"/>
        </w:rPr>
        <w:t>问题发现率达到</w:t>
      </w:r>
      <w:r>
        <w:rPr>
          <w:rFonts w:hint="eastAsia" w:ascii="宋体" w:hAnsi="宋体" w:eastAsia="宋体" w:cs="宋体"/>
          <w:color w:val="auto"/>
          <w:sz w:val="24"/>
          <w:szCs w:val="24"/>
          <w:highlight w:val="none"/>
          <w:lang w:val="en-US" w:eastAsia="zh-CN" w:bidi="ar-SA"/>
        </w:rPr>
        <w:t>2%</w:t>
      </w:r>
      <w:r>
        <w:rPr>
          <w:rFonts w:hint="eastAsia" w:hAnsi="宋体" w:eastAsia="宋体" w:cs="宋体"/>
          <w:color w:val="auto"/>
          <w:sz w:val="24"/>
          <w:szCs w:val="24"/>
          <w:highlight w:val="none"/>
          <w:lang w:val="en-US" w:eastAsia="zh-CN" w:bidi="ar-SA"/>
        </w:rPr>
        <w:t>以上</w:t>
      </w:r>
      <w:r>
        <w:rPr>
          <w:rFonts w:hint="eastAsia" w:ascii="宋体" w:hAnsi="宋体" w:eastAsia="宋体" w:cs="宋体"/>
          <w:color w:val="auto"/>
          <w:sz w:val="24"/>
          <w:szCs w:val="24"/>
          <w:highlight w:val="none"/>
          <w:lang w:val="en-US" w:eastAsia="zh-CN" w:bidi="ar-SA"/>
        </w:rPr>
        <w:t>；监督抽查</w:t>
      </w:r>
      <w:r>
        <w:rPr>
          <w:rFonts w:hint="eastAsia" w:hAnsi="宋体" w:eastAsia="宋体" w:cs="宋体"/>
          <w:color w:val="auto"/>
          <w:sz w:val="24"/>
          <w:szCs w:val="24"/>
          <w:highlight w:val="none"/>
          <w:lang w:val="en-US" w:eastAsia="zh-CN" w:bidi="ar-SA"/>
        </w:rPr>
        <w:t>问题发现率达到</w:t>
      </w:r>
      <w:r>
        <w:rPr>
          <w:rFonts w:hint="eastAsia" w:ascii="宋体" w:hAnsi="宋体" w:eastAsia="宋体" w:cs="宋体"/>
          <w:color w:val="auto"/>
          <w:sz w:val="24"/>
          <w:szCs w:val="24"/>
          <w:highlight w:val="none"/>
          <w:lang w:val="en-US" w:eastAsia="zh-CN" w:bidi="ar-SA"/>
        </w:rPr>
        <w:t>1%。</w:t>
      </w:r>
    </w:p>
    <w:p w14:paraId="33C09FA3">
      <w:pPr>
        <w:keepNext w:val="0"/>
        <w:keepLines w:val="0"/>
        <w:pageBreakBefore w:val="0"/>
        <w:widowControl/>
        <w:tabs>
          <w:tab w:val="left" w:pos="900"/>
        </w:tabs>
        <w:kinsoku/>
        <w:wordWrap/>
        <w:overflowPunct/>
        <w:topLinePunct w:val="0"/>
        <w:autoSpaceDE/>
        <w:autoSpaceDN/>
        <w:bidi w:val="0"/>
        <w:adjustRightInd w:val="0"/>
        <w:snapToGrid w:val="0"/>
        <w:spacing w:line="360" w:lineRule="auto"/>
        <w:ind w:firstLine="424" w:firstLineChars="177"/>
        <w:jc w:val="both"/>
        <w:textAlignment w:val="baseline"/>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highlight w:val="none"/>
          <w:lang w:val="en-US" w:eastAsia="zh-CN" w:bidi="ar-SA"/>
        </w:rPr>
        <w:t>5、</w:t>
      </w:r>
      <w:bookmarkEnd w:id="11"/>
      <w:bookmarkStart w:id="12" w:name="_Toc29126"/>
      <w:r>
        <w:rPr>
          <w:rFonts w:hint="eastAsia" w:ascii="宋体" w:hAnsi="宋体" w:eastAsia="宋体" w:cs="宋体"/>
          <w:color w:val="auto"/>
          <w:sz w:val="24"/>
          <w:szCs w:val="24"/>
          <w:highlight w:val="none"/>
          <w:lang w:val="en-US" w:eastAsia="zh-CN" w:bidi="ar-SA"/>
        </w:rPr>
        <w:t>时间要求。每月结合入网主体农产品上市时间自行组织实施抽样、检测。样品进入实验室需在15个自然日内出检测结果。每月5日前汇总上月检测结果，并及时上传至省农产品质量安</w:t>
      </w:r>
      <w:r>
        <w:rPr>
          <w:rFonts w:hint="eastAsia" w:ascii="宋体" w:hAnsi="宋体" w:eastAsia="宋体" w:cs="宋体"/>
          <w:color w:val="auto"/>
          <w:sz w:val="24"/>
          <w:szCs w:val="24"/>
          <w:lang w:val="en-US" w:eastAsia="zh-CN" w:bidi="ar-SA"/>
        </w:rPr>
        <w:t>全智慧监管大数据平台。按季度作出检测结果分析报告，全年任务</w:t>
      </w:r>
      <w:r>
        <w:rPr>
          <w:rFonts w:hint="eastAsia" w:ascii="宋体" w:hAnsi="宋体" w:eastAsia="宋体" w:cs="宋体"/>
          <w:color w:val="auto"/>
          <w:sz w:val="24"/>
          <w:szCs w:val="24"/>
          <w:highlight w:val="none"/>
          <w:lang w:val="en-US" w:eastAsia="zh-CN" w:bidi="ar-SA"/>
        </w:rPr>
        <w:t>于12月20</w:t>
      </w:r>
      <w:r>
        <w:rPr>
          <w:rFonts w:hint="eastAsia" w:ascii="宋体" w:hAnsi="宋体" w:eastAsia="宋体" w:cs="宋体"/>
          <w:color w:val="auto"/>
          <w:sz w:val="24"/>
          <w:szCs w:val="24"/>
          <w:lang w:val="en-US" w:eastAsia="zh-CN" w:bidi="ar-SA"/>
        </w:rPr>
        <w:t>日前将抽检结果、分析报告纸质文件和电子文档报抚州市农业技术推广中心农产品质量检验检测中心，五日内汇总形成报告报送江西省农业农村厅农产品质量安全监管处。</w:t>
      </w:r>
    </w:p>
    <w:p w14:paraId="5E1E3CC5">
      <w:pPr>
        <w:keepNext w:val="0"/>
        <w:keepLines w:val="0"/>
        <w:pageBreakBefore w:val="0"/>
        <w:widowControl/>
        <w:tabs>
          <w:tab w:val="left" w:pos="900"/>
        </w:tabs>
        <w:kinsoku/>
        <w:wordWrap/>
        <w:overflowPunct/>
        <w:topLinePunct w:val="0"/>
        <w:autoSpaceDE/>
        <w:autoSpaceDN/>
        <w:bidi w:val="0"/>
        <w:adjustRightInd w:val="0"/>
        <w:snapToGrid w:val="0"/>
        <w:spacing w:line="360" w:lineRule="auto"/>
        <w:ind w:firstLine="424" w:firstLineChars="177"/>
        <w:jc w:val="both"/>
        <w:textAlignment w:val="baseline"/>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6、成果要求。</w:t>
      </w:r>
    </w:p>
    <w:p w14:paraId="4B1CFAF3">
      <w:pPr>
        <w:keepNext w:val="0"/>
        <w:keepLines w:val="0"/>
        <w:pageBreakBefore w:val="0"/>
        <w:widowControl/>
        <w:tabs>
          <w:tab w:val="left" w:pos="900"/>
        </w:tabs>
        <w:kinsoku/>
        <w:wordWrap/>
        <w:overflowPunct/>
        <w:topLinePunct w:val="0"/>
        <w:autoSpaceDE/>
        <w:autoSpaceDN/>
        <w:bidi w:val="0"/>
        <w:adjustRightInd w:val="0"/>
        <w:snapToGrid w:val="0"/>
        <w:spacing w:line="360" w:lineRule="auto"/>
        <w:ind w:firstLine="424" w:firstLineChars="177"/>
        <w:jc w:val="both"/>
        <w:textAlignment w:val="baseline"/>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不合格结果通知单：检出不合格的样品时，应在24小时内向采购人提供纸质和电子版的不合格结果检测报告。结果合格的，根据采购方的需要提供检测报告，“委托单位”栏按任务来源填写江西省农业农村厅或抚州市农业农村局。</w:t>
      </w:r>
    </w:p>
    <w:p w14:paraId="0E947198">
      <w:pPr>
        <w:keepNext w:val="0"/>
        <w:keepLines w:val="0"/>
        <w:pageBreakBefore w:val="0"/>
        <w:widowControl/>
        <w:tabs>
          <w:tab w:val="left" w:pos="900"/>
        </w:tabs>
        <w:kinsoku/>
        <w:wordWrap/>
        <w:overflowPunct/>
        <w:topLinePunct w:val="0"/>
        <w:autoSpaceDE/>
        <w:autoSpaceDN/>
        <w:bidi w:val="0"/>
        <w:adjustRightInd w:val="0"/>
        <w:snapToGrid w:val="0"/>
        <w:spacing w:line="360" w:lineRule="auto"/>
        <w:ind w:firstLine="424" w:firstLineChars="177"/>
        <w:jc w:val="both"/>
        <w:textAlignment w:val="baseline"/>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（2）数据汇总表：根据采购人的要求填报《农产品质量安全抽检结果汇总表》，并通过指定的省级农产品质量安全智慧监管大数据平台及时报送抽样、检测相关信息和检测数据。</w:t>
      </w:r>
    </w:p>
    <w:p w14:paraId="7EF90E3C">
      <w:pPr>
        <w:keepNext w:val="0"/>
        <w:keepLines w:val="0"/>
        <w:pageBreakBefore w:val="0"/>
        <w:widowControl/>
        <w:tabs>
          <w:tab w:val="left" w:pos="900"/>
        </w:tabs>
        <w:kinsoku/>
        <w:wordWrap/>
        <w:overflowPunct/>
        <w:topLinePunct w:val="0"/>
        <w:autoSpaceDE/>
        <w:autoSpaceDN/>
        <w:bidi w:val="0"/>
        <w:adjustRightInd w:val="0"/>
        <w:snapToGrid w:val="0"/>
        <w:spacing w:line="360" w:lineRule="auto"/>
        <w:ind w:firstLine="424" w:firstLineChars="177"/>
        <w:jc w:val="both"/>
        <w:textAlignment w:val="baseline"/>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7、其他要求</w:t>
      </w:r>
    </w:p>
    <w:bookmarkEnd w:id="12"/>
    <w:p w14:paraId="597A8398">
      <w:pPr>
        <w:keepNext w:val="0"/>
        <w:keepLines w:val="0"/>
        <w:pageBreakBefore w:val="0"/>
        <w:widowControl/>
        <w:tabs>
          <w:tab w:val="left" w:pos="900"/>
        </w:tabs>
        <w:kinsoku/>
        <w:wordWrap/>
        <w:overflowPunct/>
        <w:topLinePunct w:val="0"/>
        <w:autoSpaceDE/>
        <w:autoSpaceDN/>
        <w:bidi w:val="0"/>
        <w:adjustRightInd w:val="0"/>
        <w:snapToGrid w:val="0"/>
        <w:spacing w:line="360" w:lineRule="auto"/>
        <w:ind w:firstLine="424" w:firstLineChars="177"/>
        <w:jc w:val="both"/>
        <w:textAlignment w:val="baseline"/>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（1）未经采购人同意，任何供应商及个人不得引用、公布、泄露监测检测结果及相关信息。</w:t>
      </w:r>
    </w:p>
    <w:p w14:paraId="078CAA57">
      <w:pPr>
        <w:keepNext w:val="0"/>
        <w:keepLines w:val="0"/>
        <w:pageBreakBefore w:val="0"/>
        <w:widowControl/>
        <w:tabs>
          <w:tab w:val="left" w:pos="900"/>
        </w:tabs>
        <w:kinsoku/>
        <w:wordWrap/>
        <w:overflowPunct/>
        <w:topLinePunct w:val="0"/>
        <w:autoSpaceDE/>
        <w:autoSpaceDN/>
        <w:bidi w:val="0"/>
        <w:adjustRightInd w:val="0"/>
        <w:snapToGrid w:val="0"/>
        <w:spacing w:line="360" w:lineRule="auto"/>
        <w:ind w:firstLine="424" w:firstLineChars="177"/>
        <w:jc w:val="both"/>
        <w:textAlignment w:val="baseline"/>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2）必须按照相关法律法规和江西省农业农村厅、抚州市农业农村局相关文件要求开展检测、数据汇总与分析、结果报送等工作，并就相关工作接受江西省农业农村厅、抚州市农业农村局的指导、监督、检查和比对。</w:t>
      </w:r>
    </w:p>
    <w:p w14:paraId="14925FEE">
      <w:pPr>
        <w:keepNext w:val="0"/>
        <w:keepLines w:val="0"/>
        <w:pageBreakBefore w:val="0"/>
        <w:widowControl/>
        <w:tabs>
          <w:tab w:val="left" w:pos="900"/>
        </w:tabs>
        <w:kinsoku/>
        <w:wordWrap/>
        <w:overflowPunct/>
        <w:topLinePunct w:val="0"/>
        <w:autoSpaceDE/>
        <w:autoSpaceDN/>
        <w:bidi w:val="0"/>
        <w:adjustRightInd w:val="0"/>
        <w:snapToGrid w:val="0"/>
        <w:spacing w:line="360" w:lineRule="auto"/>
        <w:ind w:firstLine="424" w:firstLineChars="177"/>
        <w:jc w:val="both"/>
        <w:textAlignment w:val="baseline"/>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（3）监测抽检样品购买费由成交供应商承担。</w:t>
      </w:r>
    </w:p>
    <w:p w14:paraId="7A2B5243">
      <w:pPr>
        <w:keepNext w:val="0"/>
        <w:keepLines w:val="0"/>
        <w:pageBreakBefore w:val="0"/>
        <w:tabs>
          <w:tab w:val="left" w:pos="900"/>
        </w:tabs>
        <w:kinsoku/>
        <w:wordWrap/>
        <w:overflowPunct/>
        <w:topLinePunct w:val="0"/>
        <w:autoSpaceDE/>
        <w:autoSpaceDN/>
        <w:bidi w:val="0"/>
        <w:adjustRightInd w:val="0"/>
        <w:spacing w:line="360" w:lineRule="auto"/>
        <w:ind w:firstLine="424" w:firstLineChars="177"/>
        <w:jc w:val="both"/>
        <w:textAlignment w:val="baseline"/>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（4）复检结果与成交供应商出具的检测结果不一致的，复检费用由成交供应商承担，并向采购人提交一份检测结果原因分析说明。</w:t>
      </w:r>
    </w:p>
    <w:p w14:paraId="1BCC7574">
      <w:pPr>
        <w:pStyle w:val="4"/>
        <w:keepNext w:val="0"/>
        <w:keepLines w:val="0"/>
        <w:pageBreakBefore w:val="0"/>
        <w:kinsoku/>
        <w:wordWrap/>
        <w:overflowPunct/>
        <w:topLinePunct w:val="0"/>
        <w:autoSpaceDE/>
        <w:autoSpaceDN/>
        <w:bidi w:val="0"/>
        <w:adjustRightInd w:val="0"/>
        <w:spacing w:line="360" w:lineRule="auto"/>
        <w:ind w:firstLine="480" w:firstLineChars="200"/>
        <w:jc w:val="both"/>
        <w:textAlignment w:val="baseline"/>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（5）应具备较强的农产品检验检测能力及相关的科研能力。</w:t>
      </w:r>
    </w:p>
    <w:p w14:paraId="54AD5DB4">
      <w:pPr>
        <w:pStyle w:val="4"/>
        <w:keepNext w:val="0"/>
        <w:keepLines w:val="0"/>
        <w:pageBreakBefore w:val="0"/>
        <w:kinsoku/>
        <w:wordWrap/>
        <w:overflowPunct/>
        <w:topLinePunct w:val="0"/>
        <w:autoSpaceDE/>
        <w:autoSpaceDN/>
        <w:bidi w:val="0"/>
        <w:adjustRightInd w:val="0"/>
        <w:spacing w:line="360" w:lineRule="auto"/>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lang w:val="en-US" w:eastAsia="zh-CN" w:bidi="ar-SA"/>
        </w:rPr>
        <w:t>（6）</w:t>
      </w:r>
      <w:r>
        <w:rPr>
          <w:rFonts w:hint="eastAsia" w:ascii="宋体" w:hAnsi="宋体" w:cs="宋体"/>
          <w:color w:val="auto"/>
          <w:sz w:val="24"/>
          <w:szCs w:val="24"/>
          <w:lang w:val="en-US" w:eastAsia="zh-CN" w:bidi="ar-SA"/>
        </w:rPr>
        <w:t>检测团队技术人员应不少于4</w:t>
      </w:r>
      <w:r>
        <w:rPr>
          <w:rFonts w:hint="default" w:ascii="宋体" w:hAnsi="宋体" w:cs="宋体"/>
          <w:color w:val="auto"/>
          <w:sz w:val="24"/>
          <w:szCs w:val="24"/>
          <w:lang w:val="en-US" w:eastAsia="zh-CN" w:bidi="ar-SA"/>
        </w:rPr>
        <w:t>8</w:t>
      </w:r>
      <w:r>
        <w:rPr>
          <w:rFonts w:hint="eastAsia" w:ascii="宋体" w:hAnsi="宋体" w:cs="宋体"/>
          <w:color w:val="auto"/>
          <w:sz w:val="24"/>
          <w:szCs w:val="24"/>
          <w:lang w:val="en-US" w:eastAsia="zh-CN" w:bidi="ar-SA"/>
        </w:rPr>
        <w:t>人，其中：</w:t>
      </w:r>
      <w:r>
        <w:rPr>
          <w:rFonts w:hint="eastAsia" w:ascii="宋体" w:hAnsi="宋体" w:eastAsia="宋体" w:cs="宋体"/>
          <w:color w:val="auto"/>
          <w:sz w:val="24"/>
          <w:szCs w:val="24"/>
          <w:highlight w:val="none"/>
          <w:lang w:val="en-US" w:eastAsia="zh-CN" w:bidi="ar-SA"/>
        </w:rPr>
        <w:t>抽样人员</w:t>
      </w:r>
      <w:r>
        <w:rPr>
          <w:rFonts w:hint="eastAsia" w:ascii="宋体" w:hAnsi="宋体" w:cs="宋体"/>
          <w:color w:val="auto"/>
          <w:sz w:val="24"/>
          <w:szCs w:val="24"/>
          <w:highlight w:val="none"/>
          <w:lang w:val="en-US" w:eastAsia="zh-CN" w:bidi="ar-SA"/>
        </w:rPr>
        <w:t>不少于</w:t>
      </w:r>
      <w:r>
        <w:rPr>
          <w:rFonts w:hint="default" w:ascii="宋体" w:hAnsi="宋体" w:cs="宋体"/>
          <w:color w:val="auto"/>
          <w:sz w:val="24"/>
          <w:szCs w:val="24"/>
          <w:highlight w:val="none"/>
          <w:lang w:val="en-US" w:eastAsia="zh-CN" w:bidi="ar-SA"/>
        </w:rPr>
        <w:t>8</w:t>
      </w:r>
      <w:r>
        <w:rPr>
          <w:rFonts w:hint="eastAsia" w:ascii="宋体" w:hAnsi="宋体" w:cs="宋体"/>
          <w:color w:val="auto"/>
          <w:sz w:val="24"/>
          <w:szCs w:val="24"/>
          <w:highlight w:val="none"/>
          <w:lang w:val="en-US" w:eastAsia="zh-CN" w:bidi="ar-SA"/>
        </w:rPr>
        <w:t>人，</w:t>
      </w:r>
      <w:r>
        <w:rPr>
          <w:rFonts w:hint="eastAsia" w:ascii="宋体" w:hAnsi="宋体" w:eastAsia="宋体" w:cs="宋体"/>
          <w:color w:val="auto"/>
          <w:sz w:val="24"/>
          <w:szCs w:val="24"/>
          <w:highlight w:val="none"/>
          <w:lang w:val="en-US" w:eastAsia="zh-CN" w:bidi="ar-SA"/>
        </w:rPr>
        <w:t>食品农产品检测团队（含项目负责人）</w:t>
      </w:r>
      <w:r>
        <w:rPr>
          <w:rFonts w:hint="eastAsia" w:ascii="宋体" w:hAnsi="宋体" w:cs="宋体"/>
          <w:color w:val="auto"/>
          <w:sz w:val="24"/>
          <w:szCs w:val="24"/>
          <w:highlight w:val="none"/>
          <w:lang w:val="en-US" w:eastAsia="zh-CN" w:bidi="ar-SA"/>
        </w:rPr>
        <w:t>不少于40人，且中级以上职称技术人员不少于40%，</w:t>
      </w:r>
      <w:r>
        <w:rPr>
          <w:rFonts w:hint="eastAsia" w:ascii="宋体" w:hAnsi="宋体" w:eastAsia="宋体" w:cs="宋体"/>
          <w:color w:val="auto"/>
          <w:sz w:val="24"/>
          <w:szCs w:val="24"/>
          <w:highlight w:val="none"/>
          <w:lang w:val="en-US" w:eastAsia="zh-CN" w:bidi="ar-SA"/>
        </w:rPr>
        <w:t>并具备与本项目相关的专业技术能力。</w:t>
      </w:r>
      <w:r>
        <w:rPr>
          <w:rFonts w:hint="eastAsia" w:ascii="宋体" w:hAnsi="宋体" w:eastAsia="宋体" w:cs="宋体"/>
          <w:b/>
          <w:bCs/>
          <w:color w:val="auto"/>
          <w:sz w:val="24"/>
          <w:szCs w:val="24"/>
          <w:highlight w:val="none"/>
          <w:lang w:val="en-US" w:eastAsia="zh-CN" w:bidi="ar-SA"/>
        </w:rPr>
        <w:t>（响应文件中需提供人员配备表，格式见附表1）</w:t>
      </w:r>
      <w:r>
        <w:rPr>
          <w:rFonts w:hint="eastAsia" w:ascii="宋体" w:hAnsi="宋体" w:eastAsia="宋体" w:cs="宋体"/>
          <w:color w:val="auto"/>
          <w:sz w:val="24"/>
          <w:szCs w:val="24"/>
          <w:highlight w:val="none"/>
          <w:lang w:val="en-US" w:eastAsia="zh-CN" w:bidi="ar-SA"/>
        </w:rPr>
        <w:t>。</w:t>
      </w:r>
    </w:p>
    <w:p w14:paraId="1F9437AA">
      <w:pPr>
        <w:pStyle w:val="4"/>
        <w:keepNext w:val="0"/>
        <w:keepLines w:val="0"/>
        <w:pageBreakBefore w:val="0"/>
        <w:kinsoku/>
        <w:wordWrap/>
        <w:overflowPunct/>
        <w:topLinePunct w:val="0"/>
        <w:autoSpaceDE/>
        <w:autoSpaceDN/>
        <w:bidi w:val="0"/>
        <w:adjustRightInd w:val="0"/>
        <w:spacing w:line="360" w:lineRule="auto"/>
        <w:ind w:firstLine="480" w:firstLineChars="200"/>
        <w:jc w:val="both"/>
        <w:textAlignment w:val="baseline"/>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r>
        <w:rPr>
          <w:rFonts w:hint="eastAsia" w:ascii="宋体" w:hAnsi="宋体" w:cs="宋体"/>
          <w:color w:val="auto"/>
          <w:sz w:val="24"/>
          <w:szCs w:val="24"/>
          <w:highlight w:val="none"/>
          <w:lang w:val="en-US" w:eastAsia="zh-CN"/>
        </w:rPr>
        <w:t>管理人员应不少于7人，其中：</w:t>
      </w:r>
      <w:r>
        <w:rPr>
          <w:rFonts w:hint="eastAsia" w:ascii="宋体" w:hAnsi="宋体" w:eastAsia="宋体" w:cs="宋体"/>
          <w:color w:val="auto"/>
          <w:sz w:val="24"/>
          <w:szCs w:val="24"/>
          <w:highlight w:val="none"/>
          <w:lang w:val="en-US" w:eastAsia="zh-CN"/>
        </w:rPr>
        <w:t>项目负责人不少于2人，</w:t>
      </w:r>
      <w:r>
        <w:rPr>
          <w:rFonts w:hint="eastAsia" w:ascii="宋体" w:hAnsi="宋体" w:cs="宋体"/>
          <w:color w:val="auto"/>
          <w:sz w:val="24"/>
          <w:szCs w:val="24"/>
          <w:highlight w:val="none"/>
          <w:lang w:val="en-US" w:eastAsia="zh-CN"/>
        </w:rPr>
        <w:t>且应</w:t>
      </w:r>
      <w:r>
        <w:rPr>
          <w:rFonts w:hint="eastAsia" w:ascii="宋体" w:hAnsi="宋体" w:eastAsia="宋体" w:cs="宋体"/>
          <w:color w:val="auto"/>
          <w:sz w:val="24"/>
          <w:szCs w:val="24"/>
          <w:highlight w:val="none"/>
          <w:lang w:val="en-US" w:eastAsia="zh-CN"/>
        </w:rPr>
        <w:t>具有高级职称</w:t>
      </w:r>
      <w:r>
        <w:rPr>
          <w:rFonts w:hint="eastAsia" w:ascii="宋体" w:hAnsi="宋体" w:cs="宋体"/>
          <w:color w:val="auto"/>
          <w:sz w:val="24"/>
          <w:szCs w:val="24"/>
          <w:highlight w:val="none"/>
          <w:lang w:val="en-US" w:eastAsia="zh-CN"/>
        </w:rPr>
        <w:t>（含副高）；技术负责人、质量负责人或授权签字人总计不少于</w:t>
      </w:r>
      <w:r>
        <w:rPr>
          <w:rFonts w:hint="eastAsia" w:ascii="宋体" w:hAnsi="宋体" w:eastAsia="宋体" w:cs="宋体"/>
          <w:color w:val="auto"/>
          <w:sz w:val="24"/>
          <w:szCs w:val="24"/>
          <w:highlight w:val="none"/>
          <w:lang w:val="en-US" w:eastAsia="zh-CN"/>
        </w:rPr>
        <w:t>5人，</w:t>
      </w:r>
      <w:r>
        <w:rPr>
          <w:rFonts w:hint="eastAsia" w:ascii="宋体" w:hAnsi="宋体" w:cs="宋体"/>
          <w:color w:val="auto"/>
          <w:sz w:val="24"/>
          <w:szCs w:val="24"/>
          <w:highlight w:val="none"/>
          <w:lang w:val="en-US" w:eastAsia="zh-CN"/>
        </w:rPr>
        <w:t>应具有丰富的从事检验检测机构管理的经验和资历。</w:t>
      </w:r>
      <w:r>
        <w:rPr>
          <w:rFonts w:hint="eastAsia" w:ascii="宋体" w:hAnsi="宋体" w:eastAsia="宋体" w:cs="宋体"/>
          <w:b/>
          <w:bCs/>
          <w:i w:val="0"/>
          <w:iCs w:val="0"/>
          <w:color w:val="auto"/>
          <w:sz w:val="24"/>
          <w:szCs w:val="24"/>
          <w:highlight w:val="none"/>
          <w:lang w:val="en-US" w:eastAsia="zh-CN"/>
        </w:rPr>
        <w:t>如项目团队在服务过程中需更换团队成员，需经双方协商，采购人同意后执行。</w:t>
      </w:r>
      <w:r>
        <w:rPr>
          <w:rFonts w:hint="eastAsia" w:ascii="宋体" w:hAnsi="宋体" w:eastAsia="宋体" w:cs="宋体"/>
          <w:b/>
          <w:bCs/>
          <w:i w:val="0"/>
          <w:iCs w:val="0"/>
          <w:color w:val="auto"/>
          <w:sz w:val="24"/>
          <w:szCs w:val="24"/>
          <w:highlight w:val="none"/>
          <w:lang w:val="en-US" w:eastAsia="zh-CN" w:bidi="ar-SA"/>
        </w:rPr>
        <w:t>更换的人员不得低于投标时提供的人员资质能力，更换人员比例不得超过10%，提交更换人员申请不得高于2次。项目负责人不得更换。</w:t>
      </w:r>
    </w:p>
    <w:p w14:paraId="11171EA4">
      <w:pPr>
        <w:pStyle w:val="4"/>
        <w:keepNext w:val="0"/>
        <w:keepLines w:val="0"/>
        <w:pageBreakBefore w:val="0"/>
        <w:kinsoku/>
        <w:wordWrap/>
        <w:overflowPunct/>
        <w:topLinePunct w:val="0"/>
        <w:autoSpaceDE/>
        <w:autoSpaceDN/>
        <w:bidi w:val="0"/>
        <w:adjustRightInd w:val="0"/>
        <w:spacing w:line="360" w:lineRule="auto"/>
        <w:ind w:firstLine="480" w:firstLineChars="200"/>
        <w:jc w:val="both"/>
        <w:textAlignment w:val="baseline"/>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（8）</w:t>
      </w:r>
      <w:r>
        <w:rPr>
          <w:rFonts w:hint="eastAsia" w:ascii="宋体" w:hAnsi="宋体" w:eastAsia="宋体" w:cs="宋体"/>
          <w:color w:val="auto"/>
          <w:sz w:val="24"/>
          <w:szCs w:val="24"/>
          <w:lang w:val="en-US" w:eastAsia="zh-CN"/>
        </w:rPr>
        <w:t>对采购方进行农产品检测技术服务，帮助提高检测能力，</w:t>
      </w:r>
      <w:r>
        <w:rPr>
          <w:rFonts w:hint="eastAsia" w:ascii="宋体" w:hAnsi="宋体" w:cs="宋体"/>
          <w:color w:val="auto"/>
          <w:sz w:val="24"/>
          <w:szCs w:val="24"/>
          <w:lang w:val="en-US" w:eastAsia="zh-CN"/>
        </w:rPr>
        <w:t>并免费</w:t>
      </w:r>
      <w:r>
        <w:rPr>
          <w:rFonts w:hint="eastAsia" w:ascii="宋体" w:hAnsi="宋体" w:eastAsia="宋体" w:cs="宋体"/>
          <w:color w:val="auto"/>
          <w:sz w:val="24"/>
          <w:szCs w:val="24"/>
          <w:lang w:val="en-US" w:eastAsia="zh-CN"/>
        </w:rPr>
        <w:t>完成</w:t>
      </w:r>
      <w:r>
        <w:rPr>
          <w:rFonts w:hint="eastAsia" w:ascii="宋体" w:hAnsi="宋体" w:cs="宋体"/>
          <w:b/>
          <w:bCs/>
          <w:color w:val="auto"/>
          <w:sz w:val="24"/>
          <w:szCs w:val="24"/>
          <w:lang w:val="en-US" w:eastAsia="zh-CN"/>
        </w:rPr>
        <w:t>1000批次</w:t>
      </w:r>
      <w:r>
        <w:rPr>
          <w:rFonts w:hint="eastAsia" w:ascii="宋体" w:hAnsi="宋体" w:eastAsia="宋体" w:cs="宋体"/>
          <w:color w:val="auto"/>
          <w:sz w:val="24"/>
          <w:szCs w:val="24"/>
          <w:lang w:val="en-US" w:eastAsia="zh-CN"/>
        </w:rPr>
        <w:t>市级监测任务，保证检测结果符合省农业农村厅</w:t>
      </w:r>
      <w:r>
        <w:rPr>
          <w:rFonts w:hint="eastAsia" w:ascii="宋体" w:hAnsi="宋体" w:cs="宋体"/>
          <w:color w:val="auto"/>
          <w:sz w:val="24"/>
          <w:szCs w:val="24"/>
          <w:lang w:val="en-US" w:eastAsia="zh-CN"/>
        </w:rPr>
        <w:t>文件对检测项目、问题发现率的</w:t>
      </w:r>
      <w:r>
        <w:rPr>
          <w:rFonts w:hint="eastAsia" w:ascii="宋体" w:hAnsi="宋体" w:eastAsia="宋体" w:cs="宋体"/>
          <w:color w:val="auto"/>
          <w:sz w:val="24"/>
          <w:szCs w:val="24"/>
          <w:lang w:val="en-US" w:eastAsia="zh-CN"/>
        </w:rPr>
        <w:t>要求。</w:t>
      </w:r>
    </w:p>
    <w:p w14:paraId="0EB4FDA4">
      <w:pPr>
        <w:pStyle w:val="4"/>
        <w:keepNext w:val="0"/>
        <w:keepLines w:val="0"/>
        <w:pageBreakBefore w:val="0"/>
        <w:kinsoku/>
        <w:wordWrap/>
        <w:overflowPunct/>
        <w:topLinePunct w:val="0"/>
        <w:autoSpaceDE/>
        <w:autoSpaceDN/>
        <w:bidi w:val="0"/>
        <w:adjustRightInd w:val="0"/>
        <w:spacing w:line="360" w:lineRule="auto"/>
        <w:ind w:firstLine="480" w:firstLineChars="200"/>
        <w:jc w:val="both"/>
        <w:textAlignment w:val="baseline"/>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（9）应具备充足的可满足项目短时间内大批量抽样检测需求的实验室场地、样品存储场所</w:t>
      </w:r>
      <w:r>
        <w:rPr>
          <w:rFonts w:hint="eastAsia" w:ascii="宋体" w:hAnsi="宋体" w:cs="宋体"/>
          <w:color w:val="auto"/>
          <w:sz w:val="24"/>
          <w:szCs w:val="24"/>
          <w:lang w:val="en-US" w:eastAsia="zh-CN" w:bidi="ar-SA"/>
        </w:rPr>
        <w:t>，实验室面积不少于3000m</w:t>
      </w:r>
      <w:r>
        <w:rPr>
          <w:rFonts w:hint="eastAsia" w:ascii="宋体" w:hAnsi="宋体" w:cs="宋体"/>
          <w:color w:val="auto"/>
          <w:sz w:val="24"/>
          <w:szCs w:val="24"/>
          <w:vertAlign w:val="superscript"/>
          <w:lang w:val="en-US" w:eastAsia="zh-CN" w:bidi="ar-SA"/>
        </w:rPr>
        <w:t>2</w:t>
      </w:r>
      <w:r>
        <w:rPr>
          <w:rFonts w:hint="eastAsia" w:ascii="宋体" w:hAnsi="宋体" w:cs="宋体"/>
          <w:color w:val="auto"/>
          <w:sz w:val="24"/>
          <w:szCs w:val="24"/>
          <w:lang w:val="en-US" w:eastAsia="zh-CN" w:bidi="ar-SA"/>
        </w:rPr>
        <w:t>、样品储存场所不少于400m</w:t>
      </w:r>
      <w:r>
        <w:rPr>
          <w:rFonts w:hint="eastAsia" w:ascii="宋体" w:hAnsi="宋体" w:cs="宋体"/>
          <w:color w:val="auto"/>
          <w:sz w:val="24"/>
          <w:szCs w:val="24"/>
          <w:vertAlign w:val="superscript"/>
          <w:lang w:val="en-US" w:eastAsia="zh-CN" w:bidi="ar-SA"/>
        </w:rPr>
        <w:t>3</w:t>
      </w:r>
      <w:r>
        <w:rPr>
          <w:rFonts w:hint="eastAsia" w:ascii="宋体" w:hAnsi="宋体" w:eastAsia="宋体" w:cs="宋体"/>
          <w:color w:val="auto"/>
          <w:sz w:val="24"/>
          <w:szCs w:val="24"/>
          <w:lang w:val="en-US" w:eastAsia="zh-CN" w:bidi="ar-SA"/>
        </w:rPr>
        <w:t>。</w:t>
      </w:r>
    </w:p>
    <w:p w14:paraId="6B0849FA">
      <w:pPr>
        <w:pStyle w:val="4"/>
        <w:keepNext w:val="0"/>
        <w:keepLines w:val="0"/>
        <w:pageBreakBefore w:val="0"/>
        <w:kinsoku/>
        <w:wordWrap/>
        <w:overflowPunct/>
        <w:topLinePunct w:val="0"/>
        <w:autoSpaceDE/>
        <w:autoSpaceDN/>
        <w:bidi w:val="0"/>
        <w:adjustRightInd w:val="0"/>
        <w:spacing w:line="360" w:lineRule="auto"/>
        <w:ind w:firstLine="480" w:firstLineChars="200"/>
        <w:jc w:val="both"/>
        <w:textAlignment w:val="baseline"/>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（10）应具备能按时按质完成短时间内大批量样品检测任务的仪器设备，不少于</w:t>
      </w:r>
      <w:r>
        <w:rPr>
          <w:rFonts w:hint="eastAsia" w:ascii="宋体" w:hAnsi="宋体" w:eastAsia="宋体" w:cs="宋体"/>
          <w:color w:val="auto"/>
          <w:sz w:val="24"/>
          <w:szCs w:val="24"/>
          <w:lang w:val="en-US" w:eastAsia="zh-CN"/>
        </w:rPr>
        <w:t>气相色谱串联质谱仪（GC-MS-MS）4台、高效液相色谱-串联质谱联用仪（LC-MS-MS）4台</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lang w:val="en-US" w:eastAsia="zh-CN"/>
        </w:rPr>
        <w:t>电感耦合等离子体质谱</w:t>
      </w:r>
      <w:r>
        <w:rPr>
          <w:rFonts w:hint="eastAsia" w:ascii="宋体" w:hAnsi="宋体" w:eastAsia="宋体" w:cs="宋体"/>
          <w:color w:val="auto"/>
          <w:sz w:val="24"/>
          <w:szCs w:val="24"/>
          <w:lang w:val="en-US" w:eastAsia="zh-CN" w:bidi="ar-SA"/>
        </w:rPr>
        <w:t>仪（ICP-MS）</w:t>
      </w:r>
      <w:r>
        <w:rPr>
          <w:rFonts w:hint="eastAsia" w:ascii="宋体" w:hAnsi="宋体" w:cs="宋体"/>
          <w:color w:val="auto"/>
          <w:sz w:val="24"/>
          <w:szCs w:val="24"/>
          <w:lang w:val="en-US" w:eastAsia="zh-CN" w:bidi="ar-SA"/>
        </w:rPr>
        <w:t>1</w:t>
      </w:r>
      <w:r>
        <w:rPr>
          <w:rFonts w:hint="eastAsia" w:ascii="宋体" w:hAnsi="宋体" w:eastAsia="宋体" w:cs="宋体"/>
          <w:color w:val="auto"/>
          <w:sz w:val="24"/>
          <w:szCs w:val="24"/>
          <w:lang w:val="en-US" w:eastAsia="zh-CN" w:bidi="ar-SA"/>
        </w:rPr>
        <w:t>台、气相色谱仪5台、液相色谱仪5台等仪器以及储存环境。仪器完好率不得低于100%。</w:t>
      </w:r>
      <w:r>
        <w:rPr>
          <w:rFonts w:hint="eastAsia" w:ascii="宋体" w:hAnsi="宋体" w:eastAsia="宋体" w:cs="宋体"/>
          <w:b/>
          <w:bCs/>
          <w:color w:val="auto"/>
          <w:sz w:val="24"/>
          <w:szCs w:val="24"/>
          <w:highlight w:val="none"/>
          <w:lang w:val="en-US" w:eastAsia="zh-CN" w:bidi="ar-SA"/>
        </w:rPr>
        <w:t>（响应文件中需提供仪器设备清单，格式见附表2）</w:t>
      </w:r>
    </w:p>
    <w:p w14:paraId="461F8372">
      <w:pPr>
        <w:pStyle w:val="4"/>
        <w:keepNext w:val="0"/>
        <w:keepLines w:val="0"/>
        <w:pageBreakBefore w:val="0"/>
        <w:kinsoku/>
        <w:wordWrap/>
        <w:overflowPunct/>
        <w:topLinePunct w:val="0"/>
        <w:autoSpaceDE/>
        <w:autoSpaceDN/>
        <w:bidi w:val="0"/>
        <w:adjustRightInd w:val="0"/>
        <w:spacing w:line="360" w:lineRule="auto"/>
        <w:ind w:firstLine="480" w:firstLineChars="200"/>
        <w:jc w:val="both"/>
        <w:textAlignment w:val="baseline"/>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11）应具有提供准确的检测数据的质量控制手段，有定期参与农业农村部、省级农村农村部门组织的农产品检测相关的能力验证（测试）活动，实验室间比对等符合CATL考核要求的质量控制活动，并获得合格的结果。</w:t>
      </w:r>
    </w:p>
    <w:p w14:paraId="70027DFA">
      <w:pPr>
        <w:pStyle w:val="4"/>
        <w:keepNext w:val="0"/>
        <w:keepLines w:val="0"/>
        <w:pageBreakBefore w:val="0"/>
        <w:kinsoku/>
        <w:wordWrap/>
        <w:overflowPunct/>
        <w:topLinePunct w:val="0"/>
        <w:autoSpaceDE/>
        <w:autoSpaceDN/>
        <w:bidi w:val="0"/>
        <w:adjustRightInd w:val="0"/>
        <w:spacing w:line="360" w:lineRule="auto"/>
        <w:ind w:firstLine="480" w:firstLineChars="200"/>
        <w:jc w:val="both"/>
        <w:textAlignment w:val="baseline"/>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w:t>
      </w:r>
      <w:r>
        <w:rPr>
          <w:rFonts w:hint="eastAsia" w:ascii="宋体" w:hAnsi="宋体" w:cs="宋体"/>
          <w:color w:val="auto"/>
          <w:sz w:val="24"/>
          <w:szCs w:val="24"/>
          <w:lang w:val="en-US" w:eastAsia="zh-CN" w:bidi="ar-SA"/>
        </w:rPr>
        <w:t>2</w:t>
      </w:r>
      <w:r>
        <w:rPr>
          <w:rFonts w:hint="eastAsia" w:ascii="宋体" w:hAnsi="宋体" w:eastAsia="宋体" w:cs="宋体"/>
          <w:color w:val="auto"/>
          <w:sz w:val="24"/>
          <w:szCs w:val="24"/>
          <w:lang w:val="en-US" w:eastAsia="zh-CN" w:bidi="ar-SA"/>
        </w:rPr>
        <w:t>）应具备承担省级或以上农产品质量安全检测</w:t>
      </w:r>
      <w:r>
        <w:rPr>
          <w:rFonts w:hint="eastAsia" w:ascii="宋体" w:hAnsi="宋体" w:cs="宋体"/>
          <w:color w:val="auto"/>
          <w:sz w:val="24"/>
          <w:szCs w:val="24"/>
          <w:lang w:val="en-US" w:eastAsia="zh-CN" w:bidi="ar-SA"/>
        </w:rPr>
        <w:t>并达到问题发现率</w:t>
      </w:r>
      <w:r>
        <w:rPr>
          <w:rFonts w:hint="eastAsia" w:ascii="宋体" w:hAnsi="宋体" w:eastAsia="宋体" w:cs="宋体"/>
          <w:color w:val="auto"/>
          <w:sz w:val="24"/>
          <w:szCs w:val="24"/>
          <w:lang w:val="en-US" w:eastAsia="zh-CN" w:bidi="ar-SA"/>
        </w:rPr>
        <w:t>的</w:t>
      </w:r>
      <w:r>
        <w:rPr>
          <w:rFonts w:hint="eastAsia" w:ascii="宋体" w:hAnsi="宋体" w:cs="宋体"/>
          <w:color w:val="auto"/>
          <w:sz w:val="24"/>
          <w:szCs w:val="24"/>
          <w:lang w:val="en-US" w:eastAsia="zh-CN" w:bidi="ar-SA"/>
        </w:rPr>
        <w:t>成功</w:t>
      </w:r>
      <w:r>
        <w:rPr>
          <w:rFonts w:hint="eastAsia" w:ascii="宋体" w:hAnsi="宋体" w:eastAsia="宋体" w:cs="宋体"/>
          <w:color w:val="auto"/>
          <w:sz w:val="24"/>
          <w:szCs w:val="24"/>
          <w:lang w:val="en-US" w:eastAsia="zh-CN" w:bidi="ar-SA"/>
        </w:rPr>
        <w:t>经验。</w:t>
      </w:r>
    </w:p>
    <w:p w14:paraId="1D97764C">
      <w:pPr>
        <w:pStyle w:val="4"/>
        <w:keepNext w:val="0"/>
        <w:keepLines w:val="0"/>
        <w:pageBreakBefore w:val="0"/>
        <w:kinsoku/>
        <w:wordWrap/>
        <w:overflowPunct/>
        <w:topLinePunct w:val="0"/>
        <w:autoSpaceDE/>
        <w:autoSpaceDN/>
        <w:bidi w:val="0"/>
        <w:adjustRightInd w:val="0"/>
        <w:spacing w:line="360" w:lineRule="auto"/>
        <w:ind w:firstLine="480" w:firstLineChars="200"/>
        <w:jc w:val="both"/>
        <w:textAlignment w:val="baseline"/>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w:t>
      </w:r>
      <w:r>
        <w:rPr>
          <w:rFonts w:hint="eastAsia" w:ascii="宋体" w:hAnsi="宋体" w:cs="宋体"/>
          <w:color w:val="auto"/>
          <w:sz w:val="24"/>
          <w:szCs w:val="24"/>
          <w:lang w:val="en-US" w:eastAsia="zh-CN" w:bidi="ar-SA"/>
        </w:rPr>
        <w:t>3</w:t>
      </w:r>
      <w:r>
        <w:rPr>
          <w:rFonts w:hint="eastAsia" w:ascii="宋体" w:hAnsi="宋体" w:eastAsia="宋体" w:cs="宋体"/>
          <w:color w:val="auto"/>
          <w:sz w:val="24"/>
          <w:szCs w:val="24"/>
          <w:lang w:val="en-US" w:eastAsia="zh-CN" w:bidi="ar-SA"/>
        </w:rPr>
        <w:t>）应具备完善的质量管理体系和实验室信息管理系统。</w:t>
      </w:r>
    </w:p>
    <w:p w14:paraId="23AA19C4">
      <w:pPr>
        <w:keepNext w:val="0"/>
        <w:keepLines w:val="0"/>
        <w:pageBreakBefore w:val="0"/>
        <w:kinsoku/>
        <w:wordWrap/>
        <w:overflowPunct/>
        <w:topLinePunct w:val="0"/>
        <w:autoSpaceDE/>
        <w:autoSpaceDN/>
        <w:bidi w:val="0"/>
        <w:adjustRightInd w:val="0"/>
        <w:spacing w:line="360" w:lineRule="auto"/>
        <w:ind w:firstLine="480" w:firstLineChars="200"/>
        <w:textAlignment w:val="baseline"/>
        <w:rPr>
          <w:rFonts w:hint="eastAsia" w:ascii="宋体" w:hAnsi="宋体" w:eastAsia="宋体" w:cs="宋体"/>
          <w:b w:val="0"/>
          <w:bCs w:val="0"/>
          <w:color w:val="auto"/>
          <w:sz w:val="24"/>
          <w:szCs w:val="24"/>
          <w:lang w:val="en-US" w:eastAsia="zh-CN" w:bidi="ar-SA"/>
        </w:rPr>
      </w:pPr>
      <w:r>
        <w:rPr>
          <w:rFonts w:hint="eastAsia" w:ascii="宋体" w:hAnsi="宋体" w:eastAsia="宋体" w:cs="宋体"/>
          <w:b w:val="0"/>
          <w:bCs w:val="0"/>
          <w:color w:val="auto"/>
          <w:sz w:val="24"/>
          <w:szCs w:val="24"/>
          <w:lang w:val="en-US" w:eastAsia="zh-CN" w:bidi="ar-SA"/>
        </w:rPr>
        <w:t>8、监测品种及检测项目</w:t>
      </w:r>
    </w:p>
    <w:p w14:paraId="29CE2CCB">
      <w:pPr>
        <w:keepNext w:val="0"/>
        <w:keepLines w:val="0"/>
        <w:pageBreakBefore w:val="0"/>
        <w:widowControl w:val="0"/>
        <w:kinsoku/>
        <w:wordWrap/>
        <w:overflowPunct/>
        <w:topLinePunct w:val="0"/>
        <w:autoSpaceDE/>
        <w:autoSpaceDN/>
        <w:bidi w:val="0"/>
        <w:adjustRightInd w:val="0"/>
        <w:snapToGrid/>
        <w:spacing w:before="144" w:beforeLines="50" w:after="144" w:afterLines="50" w:line="360" w:lineRule="auto"/>
        <w:jc w:val="center"/>
        <w:textAlignment w:val="baseline"/>
        <w:rPr>
          <w:rFonts w:hint="eastAsia" w:ascii="宋体" w:hAnsi="宋体" w:eastAsia="宋体" w:cs="宋体"/>
          <w:b/>
          <w:color w:val="auto"/>
          <w:sz w:val="24"/>
          <w:szCs w:val="24"/>
        </w:rPr>
      </w:pPr>
      <w:r>
        <w:rPr>
          <w:rFonts w:hint="eastAsia" w:ascii="宋体" w:hAnsi="宋体" w:eastAsia="宋体" w:cs="宋体"/>
          <w:b/>
          <w:color w:val="auto"/>
          <w:sz w:val="24"/>
          <w:szCs w:val="24"/>
        </w:rPr>
        <w:t>抽检品种、项目、检验依据和判定依据表</w:t>
      </w:r>
    </w:p>
    <w:tbl>
      <w:tblPr>
        <w:tblStyle w:val="7"/>
        <w:tblW w:w="482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4"/>
        <w:gridCol w:w="2545"/>
        <w:gridCol w:w="3295"/>
        <w:gridCol w:w="1851"/>
      </w:tblGrid>
      <w:tr w14:paraId="4234E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97" w:type="pct"/>
            <w:noWrap w:val="0"/>
            <w:vAlign w:val="center"/>
          </w:tcPr>
          <w:p w14:paraId="560279FF">
            <w:pPr>
              <w:widowControl/>
              <w:spacing w:line="240" w:lineRule="exact"/>
              <w:jc w:val="center"/>
              <w:rPr>
                <w:rFonts w:hint="eastAsia" w:ascii="仿宋_GB2312" w:hAnsi="仿宋_GB2312" w:eastAsia="仿宋_GB2312" w:cs="仿宋_GB2312"/>
                <w:b/>
                <w:bCs/>
                <w:kern w:val="0"/>
                <w:szCs w:val="21"/>
                <w:lang w:bidi="ar"/>
              </w:rPr>
            </w:pPr>
            <w:r>
              <w:rPr>
                <w:rFonts w:hint="eastAsia" w:ascii="仿宋_GB2312" w:hAnsi="仿宋_GB2312" w:eastAsia="仿宋_GB2312" w:cs="仿宋_GB2312"/>
                <w:b/>
                <w:bCs/>
                <w:kern w:val="0"/>
                <w:szCs w:val="21"/>
                <w:lang w:bidi="ar"/>
              </w:rPr>
              <w:t>检测</w:t>
            </w:r>
          </w:p>
          <w:p w14:paraId="50D77E33">
            <w:pPr>
              <w:widowControl/>
              <w:spacing w:line="240" w:lineRule="exact"/>
              <w:jc w:val="center"/>
              <w:rPr>
                <w:rFonts w:hint="eastAsia" w:ascii="仿宋_GB2312" w:hAnsi="仿宋_GB2312" w:eastAsia="仿宋_GB2312" w:cs="仿宋_GB2312"/>
                <w:b/>
                <w:bCs/>
                <w:kern w:val="0"/>
                <w:szCs w:val="21"/>
                <w:lang w:bidi="ar"/>
              </w:rPr>
            </w:pPr>
            <w:r>
              <w:rPr>
                <w:rFonts w:hint="eastAsia" w:ascii="仿宋_GB2312" w:hAnsi="仿宋_GB2312" w:eastAsia="仿宋_GB2312" w:cs="仿宋_GB2312"/>
                <w:b/>
                <w:bCs/>
                <w:kern w:val="0"/>
                <w:szCs w:val="21"/>
                <w:lang w:bidi="ar"/>
              </w:rPr>
              <w:t>品种</w:t>
            </w:r>
          </w:p>
        </w:tc>
        <w:tc>
          <w:tcPr>
            <w:tcW w:w="1619" w:type="pct"/>
            <w:noWrap w:val="0"/>
            <w:vAlign w:val="center"/>
          </w:tcPr>
          <w:p w14:paraId="120B8B91">
            <w:pPr>
              <w:widowControl/>
              <w:spacing w:line="240" w:lineRule="exact"/>
              <w:jc w:val="center"/>
              <w:rPr>
                <w:rFonts w:hint="eastAsia" w:ascii="仿宋_GB2312" w:hAnsi="仿宋_GB2312" w:eastAsia="仿宋_GB2312" w:cs="仿宋_GB2312"/>
                <w:b/>
                <w:bCs/>
                <w:kern w:val="0"/>
                <w:szCs w:val="21"/>
                <w:lang w:bidi="ar"/>
              </w:rPr>
            </w:pPr>
            <w:r>
              <w:rPr>
                <w:rFonts w:hint="eastAsia" w:ascii="仿宋_GB2312" w:hAnsi="仿宋_GB2312" w:eastAsia="仿宋_GB2312" w:cs="仿宋_GB2312"/>
                <w:b/>
                <w:bCs/>
                <w:kern w:val="0"/>
                <w:szCs w:val="21"/>
                <w:lang w:bidi="ar"/>
              </w:rPr>
              <w:t>检测项目</w:t>
            </w:r>
          </w:p>
        </w:tc>
        <w:tc>
          <w:tcPr>
            <w:tcW w:w="2074" w:type="pct"/>
            <w:noWrap w:val="0"/>
            <w:vAlign w:val="center"/>
          </w:tcPr>
          <w:p w14:paraId="4B02DD7A">
            <w:pPr>
              <w:widowControl/>
              <w:spacing w:line="240" w:lineRule="exact"/>
              <w:jc w:val="center"/>
              <w:rPr>
                <w:rFonts w:hint="eastAsia" w:ascii="仿宋_GB2312" w:hAnsi="仿宋_GB2312" w:eastAsia="仿宋_GB2312" w:cs="仿宋_GB2312"/>
                <w:b/>
                <w:bCs/>
                <w:kern w:val="0"/>
                <w:szCs w:val="21"/>
                <w:lang w:bidi="ar"/>
              </w:rPr>
            </w:pPr>
            <w:r>
              <w:rPr>
                <w:rFonts w:hint="eastAsia" w:ascii="仿宋_GB2312" w:hAnsi="仿宋_GB2312" w:eastAsia="仿宋_GB2312" w:cs="仿宋_GB2312"/>
                <w:b/>
                <w:bCs/>
                <w:kern w:val="0"/>
                <w:szCs w:val="21"/>
                <w:lang w:bidi="ar"/>
              </w:rPr>
              <w:t>检测依据</w:t>
            </w:r>
          </w:p>
        </w:tc>
        <w:tc>
          <w:tcPr>
            <w:tcW w:w="908" w:type="pct"/>
            <w:noWrap w:val="0"/>
            <w:vAlign w:val="center"/>
          </w:tcPr>
          <w:p w14:paraId="67CE4006">
            <w:pPr>
              <w:widowControl/>
              <w:spacing w:line="240" w:lineRule="exact"/>
              <w:jc w:val="center"/>
              <w:rPr>
                <w:rFonts w:hint="eastAsia" w:ascii="仿宋_GB2312" w:hAnsi="仿宋_GB2312" w:eastAsia="仿宋_GB2312" w:cs="仿宋_GB2312"/>
                <w:b/>
                <w:bCs/>
                <w:kern w:val="0"/>
                <w:szCs w:val="21"/>
                <w:lang w:bidi="ar"/>
              </w:rPr>
            </w:pPr>
            <w:r>
              <w:rPr>
                <w:rFonts w:hint="eastAsia" w:ascii="仿宋_GB2312" w:hAnsi="仿宋_GB2312" w:eastAsia="仿宋_GB2312" w:cs="仿宋_GB2312"/>
                <w:b/>
                <w:bCs/>
                <w:kern w:val="0"/>
                <w:szCs w:val="21"/>
                <w:lang w:bidi="ar"/>
              </w:rPr>
              <w:t>判定依据</w:t>
            </w:r>
          </w:p>
        </w:tc>
      </w:tr>
      <w:tr w14:paraId="65D0D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53" w:hRule="atLeast"/>
          <w:jc w:val="center"/>
        </w:trPr>
        <w:tc>
          <w:tcPr>
            <w:tcW w:w="397" w:type="pct"/>
            <w:noWrap w:val="0"/>
            <w:vAlign w:val="center"/>
          </w:tcPr>
          <w:p w14:paraId="107B48F2">
            <w:pPr>
              <w:widowControl/>
              <w:spacing w:line="240" w:lineRule="exact"/>
              <w:jc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蔬菜</w:t>
            </w:r>
          </w:p>
          <w:p w14:paraId="08D004E2">
            <w:pPr>
              <w:widowControl/>
              <w:spacing w:line="240" w:lineRule="exact"/>
              <w:jc w:val="center"/>
              <w:rPr>
                <w:rFonts w:hint="eastAsia" w:ascii="仿宋_GB2312" w:hAnsi="仿宋_GB2312" w:eastAsia="仿宋_GB2312" w:cs="仿宋_GB2312"/>
                <w:kern w:val="0"/>
                <w:szCs w:val="21"/>
                <w:lang w:bidi="ar"/>
              </w:rPr>
            </w:pPr>
          </w:p>
          <w:p w14:paraId="4890D0C9">
            <w:pPr>
              <w:widowControl/>
              <w:spacing w:line="240" w:lineRule="exact"/>
              <w:jc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水果</w:t>
            </w:r>
          </w:p>
          <w:p w14:paraId="424B47BE">
            <w:pPr>
              <w:widowControl/>
              <w:spacing w:line="240" w:lineRule="exact"/>
              <w:jc w:val="center"/>
              <w:rPr>
                <w:rFonts w:hint="eastAsia" w:ascii="仿宋_GB2312" w:hAnsi="仿宋_GB2312" w:eastAsia="仿宋_GB2312" w:cs="仿宋_GB2312"/>
                <w:kern w:val="0"/>
                <w:szCs w:val="21"/>
                <w:lang w:bidi="ar"/>
              </w:rPr>
            </w:pPr>
          </w:p>
          <w:p w14:paraId="3ECC2E83">
            <w:pPr>
              <w:widowControl/>
              <w:spacing w:line="240" w:lineRule="exact"/>
              <w:jc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食用菌</w:t>
            </w:r>
          </w:p>
        </w:tc>
        <w:tc>
          <w:tcPr>
            <w:tcW w:w="1619" w:type="pct"/>
            <w:noWrap w:val="0"/>
            <w:vAlign w:val="center"/>
          </w:tcPr>
          <w:p w14:paraId="66F1DA82">
            <w:pPr>
              <w:widowControl/>
              <w:spacing w:line="20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禁用药物：甲胺磷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灭线磷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对硫磷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甲基对硫磷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六六六</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三氯杀螨醇</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甲拌磷（包括甲拌磷砜和甲拌磷亚砜）</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水胺硫磷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甲基异柳磷；氧乐果</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克百威（包括3-羟基克百威）</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灭多威</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涕灭威（包括涕灭威砜</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涕灭威亚砜）(2026年6月1日起禁止使用)</w:t>
            </w:r>
          </w:p>
          <w:p w14:paraId="7BDEFCB1">
            <w:pPr>
              <w:widowControl/>
              <w:spacing w:line="200" w:lineRule="exact"/>
              <w:jc w:val="left"/>
              <w:rPr>
                <w:rFonts w:hint="eastAsia" w:ascii="仿宋_GB2312" w:hAnsi="仿宋_GB2312" w:eastAsia="仿宋_GB2312" w:cs="仿宋_GB2312"/>
                <w:kern w:val="0"/>
                <w:szCs w:val="21"/>
                <w:lang w:bidi="ar"/>
              </w:rPr>
            </w:pPr>
          </w:p>
          <w:p w14:paraId="44705C9C">
            <w:pPr>
              <w:widowControl/>
              <w:spacing w:line="20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限用药物：氟虫腈（包括氟甲腈</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氟虫腈硫醚</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氟虫腈砜）</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丁硫克百威</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毒死蜱</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三唑磷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乐果</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乙酰甲胺磷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内吸磷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硫环磷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氯唑磷</w:t>
            </w:r>
          </w:p>
          <w:p w14:paraId="3E5EF6EF">
            <w:pPr>
              <w:widowControl/>
              <w:spacing w:line="200" w:lineRule="exact"/>
              <w:jc w:val="left"/>
              <w:rPr>
                <w:rFonts w:hint="eastAsia" w:ascii="仿宋_GB2312" w:hAnsi="仿宋_GB2312" w:eastAsia="仿宋_GB2312" w:cs="仿宋_GB2312"/>
                <w:kern w:val="0"/>
                <w:szCs w:val="21"/>
                <w:lang w:bidi="ar"/>
              </w:rPr>
            </w:pPr>
          </w:p>
          <w:p w14:paraId="11DC3396">
            <w:pPr>
              <w:widowControl/>
              <w:spacing w:line="20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常规药物：氰戊菊酯</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敌敌畏</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丙溴磷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杀螟硫磷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二嗪磷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马拉硫磷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亚胺硫磷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伏杀硫磷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辛硫磷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氯氰菊酯</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甲氰菊酯</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氯氟氰菊酯</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氟氯氰菊酯</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溴氰菊酯</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联苯菊酯</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氟胺氰菊酯</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氟氰戊菊酯</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三唑酮</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百菌清</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异菌脲</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甲萘威</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腐霉利</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五氯硝基苯</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乙烯菌核利</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多菌灵</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吡虫啉</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啶虫脒</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哒螨灵</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苯醚甲环唑</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嘧霉胺</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甲氨基阿维菌素苯甲酸盐</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烯酰吗啉</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虫螨腈</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咪鲜胺</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嘧菌酯</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二甲戊乐灵</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噻虫嗪</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氟啶脲</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灭幼脲</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灭蝇胺</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甲霜灵</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霜霉威</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多效唑</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氯虫苯甲酰胺</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氯菊酯（异构体之和）</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醚菊酯</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虫酰肼</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吡唑醚菌酯</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阿维菌素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除虫脲</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敌</w:t>
            </w:r>
            <w:r>
              <w:rPr>
                <w:rFonts w:hint="eastAsia" w:ascii="仿宋_GB2312" w:hAnsi="仿宋_GB2312" w:eastAsia="仿宋_GB2312" w:cs="仿宋_GB2312"/>
                <w:kern w:val="0"/>
                <w:szCs w:val="21"/>
                <w:lang w:val="en-US" w:eastAsia="zh-CN" w:bidi="ar"/>
              </w:rPr>
              <w:t>百虫</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倍硫磷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丙环唑</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乙基多杀菌素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多杀霉素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草甘膦</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戊唑醇</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抑霉唑</w:t>
            </w:r>
          </w:p>
          <w:p w14:paraId="4BE7C60A">
            <w:pPr>
              <w:widowControl/>
              <w:spacing w:line="200" w:lineRule="exact"/>
              <w:jc w:val="left"/>
              <w:rPr>
                <w:rFonts w:hint="eastAsia" w:ascii="仿宋_GB2312" w:hAnsi="仿宋_GB2312" w:eastAsia="仿宋_GB2312" w:cs="仿宋_GB2312"/>
                <w:kern w:val="0"/>
                <w:szCs w:val="21"/>
                <w:lang w:bidi="ar"/>
              </w:rPr>
            </w:pPr>
          </w:p>
          <w:p w14:paraId="72FB4824">
            <w:pPr>
              <w:widowControl/>
              <w:spacing w:line="20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生物毒素：黄曲霉毒素B1（花生</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稻谷）</w:t>
            </w:r>
          </w:p>
          <w:p w14:paraId="0787D69D">
            <w:pPr>
              <w:pStyle w:val="2"/>
              <w:spacing w:line="200" w:lineRule="exact"/>
              <w:rPr>
                <w:rFonts w:hint="eastAsia" w:ascii="仿宋_GB2312" w:hAnsi="仿宋_GB2312" w:cs="仿宋_GB2312"/>
                <w:lang w:bidi="ar"/>
              </w:rPr>
            </w:pPr>
          </w:p>
          <w:p w14:paraId="1E18B005">
            <w:pPr>
              <w:pStyle w:val="2"/>
              <w:spacing w:line="200" w:lineRule="exact"/>
              <w:rPr>
                <w:rFonts w:hint="eastAsia" w:ascii="仿宋_GB2312" w:hAnsi="仿宋_GB2312" w:cs="仿宋_GB2312"/>
                <w:lang w:bidi="ar"/>
              </w:rPr>
            </w:pPr>
            <w:r>
              <w:rPr>
                <w:rFonts w:hint="eastAsia" w:ascii="仿宋_GB2312" w:hAnsi="仿宋_GB2312" w:cs="仿宋_GB2312"/>
                <w:kern w:val="0"/>
                <w:sz w:val="21"/>
                <w:szCs w:val="21"/>
                <w:lang w:bidi="ar"/>
              </w:rPr>
              <w:t>膨大剂：氯吡脲</w:t>
            </w:r>
            <w:r>
              <w:rPr>
                <w:rFonts w:hint="eastAsia" w:ascii="仿宋_GB2312" w:hAnsi="仿宋_GB2312" w:cs="仿宋_GB2312"/>
                <w:kern w:val="0"/>
                <w:sz w:val="21"/>
                <w:szCs w:val="21"/>
                <w:lang w:eastAsia="zh-CN" w:bidi="ar"/>
              </w:rPr>
              <w:t>、</w:t>
            </w:r>
            <w:r>
              <w:rPr>
                <w:rFonts w:hint="eastAsia" w:ascii="仿宋_GB2312" w:hAnsi="仿宋_GB2312" w:cs="仿宋_GB2312"/>
                <w:kern w:val="0"/>
                <w:sz w:val="21"/>
                <w:szCs w:val="21"/>
                <w:lang w:bidi="ar"/>
              </w:rPr>
              <w:t>噻苯隆（猕猴桃</w:t>
            </w:r>
            <w:r>
              <w:rPr>
                <w:rFonts w:hint="eastAsia" w:ascii="仿宋_GB2312" w:hAnsi="仿宋_GB2312" w:cs="仿宋_GB2312"/>
                <w:kern w:val="0"/>
                <w:sz w:val="21"/>
                <w:szCs w:val="21"/>
                <w:lang w:eastAsia="zh-CN" w:bidi="ar"/>
              </w:rPr>
              <w:t>、</w:t>
            </w:r>
            <w:r>
              <w:rPr>
                <w:rFonts w:hint="eastAsia" w:ascii="仿宋_GB2312" w:hAnsi="仿宋_GB2312" w:cs="仿宋_GB2312"/>
                <w:kern w:val="0"/>
                <w:sz w:val="21"/>
                <w:szCs w:val="21"/>
                <w:lang w:bidi="ar"/>
              </w:rPr>
              <w:t>葡萄</w:t>
            </w:r>
            <w:r>
              <w:rPr>
                <w:rFonts w:hint="eastAsia" w:ascii="仿宋_GB2312" w:hAnsi="仿宋_GB2312" w:cs="仿宋_GB2312"/>
                <w:kern w:val="0"/>
                <w:sz w:val="21"/>
                <w:szCs w:val="21"/>
                <w:lang w:eastAsia="zh-CN" w:bidi="ar"/>
              </w:rPr>
              <w:t>、</w:t>
            </w:r>
            <w:r>
              <w:rPr>
                <w:rFonts w:hint="eastAsia" w:ascii="仿宋_GB2312" w:hAnsi="仿宋_GB2312" w:cs="仿宋_GB2312"/>
                <w:kern w:val="0"/>
                <w:sz w:val="21"/>
                <w:szCs w:val="21"/>
                <w:lang w:bidi="ar"/>
              </w:rPr>
              <w:t>火龙果</w:t>
            </w:r>
            <w:r>
              <w:rPr>
                <w:rFonts w:hint="eastAsia" w:ascii="仿宋_GB2312" w:hAnsi="仿宋_GB2312" w:cs="仿宋_GB2312"/>
                <w:kern w:val="0"/>
                <w:sz w:val="21"/>
                <w:szCs w:val="21"/>
                <w:lang w:eastAsia="zh-CN" w:bidi="ar"/>
              </w:rPr>
              <w:t>、</w:t>
            </w:r>
            <w:r>
              <w:rPr>
                <w:rFonts w:hint="eastAsia" w:ascii="仿宋_GB2312" w:hAnsi="仿宋_GB2312" w:cs="仿宋_GB2312"/>
                <w:kern w:val="0"/>
                <w:sz w:val="21"/>
                <w:szCs w:val="21"/>
                <w:lang w:bidi="ar"/>
              </w:rPr>
              <w:t>柑橘</w:t>
            </w:r>
            <w:r>
              <w:rPr>
                <w:rFonts w:hint="eastAsia" w:ascii="仿宋_GB2312" w:hAnsi="仿宋_GB2312" w:cs="仿宋_GB2312"/>
                <w:kern w:val="0"/>
                <w:sz w:val="21"/>
                <w:szCs w:val="21"/>
                <w:lang w:eastAsia="zh-CN" w:bidi="ar"/>
              </w:rPr>
              <w:t>、</w:t>
            </w:r>
            <w:r>
              <w:rPr>
                <w:rFonts w:hint="eastAsia" w:ascii="仿宋_GB2312" w:hAnsi="仿宋_GB2312" w:cs="仿宋_GB2312"/>
                <w:kern w:val="0"/>
                <w:sz w:val="21"/>
                <w:szCs w:val="21"/>
                <w:lang w:bidi="ar"/>
              </w:rPr>
              <w:t>草莓）</w:t>
            </w:r>
          </w:p>
        </w:tc>
        <w:tc>
          <w:tcPr>
            <w:tcW w:w="2074" w:type="pct"/>
            <w:noWrap w:val="0"/>
            <w:vAlign w:val="center"/>
          </w:tcPr>
          <w:p w14:paraId="23577925">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NY/T 761-2008 蔬菜和水果中有机磷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有机氯</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拟除虫菊酯和氨基甲 酸酯类农药多残留的测定</w:t>
            </w:r>
          </w:p>
          <w:p w14:paraId="0A279246">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23200.8-2016 食品安全国家标准 水果和蔬菜中500 种农药及相关 化学品残留量的测定 气相色谱-质谱法</w:t>
            </w:r>
          </w:p>
          <w:p w14:paraId="7418213B">
            <w:pPr>
              <w:widowControl/>
              <w:spacing w:line="240" w:lineRule="exact"/>
              <w:jc w:val="left"/>
              <w:rPr>
                <w:rFonts w:hint="eastAsia" w:ascii="仿宋_GB2312" w:hAnsi="仿宋_GB2312" w:eastAsia="仿宋_GB2312" w:cs="仿宋_GB2312"/>
                <w:color w:val="auto"/>
                <w:kern w:val="0"/>
                <w:szCs w:val="21"/>
                <w:lang w:bidi="ar"/>
              </w:rPr>
            </w:pPr>
            <w:r>
              <w:rPr>
                <w:rFonts w:hint="eastAsia" w:ascii="仿宋_GB2312" w:hAnsi="仿宋_GB2312" w:eastAsia="仿宋_GB2312" w:cs="仿宋_GB2312"/>
                <w:kern w:val="0"/>
                <w:szCs w:val="21"/>
                <w:lang w:bidi="ar"/>
              </w:rPr>
              <w:t>G</w:t>
            </w:r>
            <w:r>
              <w:rPr>
                <w:rFonts w:hint="eastAsia" w:ascii="仿宋_GB2312" w:hAnsi="仿宋_GB2312" w:eastAsia="仿宋_GB2312" w:cs="仿宋_GB2312"/>
                <w:color w:val="auto"/>
                <w:kern w:val="0"/>
                <w:szCs w:val="21"/>
                <w:lang w:bidi="ar"/>
              </w:rPr>
              <w:t>B/T 20769-2008 水果和蔬菜中45 种农药及相关化学品残留量的测定 液相色谱-串联质谱法</w:t>
            </w:r>
          </w:p>
          <w:p w14:paraId="5998C049">
            <w:pPr>
              <w:widowControl/>
              <w:spacing w:line="240" w:lineRule="exact"/>
              <w:jc w:val="left"/>
              <w:rPr>
                <w:rFonts w:hint="eastAsia" w:ascii="仿宋_GB2312" w:hAnsi="仿宋_GB2312" w:eastAsia="仿宋_GB2312" w:cs="仿宋_GB2312"/>
                <w:color w:val="auto"/>
                <w:kern w:val="0"/>
                <w:szCs w:val="21"/>
                <w:lang w:bidi="ar"/>
              </w:rPr>
            </w:pPr>
            <w:r>
              <w:rPr>
                <w:rFonts w:hint="eastAsia" w:ascii="仿宋_GB2312" w:hAnsi="仿宋_GB2312" w:eastAsia="仿宋_GB2312" w:cs="仿宋_GB2312"/>
                <w:color w:val="auto"/>
                <w:kern w:val="0"/>
                <w:szCs w:val="21"/>
                <w:lang w:bidi="ar"/>
              </w:rPr>
              <w:t>GB 23200.113-</w:t>
            </w:r>
            <w:r>
              <w:rPr>
                <w:rFonts w:hint="eastAsia" w:ascii="仿宋_GB2312" w:hAnsi="仿宋_GB2312" w:eastAsia="仿宋_GB2312" w:cs="仿宋_GB2312"/>
                <w:color w:val="auto"/>
                <w:kern w:val="0"/>
                <w:szCs w:val="21"/>
                <w:lang w:val="en-US" w:eastAsia="zh-CN" w:bidi="ar"/>
              </w:rPr>
              <w:t>2026</w:t>
            </w:r>
            <w:r>
              <w:rPr>
                <w:rFonts w:hint="eastAsia" w:ascii="仿宋_GB2312" w:hAnsi="仿宋_GB2312" w:eastAsia="仿宋_GB2312" w:cs="仿宋_GB2312"/>
                <w:color w:val="auto"/>
                <w:kern w:val="0"/>
                <w:szCs w:val="21"/>
                <w:lang w:bidi="ar"/>
              </w:rPr>
              <w:t>食品安全国家标准 植物源性食品中2</w:t>
            </w:r>
            <w:r>
              <w:rPr>
                <w:rFonts w:hint="eastAsia" w:ascii="仿宋_GB2312" w:hAnsi="仿宋_GB2312" w:eastAsia="仿宋_GB2312" w:cs="仿宋_GB2312"/>
                <w:color w:val="auto"/>
                <w:kern w:val="0"/>
                <w:szCs w:val="21"/>
                <w:lang w:val="en-US" w:eastAsia="zh-CN" w:bidi="ar"/>
              </w:rPr>
              <w:t>42</w:t>
            </w:r>
            <w:r>
              <w:rPr>
                <w:rFonts w:hint="eastAsia" w:ascii="仿宋_GB2312" w:hAnsi="仿宋_GB2312" w:eastAsia="仿宋_GB2312" w:cs="仿宋_GB2312"/>
                <w:color w:val="auto"/>
                <w:kern w:val="0"/>
                <w:szCs w:val="21"/>
                <w:lang w:bidi="ar"/>
              </w:rPr>
              <w:t>种农药及其代谢物残留量的测定 气相色谱-质谱联用法</w:t>
            </w:r>
          </w:p>
          <w:p w14:paraId="00548CDC">
            <w:pPr>
              <w:widowControl/>
              <w:spacing w:line="240" w:lineRule="exact"/>
              <w:jc w:val="left"/>
              <w:rPr>
                <w:rFonts w:hint="eastAsia" w:ascii="仿宋_GB2312" w:hAnsi="仿宋_GB2312" w:eastAsia="仿宋_GB2312" w:cs="仿宋_GB2312"/>
                <w:color w:val="auto"/>
                <w:kern w:val="0"/>
                <w:szCs w:val="21"/>
                <w:lang w:bidi="ar"/>
              </w:rPr>
            </w:pPr>
            <w:r>
              <w:rPr>
                <w:rFonts w:hint="eastAsia" w:ascii="仿宋_GB2312" w:hAnsi="仿宋_GB2312" w:eastAsia="仿宋_GB2312" w:cs="仿宋_GB2312"/>
                <w:color w:val="auto"/>
                <w:kern w:val="0"/>
                <w:szCs w:val="21"/>
                <w:lang w:bidi="ar"/>
              </w:rPr>
              <w:t>GB 23200.19-2016 食品安全国家标准 水果和蔬菜中阿维菌素残留量 的测定 液相色谱法</w:t>
            </w:r>
          </w:p>
          <w:p w14:paraId="47BAD091">
            <w:pPr>
              <w:widowControl/>
              <w:spacing w:line="240" w:lineRule="exact"/>
              <w:jc w:val="left"/>
              <w:rPr>
                <w:rFonts w:hint="eastAsia" w:ascii="仿宋_GB2312" w:hAnsi="仿宋_GB2312" w:eastAsia="仿宋_GB2312" w:cs="仿宋_GB2312"/>
                <w:color w:val="auto"/>
                <w:kern w:val="0"/>
                <w:szCs w:val="21"/>
                <w:lang w:bidi="ar"/>
              </w:rPr>
            </w:pPr>
            <w:r>
              <w:rPr>
                <w:rFonts w:hint="eastAsia" w:ascii="仿宋_GB2312" w:hAnsi="仿宋_GB2312" w:eastAsia="仿宋_GB2312" w:cs="仿宋_GB2312"/>
                <w:color w:val="auto"/>
                <w:kern w:val="0"/>
                <w:szCs w:val="21"/>
                <w:lang w:bidi="ar"/>
              </w:rPr>
              <w:t>GB/T 5009.147-2003 植物性食品中除虫脲残留量的测定</w:t>
            </w:r>
          </w:p>
          <w:p w14:paraId="49353F3D">
            <w:pPr>
              <w:widowControl/>
              <w:spacing w:line="240" w:lineRule="exact"/>
              <w:jc w:val="left"/>
              <w:rPr>
                <w:rFonts w:hint="eastAsia" w:ascii="仿宋_GB2312" w:hAnsi="仿宋_GB2312" w:eastAsia="仿宋_GB2312" w:cs="仿宋_GB2312"/>
                <w:color w:val="auto"/>
                <w:kern w:val="0"/>
                <w:szCs w:val="21"/>
                <w:lang w:bidi="ar"/>
              </w:rPr>
            </w:pPr>
            <w:r>
              <w:rPr>
                <w:rFonts w:hint="eastAsia" w:ascii="仿宋_GB2312" w:hAnsi="仿宋_GB2312" w:eastAsia="仿宋_GB2312" w:cs="仿宋_GB2312"/>
                <w:color w:val="auto"/>
                <w:kern w:val="0"/>
                <w:szCs w:val="21"/>
                <w:lang w:bidi="ar"/>
              </w:rPr>
              <w:t>GB 23200.121-</w:t>
            </w:r>
            <w:r>
              <w:rPr>
                <w:rFonts w:hint="eastAsia" w:ascii="仿宋_GB2312" w:hAnsi="仿宋_GB2312" w:eastAsia="仿宋_GB2312" w:cs="仿宋_GB2312"/>
                <w:color w:val="auto"/>
                <w:kern w:val="0"/>
                <w:szCs w:val="21"/>
                <w:lang w:val="en-US" w:eastAsia="zh-CN" w:bidi="ar"/>
              </w:rPr>
              <w:t>2026</w:t>
            </w:r>
            <w:r>
              <w:rPr>
                <w:rFonts w:hint="eastAsia" w:ascii="仿宋_GB2312" w:hAnsi="仿宋_GB2312" w:eastAsia="仿宋_GB2312" w:cs="仿宋_GB2312"/>
                <w:color w:val="auto"/>
                <w:kern w:val="0"/>
                <w:szCs w:val="21"/>
                <w:lang w:bidi="ar"/>
              </w:rPr>
              <w:t xml:space="preserve"> 食品安全国家标准 植物源性食品中3</w:t>
            </w:r>
            <w:r>
              <w:rPr>
                <w:rFonts w:hint="eastAsia" w:ascii="仿宋_GB2312" w:hAnsi="仿宋_GB2312" w:eastAsia="仿宋_GB2312" w:cs="仿宋_GB2312"/>
                <w:color w:val="auto"/>
                <w:kern w:val="0"/>
                <w:szCs w:val="21"/>
                <w:lang w:val="en-US" w:eastAsia="zh-CN" w:bidi="ar"/>
              </w:rPr>
              <w:t>52</w:t>
            </w:r>
            <w:r>
              <w:rPr>
                <w:rFonts w:hint="eastAsia" w:ascii="仿宋_GB2312" w:hAnsi="仿宋_GB2312" w:eastAsia="仿宋_GB2312" w:cs="仿宋_GB2312"/>
                <w:color w:val="auto"/>
                <w:kern w:val="0"/>
                <w:szCs w:val="21"/>
                <w:lang w:bidi="ar"/>
              </w:rPr>
              <w:t xml:space="preserve"> 种农药及 其代谢物残留量的测定 液相色谱—质谱联用法</w:t>
            </w:r>
          </w:p>
          <w:p w14:paraId="276086D7">
            <w:pPr>
              <w:widowControl/>
              <w:spacing w:line="240" w:lineRule="exact"/>
              <w:jc w:val="left"/>
              <w:rPr>
                <w:rFonts w:hint="eastAsia" w:ascii="仿宋_GB2312" w:hAnsi="仿宋_GB2312" w:eastAsia="仿宋_GB2312" w:cs="仿宋_GB2312"/>
                <w:color w:val="auto"/>
                <w:kern w:val="0"/>
                <w:szCs w:val="21"/>
                <w:lang w:bidi="ar"/>
              </w:rPr>
            </w:pPr>
            <w:r>
              <w:rPr>
                <w:rFonts w:hint="eastAsia" w:ascii="仿宋_GB2312" w:hAnsi="仿宋_GB2312" w:eastAsia="仿宋_GB2312" w:cs="仿宋_GB2312"/>
                <w:color w:val="auto"/>
                <w:kern w:val="0"/>
                <w:szCs w:val="21"/>
                <w:lang w:bidi="ar"/>
              </w:rPr>
              <w:t>NY/T 1379-2007 蔬菜中334 种农药多残留的测定气相色谱质谱法和液 相色谱质谱法</w:t>
            </w:r>
          </w:p>
          <w:p w14:paraId="65EFB940">
            <w:pPr>
              <w:widowControl/>
              <w:spacing w:line="240" w:lineRule="exact"/>
              <w:jc w:val="left"/>
              <w:rPr>
                <w:rFonts w:hint="eastAsia" w:ascii="仿宋_GB2312" w:hAnsi="仿宋_GB2312" w:eastAsia="仿宋_GB2312" w:cs="仿宋_GB2312"/>
                <w:color w:val="auto"/>
                <w:kern w:val="0"/>
                <w:szCs w:val="21"/>
                <w:lang w:bidi="ar"/>
              </w:rPr>
            </w:pPr>
            <w:r>
              <w:rPr>
                <w:rFonts w:hint="eastAsia" w:ascii="仿宋_GB2312" w:hAnsi="仿宋_GB2312" w:eastAsia="仿宋_GB2312" w:cs="仿宋_GB2312"/>
                <w:color w:val="auto"/>
                <w:kern w:val="0"/>
                <w:szCs w:val="21"/>
                <w:lang w:bidi="ar"/>
              </w:rPr>
              <w:t>SN/T 4586-2016 出口食品中噻苯隆残留量的检测方法 高效液相色谱 法</w:t>
            </w:r>
          </w:p>
          <w:p w14:paraId="297DC952">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NY/T 1096-2006 食品中草甘膦残留量测定</w:t>
            </w:r>
          </w:p>
          <w:p w14:paraId="486241E0">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23750-2009 植物性产品中草甘膦残留量的测定 气相色谱-质谱法</w:t>
            </w:r>
          </w:p>
          <w:p w14:paraId="2604DD28">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5009.22-2016 食品安全国家标准 食品中黄曲霉毒素B族和G族的测定</w:t>
            </w:r>
          </w:p>
        </w:tc>
        <w:tc>
          <w:tcPr>
            <w:tcW w:w="908" w:type="pct"/>
            <w:noWrap w:val="0"/>
            <w:vAlign w:val="center"/>
          </w:tcPr>
          <w:p w14:paraId="3267EDD2">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2763-</w:t>
            </w:r>
            <w:r>
              <w:rPr>
                <w:rFonts w:hint="eastAsia" w:ascii="仿宋_GB2312" w:hAnsi="仿宋_GB2312" w:eastAsia="仿宋_GB2312" w:cs="仿宋_GB2312"/>
                <w:kern w:val="0"/>
                <w:szCs w:val="21"/>
                <w:lang w:val="en-US" w:eastAsia="zh-CN" w:bidi="ar"/>
              </w:rPr>
              <w:t>2026</w:t>
            </w:r>
            <w:r>
              <w:rPr>
                <w:rFonts w:hint="eastAsia" w:ascii="仿宋_GB2312" w:hAnsi="仿宋_GB2312" w:eastAsia="仿宋_GB2312" w:cs="仿宋_GB2312"/>
                <w:kern w:val="0"/>
                <w:szCs w:val="21"/>
                <w:lang w:bidi="ar"/>
              </w:rPr>
              <w:t>食品安全国家标准 食品中农药最大残留限量</w:t>
            </w:r>
          </w:p>
          <w:p w14:paraId="609B23F8">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2761-2017 食品安全国家标准 食品中真菌毒素限量</w:t>
            </w:r>
          </w:p>
          <w:p w14:paraId="211A3C99">
            <w:pPr>
              <w:widowControl/>
              <w:spacing w:line="240" w:lineRule="exact"/>
              <w:jc w:val="left"/>
              <w:rPr>
                <w:rFonts w:hint="eastAsia" w:ascii="仿宋_GB2312" w:hAnsi="仿宋_GB2312" w:eastAsia="仿宋_GB2312" w:cs="仿宋_GB2312"/>
                <w:kern w:val="0"/>
                <w:szCs w:val="21"/>
                <w:lang w:bidi="ar"/>
              </w:rPr>
            </w:pPr>
          </w:p>
        </w:tc>
      </w:tr>
      <w:tr w14:paraId="13B31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97" w:type="pct"/>
            <w:noWrap w:val="0"/>
            <w:vAlign w:val="center"/>
          </w:tcPr>
          <w:p w14:paraId="2F1A87FA">
            <w:pPr>
              <w:widowControl/>
              <w:spacing w:line="240" w:lineRule="exact"/>
              <w:jc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茶叶</w:t>
            </w:r>
          </w:p>
        </w:tc>
        <w:tc>
          <w:tcPr>
            <w:tcW w:w="1619" w:type="pct"/>
            <w:noWrap w:val="0"/>
            <w:vAlign w:val="center"/>
          </w:tcPr>
          <w:p w14:paraId="68CD0B6F">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禁用药物：三氯杀螨醇</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甲胺磷</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灭多威</w:t>
            </w:r>
          </w:p>
          <w:p w14:paraId="089975D9">
            <w:pPr>
              <w:widowControl/>
              <w:spacing w:line="240" w:lineRule="exact"/>
              <w:jc w:val="left"/>
              <w:rPr>
                <w:rFonts w:hint="eastAsia" w:ascii="仿宋_GB2312" w:hAnsi="仿宋_GB2312" w:eastAsia="仿宋_GB2312" w:cs="仿宋_GB2312"/>
                <w:szCs w:val="21"/>
                <w:shd w:val="clear" w:color="auto" w:fill="FFFFFF"/>
              </w:rPr>
            </w:pPr>
          </w:p>
          <w:p w14:paraId="0DF5A691">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限用药物：氰戊菊酯</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乙酰甲胺磷</w:t>
            </w:r>
          </w:p>
          <w:p w14:paraId="20639FC1">
            <w:pPr>
              <w:widowControl/>
              <w:spacing w:line="240" w:lineRule="exact"/>
              <w:jc w:val="left"/>
              <w:rPr>
                <w:rFonts w:hint="eastAsia" w:ascii="仿宋_GB2312" w:hAnsi="仿宋_GB2312" w:eastAsia="仿宋_GB2312" w:cs="仿宋_GB2312"/>
                <w:szCs w:val="21"/>
                <w:shd w:val="clear" w:color="auto" w:fill="FFFFFF"/>
              </w:rPr>
            </w:pPr>
          </w:p>
          <w:p w14:paraId="3CB0ED90">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常规药物：毒死蜱</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三唑磷</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联苯菊酯</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氯氰菊酯</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氟氰戊菊酯</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溴氰菊酯</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氯菊脂</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杀螟硫磷</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 xml:space="preserve"> 吡虫啉</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多菌灵</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茚虫威</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噻嗪酮</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哒螨灵</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啶虫脒</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苯醚甲环唑</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草甘膦</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草铵膦</w:t>
            </w:r>
          </w:p>
        </w:tc>
        <w:tc>
          <w:tcPr>
            <w:tcW w:w="2074" w:type="pct"/>
            <w:noWrap w:val="0"/>
            <w:vAlign w:val="center"/>
          </w:tcPr>
          <w:p w14:paraId="5576EEFD">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GB/T5009.19-2008 食品中有机氯农药多组分残留量的测定</w:t>
            </w:r>
          </w:p>
          <w:p w14:paraId="7CDFF99A">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GB/T23204-2008  茶叶中519种农药及相关化学品残留量的测定 气相色谱-质谱法</w:t>
            </w:r>
          </w:p>
          <w:p w14:paraId="7097788A">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GB23200.116-2019 食品安全国家标准 植物源性食品中90种有机磷类农药及其代谢物残留量的测定 气相色谱法</w:t>
            </w:r>
          </w:p>
          <w:p w14:paraId="35ECEA26">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GB23200.13-2016 食品安全国家标准 茶叶中448种农药及相关化学品残留量的测定 液相色谱-质谱法</w:t>
            </w:r>
          </w:p>
          <w:p w14:paraId="78AC2A37">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GB23200.113-</w:t>
            </w:r>
            <w:r>
              <w:rPr>
                <w:rFonts w:hint="eastAsia" w:ascii="仿宋_GB2312" w:hAnsi="仿宋_GB2312" w:eastAsia="仿宋_GB2312" w:cs="仿宋_GB2312"/>
                <w:szCs w:val="21"/>
                <w:shd w:val="clear" w:color="auto" w:fill="FFFFFF"/>
                <w:lang w:val="en-US" w:eastAsia="zh-CN"/>
              </w:rPr>
              <w:t>2026</w:t>
            </w:r>
            <w:r>
              <w:rPr>
                <w:rFonts w:hint="eastAsia" w:ascii="仿宋_GB2312" w:hAnsi="仿宋_GB2312" w:eastAsia="仿宋_GB2312" w:cs="仿宋_GB2312"/>
                <w:szCs w:val="21"/>
                <w:shd w:val="clear" w:color="auto" w:fill="FFFFFF"/>
              </w:rPr>
              <w:t xml:space="preserve"> 食品安全国家标准 植物源性食品中2</w:t>
            </w:r>
            <w:r>
              <w:rPr>
                <w:rFonts w:hint="eastAsia" w:ascii="仿宋_GB2312" w:hAnsi="仿宋_GB2312" w:eastAsia="仿宋_GB2312" w:cs="仿宋_GB2312"/>
                <w:szCs w:val="21"/>
                <w:shd w:val="clear" w:color="auto" w:fill="FFFFFF"/>
                <w:lang w:val="en-US" w:eastAsia="zh-CN"/>
              </w:rPr>
              <w:t>42</w:t>
            </w:r>
            <w:r>
              <w:rPr>
                <w:rFonts w:hint="eastAsia" w:ascii="仿宋_GB2312" w:hAnsi="仿宋_GB2312" w:eastAsia="仿宋_GB2312" w:cs="仿宋_GB2312"/>
                <w:szCs w:val="21"/>
                <w:shd w:val="clear" w:color="auto" w:fill="FFFFFF"/>
              </w:rPr>
              <w:t>种农药及其代谢物残留量的测定 气相色谱-质谱联用法</w:t>
            </w:r>
          </w:p>
          <w:p w14:paraId="0E214FA2">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GB23200.121-</w:t>
            </w:r>
            <w:r>
              <w:rPr>
                <w:rFonts w:hint="eastAsia" w:ascii="仿宋_GB2312" w:hAnsi="仿宋_GB2312" w:eastAsia="仿宋_GB2312" w:cs="仿宋_GB2312"/>
                <w:szCs w:val="21"/>
                <w:shd w:val="clear" w:color="auto" w:fill="FFFFFF"/>
                <w:lang w:val="en-US" w:eastAsia="zh-CN"/>
              </w:rPr>
              <w:t>2026</w:t>
            </w:r>
            <w:r>
              <w:rPr>
                <w:rFonts w:hint="eastAsia" w:ascii="仿宋_GB2312" w:hAnsi="仿宋_GB2312" w:eastAsia="仿宋_GB2312" w:cs="仿宋_GB2312"/>
                <w:szCs w:val="21"/>
                <w:shd w:val="clear" w:color="auto" w:fill="FFFFFF"/>
              </w:rPr>
              <w:t>食品安全国家标准 植物源性食品中3</w:t>
            </w:r>
            <w:r>
              <w:rPr>
                <w:rFonts w:hint="eastAsia" w:ascii="仿宋_GB2312" w:hAnsi="仿宋_GB2312" w:eastAsia="仿宋_GB2312" w:cs="仿宋_GB2312"/>
                <w:szCs w:val="21"/>
                <w:shd w:val="clear" w:color="auto" w:fill="FFFFFF"/>
                <w:lang w:val="en-US" w:eastAsia="zh-CN"/>
              </w:rPr>
              <w:t>52</w:t>
            </w:r>
            <w:r>
              <w:rPr>
                <w:rFonts w:hint="eastAsia" w:ascii="仿宋_GB2312" w:hAnsi="仿宋_GB2312" w:eastAsia="仿宋_GB2312" w:cs="仿宋_GB2312"/>
                <w:szCs w:val="21"/>
                <w:shd w:val="clear" w:color="auto" w:fill="FFFFFF"/>
              </w:rPr>
              <w:t>种农药及其代谢物残留量的测定 液相色谱-质谱联用法</w:t>
            </w:r>
          </w:p>
          <w:p w14:paraId="1F718937">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SN/T 1923-2007 进出口食品中草甘膦残留量的检测方法 液相色谱-质谱/质谱法</w:t>
            </w:r>
          </w:p>
          <w:p w14:paraId="213023AC">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GB 23200.108-2018  食品安全国家标准 植物源性食品中草铵膦残留量的测定 液相色谱-质谱联用法</w:t>
            </w:r>
          </w:p>
          <w:p w14:paraId="725D3F57">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SN/T 4850-2017 出口食品中草铵膦及其代谢物残留量的测定 液相色谱-质谱/质谱法</w:t>
            </w:r>
          </w:p>
          <w:p w14:paraId="56524743">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SN/T 3983-2014 出口食品中氨基酸类有机磷除草剂残留量的测定 液相色谱-质谱∕质谱法</w:t>
            </w:r>
          </w:p>
          <w:p w14:paraId="098BF14C">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茶叶和土壤中草甘膦</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氨甲基膦酸和草铵膦的测定 柱前衍生-液 相色谱-串联质谱法（农业农村部茶叶产品质量安全风险评估实验室（杭州）自建方法）</w:t>
            </w:r>
          </w:p>
        </w:tc>
        <w:tc>
          <w:tcPr>
            <w:tcW w:w="908" w:type="pct"/>
            <w:noWrap w:val="0"/>
            <w:vAlign w:val="center"/>
          </w:tcPr>
          <w:p w14:paraId="7C694B2F">
            <w:pPr>
              <w:pStyle w:val="2"/>
              <w:spacing w:line="240" w:lineRule="exact"/>
              <w:jc w:val="both"/>
              <w:rPr>
                <w:rStyle w:val="9"/>
                <w:rFonts w:hint="eastAsia" w:ascii="仿宋_GB2312" w:hAnsi="仿宋_GB2312" w:eastAsia="仿宋_GB2312" w:cs="仿宋_GB2312"/>
                <w:b w:val="0"/>
                <w:bCs w:val="0"/>
                <w:sz w:val="21"/>
                <w:szCs w:val="21"/>
              </w:rPr>
            </w:pPr>
            <w:r>
              <w:rPr>
                <w:rStyle w:val="9"/>
                <w:rFonts w:hint="eastAsia" w:ascii="仿宋_GB2312" w:hAnsi="仿宋_GB2312" w:eastAsia="仿宋_GB2312" w:cs="仿宋_GB2312"/>
                <w:b w:val="0"/>
                <w:bCs w:val="0"/>
                <w:sz w:val="21"/>
                <w:szCs w:val="21"/>
              </w:rPr>
              <w:t>GB 2763-</w:t>
            </w:r>
            <w:r>
              <w:rPr>
                <w:rStyle w:val="9"/>
                <w:rFonts w:hint="eastAsia" w:ascii="仿宋_GB2312" w:hAnsi="仿宋_GB2312" w:cs="仿宋_GB2312"/>
                <w:b w:val="0"/>
                <w:bCs w:val="0"/>
                <w:sz w:val="21"/>
                <w:szCs w:val="21"/>
                <w:lang w:val="en-US" w:eastAsia="zh-CN"/>
              </w:rPr>
              <w:t xml:space="preserve">2026 </w:t>
            </w:r>
            <w:r>
              <w:rPr>
                <w:rStyle w:val="9"/>
                <w:rFonts w:hint="eastAsia" w:ascii="仿宋_GB2312" w:hAnsi="仿宋_GB2312" w:eastAsia="仿宋_GB2312" w:cs="仿宋_GB2312"/>
                <w:b w:val="0"/>
                <w:bCs w:val="0"/>
                <w:sz w:val="21"/>
                <w:szCs w:val="21"/>
              </w:rPr>
              <w:t>食品安全国家标准 食品中农药最大残留限量</w:t>
            </w:r>
          </w:p>
        </w:tc>
      </w:tr>
      <w:tr w14:paraId="15B79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97" w:type="pct"/>
            <w:vMerge w:val="restart"/>
            <w:noWrap w:val="0"/>
            <w:vAlign w:val="center"/>
          </w:tcPr>
          <w:p w14:paraId="6583DDBB">
            <w:pPr>
              <w:widowControl/>
              <w:spacing w:line="240" w:lineRule="exact"/>
              <w:jc w:val="center"/>
              <w:rPr>
                <w:rFonts w:hint="eastAsia" w:ascii="仿宋_GB2312" w:hAnsi="仿宋_GB2312" w:eastAsia="仿宋_GB2312" w:cs="仿宋_GB2312"/>
                <w:kern w:val="0"/>
                <w:szCs w:val="21"/>
                <w:lang w:val="en" w:bidi="ar"/>
              </w:rPr>
            </w:pPr>
            <w:r>
              <w:rPr>
                <w:rFonts w:hint="eastAsia" w:ascii="仿宋_GB2312" w:hAnsi="仿宋_GB2312" w:eastAsia="仿宋_GB2312" w:cs="仿宋_GB2312"/>
                <w:kern w:val="0"/>
                <w:szCs w:val="21"/>
                <w:lang w:val="en" w:bidi="ar"/>
              </w:rPr>
              <w:t>猪肉</w:t>
            </w:r>
          </w:p>
          <w:p w14:paraId="27280E1F">
            <w:pPr>
              <w:widowControl/>
              <w:spacing w:line="240" w:lineRule="exact"/>
              <w:jc w:val="center"/>
              <w:rPr>
                <w:rFonts w:hint="eastAsia" w:ascii="仿宋_GB2312" w:hAnsi="仿宋_GB2312" w:eastAsia="仿宋_GB2312" w:cs="仿宋_GB2312"/>
                <w:kern w:val="0"/>
                <w:szCs w:val="21"/>
                <w:lang w:val="en" w:bidi="ar"/>
              </w:rPr>
            </w:pPr>
          </w:p>
          <w:p w14:paraId="2FEA059B">
            <w:pPr>
              <w:widowControl/>
              <w:spacing w:line="240" w:lineRule="exact"/>
              <w:jc w:val="center"/>
              <w:rPr>
                <w:rFonts w:hint="eastAsia" w:ascii="仿宋_GB2312" w:hAnsi="仿宋_GB2312" w:eastAsia="仿宋_GB2312" w:cs="仿宋_GB2312"/>
                <w:kern w:val="0"/>
                <w:szCs w:val="21"/>
                <w:lang w:val="en" w:bidi="ar"/>
              </w:rPr>
            </w:pPr>
            <w:r>
              <w:rPr>
                <w:rFonts w:hint="eastAsia" w:ascii="仿宋_GB2312" w:hAnsi="仿宋_GB2312" w:eastAsia="仿宋_GB2312" w:cs="仿宋_GB2312"/>
                <w:kern w:val="0"/>
                <w:szCs w:val="21"/>
                <w:lang w:val="en" w:bidi="ar"/>
              </w:rPr>
              <w:t>牛肉</w:t>
            </w:r>
          </w:p>
          <w:p w14:paraId="2D9A3DAA">
            <w:pPr>
              <w:widowControl/>
              <w:spacing w:line="240" w:lineRule="exact"/>
              <w:jc w:val="center"/>
              <w:rPr>
                <w:rFonts w:hint="eastAsia" w:ascii="仿宋_GB2312" w:hAnsi="仿宋_GB2312" w:eastAsia="仿宋_GB2312" w:cs="仿宋_GB2312"/>
                <w:kern w:val="0"/>
                <w:szCs w:val="21"/>
                <w:lang w:val="en" w:bidi="ar"/>
              </w:rPr>
            </w:pPr>
          </w:p>
          <w:p w14:paraId="1760142B">
            <w:pPr>
              <w:widowControl/>
              <w:spacing w:line="240" w:lineRule="exact"/>
              <w:jc w:val="center"/>
              <w:rPr>
                <w:rFonts w:hint="eastAsia" w:ascii="仿宋_GB2312" w:hAnsi="仿宋_GB2312" w:eastAsia="仿宋_GB2312" w:cs="仿宋_GB2312"/>
                <w:kern w:val="0"/>
                <w:szCs w:val="21"/>
                <w:lang w:val="en" w:bidi="ar"/>
              </w:rPr>
            </w:pPr>
            <w:r>
              <w:rPr>
                <w:rFonts w:hint="eastAsia" w:ascii="仿宋_GB2312" w:hAnsi="仿宋_GB2312" w:eastAsia="仿宋_GB2312" w:cs="仿宋_GB2312"/>
                <w:kern w:val="0"/>
                <w:szCs w:val="21"/>
                <w:lang w:val="en" w:bidi="ar"/>
              </w:rPr>
              <w:t>羊肉</w:t>
            </w:r>
          </w:p>
        </w:tc>
        <w:tc>
          <w:tcPr>
            <w:tcW w:w="1619" w:type="pct"/>
            <w:noWrap w:val="0"/>
            <w:vAlign w:val="center"/>
          </w:tcPr>
          <w:p w14:paraId="5F18099F">
            <w:pPr>
              <w:widowControl/>
              <w:spacing w:line="240" w:lineRule="exact"/>
              <w:jc w:val="left"/>
              <w:rPr>
                <w:rFonts w:hint="eastAsia" w:ascii="仿宋_GB2312" w:hAnsi="仿宋_GB2312" w:eastAsia="仿宋_GB2312" w:cs="仿宋_GB2312"/>
                <w:kern w:val="0"/>
                <w:szCs w:val="21"/>
                <w:lang w:bidi="ar"/>
              </w:rPr>
            </w:pPr>
          </w:p>
          <w:p w14:paraId="5AA7418C">
            <w:pPr>
              <w:widowControl/>
              <w:spacing w:line="240" w:lineRule="exact"/>
              <w:jc w:val="left"/>
              <w:rPr>
                <w:rFonts w:hint="eastAsia" w:ascii="仿宋_GB2312" w:hAnsi="仿宋_GB2312" w:eastAsia="仿宋_GB2312" w:cs="仿宋_GB2312"/>
                <w:kern w:val="0"/>
                <w:szCs w:val="21"/>
                <w:lang w:val="en" w:bidi="ar"/>
              </w:rPr>
            </w:pPr>
            <w:r>
              <w:rPr>
                <w:rFonts w:hint="eastAsia" w:ascii="仿宋_GB2312" w:hAnsi="仿宋_GB2312" w:eastAsia="仿宋_GB2312" w:cs="仿宋_GB2312"/>
                <w:kern w:val="0"/>
                <w:szCs w:val="21"/>
                <w:lang w:val="en" w:bidi="ar"/>
              </w:rPr>
              <w:t>禁用药物：瘦肉精（克伦特罗</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莱克多巴胺</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沙丁胺醇</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特布他林</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西马特罗</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非诺特罗</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氯丙那林</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妥布特罗</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喷布特罗）</w:t>
            </w:r>
          </w:p>
          <w:p w14:paraId="1EFCF0DA">
            <w:pPr>
              <w:widowControl/>
              <w:spacing w:line="240" w:lineRule="exact"/>
              <w:jc w:val="left"/>
              <w:rPr>
                <w:rFonts w:hint="eastAsia" w:ascii="仿宋_GB2312" w:hAnsi="仿宋_GB2312" w:eastAsia="仿宋_GB2312" w:cs="仿宋_GB2312"/>
                <w:kern w:val="0"/>
                <w:szCs w:val="21"/>
                <w:lang w:val="en" w:bidi="ar"/>
              </w:rPr>
            </w:pPr>
          </w:p>
          <w:p w14:paraId="30801407">
            <w:pPr>
              <w:widowControl/>
              <w:spacing w:line="240" w:lineRule="exact"/>
              <w:jc w:val="left"/>
              <w:rPr>
                <w:rFonts w:hint="eastAsia" w:ascii="仿宋_GB2312" w:hAnsi="仿宋_GB2312" w:eastAsia="仿宋_GB2312" w:cs="仿宋_GB2312"/>
                <w:kern w:val="0"/>
                <w:szCs w:val="21"/>
                <w:lang w:val="en" w:bidi="ar"/>
              </w:rPr>
            </w:pPr>
            <w:r>
              <w:rPr>
                <w:rFonts w:hint="eastAsia" w:ascii="仿宋_GB2312" w:hAnsi="仿宋_GB2312" w:eastAsia="仿宋_GB2312" w:cs="仿宋_GB2312"/>
                <w:kern w:val="0"/>
                <w:szCs w:val="21"/>
                <w:lang w:val="en" w:bidi="ar"/>
              </w:rPr>
              <w:t>常规药物：磺胺类（磺胺间甲氧嘧啶 SMM</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磺胺二甲嘧啶 SM2</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磺胺甲噁唑 SMZ</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磺胺（间）二甲氧嘧啶 SDM</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磺胺喹噁啉 SQ） ;四环素类（金霉素</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土霉素</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四环素</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多西环素）；糖皮质激素（地塞米松</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倍他米松）；氟喹诺酮类（恩诺沙星</w:t>
            </w:r>
            <w:r>
              <w:rPr>
                <w:rFonts w:hint="eastAsia" w:ascii="仿宋_GB2312" w:hAnsi="仿宋_GB2312" w:eastAsia="仿宋_GB2312" w:cs="仿宋_GB2312"/>
                <w:kern w:val="0"/>
                <w:szCs w:val="21"/>
                <w:lang w:val="en" w:eastAsia="zh-CN" w:bidi="ar"/>
              </w:rPr>
              <w:t>、</w:t>
            </w:r>
            <w:r>
              <w:rPr>
                <w:rFonts w:hint="eastAsia" w:ascii="仿宋_GB2312" w:hAnsi="仿宋_GB2312" w:eastAsia="仿宋_GB2312" w:cs="仿宋_GB2312"/>
                <w:kern w:val="0"/>
                <w:szCs w:val="21"/>
                <w:lang w:val="en" w:bidi="ar"/>
              </w:rPr>
              <w:t>环丙沙星）</w:t>
            </w:r>
          </w:p>
        </w:tc>
        <w:tc>
          <w:tcPr>
            <w:tcW w:w="2074" w:type="pct"/>
            <w:noWrap w:val="0"/>
            <w:vAlign w:val="center"/>
          </w:tcPr>
          <w:p w14:paraId="3648E05B">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动物源性食品中β-受体激动剂残留检测—液相色谱-串联质谱法（农业部1025公告-18-2008）</w:t>
            </w:r>
          </w:p>
          <w:p w14:paraId="77B27B4E">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GB 31658.22-2022 食品安全国家标准 动物性食品中β-受体激动剂残留量的测定 液相色谱－串联质谱法</w:t>
            </w:r>
          </w:p>
          <w:p w14:paraId="4292E8FC">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磺胺类药物在动物可食性组织中残留的高效液相色谱检测方法（参见农质发〔2014〕5号文附录）</w:t>
            </w:r>
          </w:p>
          <w:p w14:paraId="416E225E">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GB 31658.17-2021 动物性食品中四环素类</w:t>
            </w:r>
            <w:r>
              <w:rPr>
                <w:rFonts w:hint="eastAsia" w:ascii="仿宋_GB2312" w:hAnsi="仿宋_GB2312" w:eastAsia="仿宋_GB2312" w:cs="仿宋_GB2312"/>
                <w:szCs w:val="21"/>
                <w:shd w:val="clear" w:color="auto" w:fill="FFFFFF"/>
                <w:lang w:eastAsia="zh-CN"/>
              </w:rPr>
              <w:t>、</w:t>
            </w:r>
            <w:r>
              <w:rPr>
                <w:rFonts w:hint="eastAsia" w:ascii="仿宋_GB2312" w:hAnsi="仿宋_GB2312" w:eastAsia="仿宋_GB2312" w:cs="仿宋_GB2312"/>
                <w:szCs w:val="21"/>
                <w:shd w:val="clear" w:color="auto" w:fill="FFFFFF"/>
              </w:rPr>
              <w:t>磺胺类和喹诺酮类药物残留量的测定</w:t>
            </w:r>
          </w:p>
          <w:p w14:paraId="198CC7D4">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GB/T 20759-2006 畜禽中十六种磺胺类药物残留量的测定 液相色谱-串联质谱法</w:t>
            </w:r>
          </w:p>
          <w:p w14:paraId="505BCC57">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GB/T 21317-2007 动物源性食品中四环素类兽药残留检测方法 液相色谱-质谱/质谱法与高效液相法</w:t>
            </w:r>
          </w:p>
          <w:p w14:paraId="3C1DCFCE">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GB 31658.6-2021 食品安全国家标准 动物性食品中四环素类药物残留量的测定 高效液相色谱法</w:t>
            </w:r>
          </w:p>
          <w:p w14:paraId="16FF403C">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农业部1031号公告-2-2008 动物源性食品中糖皮质激素类药物多残留检测液相色谱-串联质谱法</w:t>
            </w:r>
          </w:p>
          <w:p w14:paraId="7A1EB5B6">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SN/T 2624-2010 动物源性食品中多种碱性药物残留量的检测方法 液相色谱-质谱/质谱法</w:t>
            </w:r>
          </w:p>
          <w:p w14:paraId="5CEF04E4">
            <w:pPr>
              <w:widowControl/>
              <w:spacing w:line="240" w:lineRule="exact"/>
              <w:jc w:val="left"/>
              <w:rPr>
                <w:rFonts w:hint="eastAsia" w:ascii="仿宋_GB2312" w:hAnsi="仿宋_GB2312" w:eastAsia="仿宋_GB2312" w:cs="仿宋_GB2312"/>
                <w:szCs w:val="21"/>
                <w:shd w:val="clear" w:color="auto" w:fill="FFFFFF"/>
              </w:rPr>
            </w:pPr>
            <w:r>
              <w:rPr>
                <w:rFonts w:hint="eastAsia" w:ascii="仿宋_GB2312" w:hAnsi="仿宋_GB2312" w:eastAsia="仿宋_GB2312" w:cs="仿宋_GB2312"/>
                <w:szCs w:val="21"/>
                <w:shd w:val="clear" w:color="auto" w:fill="FFFFFF"/>
              </w:rPr>
              <w:t>GB/T 21312-2007 动物源性食品中14种喹诺酮药物残留检测方法 液相色谱-质谱/质谱法</w:t>
            </w:r>
          </w:p>
        </w:tc>
        <w:tc>
          <w:tcPr>
            <w:tcW w:w="908" w:type="pct"/>
            <w:noWrap w:val="0"/>
            <w:vAlign w:val="center"/>
          </w:tcPr>
          <w:p w14:paraId="7DF2B386">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农业农村部公告第250号</w:t>
            </w:r>
          </w:p>
          <w:p w14:paraId="531652A5">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GB31650-2019 食品安全国家标准 食品中兽药最大残留限量</w:t>
            </w:r>
          </w:p>
          <w:p w14:paraId="65E920A7">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GB31650.1-2022 食品安全国家标准 食品中41种兽药最大残留限量</w:t>
            </w:r>
          </w:p>
        </w:tc>
      </w:tr>
      <w:tr w14:paraId="4116C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397" w:type="pct"/>
            <w:vMerge w:val="continue"/>
            <w:noWrap w:val="0"/>
            <w:vAlign w:val="center"/>
          </w:tcPr>
          <w:p w14:paraId="637FE642">
            <w:pPr>
              <w:widowControl/>
              <w:spacing w:line="240" w:lineRule="exact"/>
              <w:jc w:val="left"/>
              <w:rPr>
                <w:rFonts w:hint="eastAsia" w:ascii="仿宋_GB2312" w:hAnsi="仿宋_GB2312" w:eastAsia="仿宋_GB2312" w:cs="仿宋_GB2312"/>
                <w:kern w:val="0"/>
                <w:szCs w:val="21"/>
                <w:lang w:bidi="ar"/>
              </w:rPr>
            </w:pPr>
          </w:p>
        </w:tc>
        <w:tc>
          <w:tcPr>
            <w:tcW w:w="1619" w:type="pct"/>
            <w:noWrap w:val="0"/>
            <w:vAlign w:val="center"/>
          </w:tcPr>
          <w:p w14:paraId="67F86A50">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水分含量</w:t>
            </w:r>
          </w:p>
        </w:tc>
        <w:tc>
          <w:tcPr>
            <w:tcW w:w="2074" w:type="pct"/>
            <w:noWrap w:val="0"/>
            <w:vAlign w:val="center"/>
          </w:tcPr>
          <w:p w14:paraId="0E408C1D">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18394-2020畜禽肉水分限量</w:t>
            </w:r>
          </w:p>
        </w:tc>
        <w:tc>
          <w:tcPr>
            <w:tcW w:w="908" w:type="pct"/>
            <w:noWrap w:val="0"/>
            <w:vAlign w:val="center"/>
          </w:tcPr>
          <w:p w14:paraId="228141EC">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18394-2020畜禽肉水分限量</w:t>
            </w:r>
          </w:p>
        </w:tc>
      </w:tr>
      <w:tr w14:paraId="4143C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3" w:hRule="atLeast"/>
          <w:jc w:val="center"/>
        </w:trPr>
        <w:tc>
          <w:tcPr>
            <w:tcW w:w="397" w:type="pct"/>
            <w:noWrap w:val="0"/>
            <w:vAlign w:val="center"/>
          </w:tcPr>
          <w:p w14:paraId="2E83AF71">
            <w:pPr>
              <w:widowControl/>
              <w:spacing w:line="240" w:lineRule="exact"/>
              <w:jc w:val="left"/>
              <w:rPr>
                <w:rFonts w:hint="eastAsia" w:ascii="仿宋_GB2312" w:hAnsi="仿宋_GB2312" w:eastAsia="仿宋_GB2312" w:cs="仿宋_GB2312"/>
                <w:kern w:val="0"/>
                <w:szCs w:val="21"/>
                <w:lang w:bidi="ar"/>
              </w:rPr>
            </w:pPr>
          </w:p>
          <w:p w14:paraId="3B3459C0">
            <w:pPr>
              <w:widowControl/>
              <w:spacing w:line="240" w:lineRule="exact"/>
              <w:jc w:val="left"/>
              <w:rPr>
                <w:rFonts w:hint="eastAsia" w:ascii="仿宋_GB2312" w:hAnsi="仿宋_GB2312" w:eastAsia="仿宋_GB2312" w:cs="仿宋_GB2312"/>
                <w:kern w:val="0"/>
                <w:szCs w:val="21"/>
                <w:lang w:bidi="ar"/>
              </w:rPr>
            </w:pPr>
          </w:p>
          <w:p w14:paraId="4BB59E32">
            <w:pPr>
              <w:widowControl/>
              <w:spacing w:line="240" w:lineRule="exact"/>
              <w:jc w:val="left"/>
              <w:rPr>
                <w:rFonts w:hint="eastAsia" w:ascii="仿宋_GB2312" w:hAnsi="仿宋_GB2312" w:eastAsia="仿宋_GB2312" w:cs="仿宋_GB2312"/>
                <w:kern w:val="0"/>
                <w:szCs w:val="21"/>
                <w:lang w:bidi="ar"/>
              </w:rPr>
            </w:pPr>
          </w:p>
          <w:p w14:paraId="4C2DF31F">
            <w:pPr>
              <w:widowControl/>
              <w:spacing w:line="240" w:lineRule="exact"/>
              <w:jc w:val="left"/>
              <w:rPr>
                <w:rFonts w:hint="eastAsia" w:ascii="仿宋_GB2312" w:hAnsi="仿宋_GB2312" w:eastAsia="仿宋_GB2312" w:cs="仿宋_GB2312"/>
                <w:kern w:val="0"/>
                <w:szCs w:val="21"/>
                <w:lang w:bidi="ar"/>
              </w:rPr>
            </w:pPr>
          </w:p>
          <w:p w14:paraId="1ADF63AE">
            <w:pPr>
              <w:widowControl/>
              <w:spacing w:line="240" w:lineRule="exact"/>
              <w:jc w:val="left"/>
              <w:rPr>
                <w:rFonts w:hint="eastAsia" w:ascii="仿宋_GB2312" w:hAnsi="仿宋_GB2312" w:eastAsia="仿宋_GB2312" w:cs="仿宋_GB2312"/>
                <w:kern w:val="0"/>
                <w:szCs w:val="21"/>
                <w:lang w:bidi="ar"/>
              </w:rPr>
            </w:pPr>
          </w:p>
          <w:p w14:paraId="110BC1F1">
            <w:pPr>
              <w:widowControl/>
              <w:spacing w:line="240" w:lineRule="exact"/>
              <w:jc w:val="left"/>
              <w:rPr>
                <w:rFonts w:hint="eastAsia" w:ascii="仿宋_GB2312" w:hAnsi="仿宋_GB2312" w:eastAsia="仿宋_GB2312" w:cs="仿宋_GB2312"/>
                <w:kern w:val="0"/>
                <w:szCs w:val="21"/>
                <w:lang w:bidi="ar"/>
              </w:rPr>
            </w:pPr>
          </w:p>
          <w:p w14:paraId="784D68B5">
            <w:pPr>
              <w:widowControl/>
              <w:spacing w:line="240" w:lineRule="exact"/>
              <w:jc w:val="left"/>
              <w:rPr>
                <w:rFonts w:hint="eastAsia" w:ascii="仿宋_GB2312" w:hAnsi="仿宋_GB2312" w:eastAsia="仿宋_GB2312" w:cs="仿宋_GB2312"/>
                <w:kern w:val="0"/>
                <w:szCs w:val="21"/>
                <w:lang w:bidi="ar"/>
              </w:rPr>
            </w:pPr>
          </w:p>
          <w:p w14:paraId="315F40E1">
            <w:pPr>
              <w:widowControl/>
              <w:spacing w:line="240" w:lineRule="exact"/>
              <w:jc w:val="center"/>
              <w:rPr>
                <w:rFonts w:hint="eastAsia" w:ascii="仿宋_GB2312" w:hAnsi="仿宋_GB2312" w:eastAsia="仿宋_GB2312" w:cs="仿宋_GB2312"/>
                <w:kern w:val="0"/>
                <w:szCs w:val="21"/>
                <w:lang w:bidi="ar"/>
              </w:rPr>
            </w:pPr>
          </w:p>
          <w:p w14:paraId="1A732FD3">
            <w:pPr>
              <w:widowControl/>
              <w:spacing w:line="240" w:lineRule="exact"/>
              <w:jc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禽肉</w:t>
            </w:r>
          </w:p>
          <w:p w14:paraId="0D40E34E">
            <w:pPr>
              <w:widowControl/>
              <w:spacing w:line="240" w:lineRule="exact"/>
              <w:jc w:val="center"/>
              <w:rPr>
                <w:rFonts w:hint="eastAsia" w:ascii="仿宋_GB2312" w:hAnsi="仿宋_GB2312" w:eastAsia="仿宋_GB2312" w:cs="仿宋_GB2312"/>
                <w:kern w:val="0"/>
                <w:szCs w:val="21"/>
                <w:lang w:bidi="ar"/>
              </w:rPr>
            </w:pPr>
          </w:p>
          <w:p w14:paraId="58627A47">
            <w:pPr>
              <w:widowControl/>
              <w:spacing w:line="240" w:lineRule="exact"/>
              <w:jc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禽蛋</w:t>
            </w:r>
          </w:p>
          <w:p w14:paraId="5E78B14D">
            <w:pPr>
              <w:widowControl/>
              <w:spacing w:line="240" w:lineRule="exact"/>
              <w:jc w:val="center"/>
              <w:rPr>
                <w:rFonts w:hint="eastAsia" w:ascii="仿宋_GB2312" w:hAnsi="仿宋_GB2312" w:eastAsia="仿宋_GB2312" w:cs="仿宋_GB2312"/>
                <w:kern w:val="0"/>
                <w:szCs w:val="21"/>
                <w:lang w:bidi="ar"/>
              </w:rPr>
            </w:pPr>
          </w:p>
          <w:p w14:paraId="42153665">
            <w:pPr>
              <w:widowControl/>
              <w:spacing w:line="240" w:lineRule="exact"/>
              <w:jc w:val="left"/>
              <w:rPr>
                <w:rFonts w:hint="eastAsia" w:ascii="仿宋_GB2312" w:hAnsi="仿宋_GB2312" w:eastAsia="仿宋_GB2312" w:cs="仿宋_GB2312"/>
                <w:kern w:val="0"/>
                <w:szCs w:val="21"/>
                <w:lang w:bidi="ar"/>
              </w:rPr>
            </w:pPr>
          </w:p>
          <w:p w14:paraId="430CEF65">
            <w:pPr>
              <w:widowControl/>
              <w:spacing w:line="240" w:lineRule="exact"/>
              <w:jc w:val="left"/>
              <w:rPr>
                <w:rFonts w:hint="eastAsia" w:ascii="仿宋_GB2312" w:hAnsi="仿宋_GB2312" w:eastAsia="仿宋_GB2312" w:cs="仿宋_GB2312"/>
                <w:kern w:val="0"/>
                <w:szCs w:val="21"/>
                <w:lang w:bidi="ar"/>
              </w:rPr>
            </w:pPr>
          </w:p>
          <w:p w14:paraId="1400904B">
            <w:pPr>
              <w:widowControl/>
              <w:spacing w:line="240" w:lineRule="exact"/>
              <w:jc w:val="left"/>
              <w:rPr>
                <w:rFonts w:hint="eastAsia" w:ascii="仿宋_GB2312" w:hAnsi="仿宋_GB2312" w:eastAsia="仿宋_GB2312" w:cs="仿宋_GB2312"/>
                <w:kern w:val="0"/>
                <w:szCs w:val="21"/>
                <w:lang w:bidi="ar"/>
              </w:rPr>
            </w:pPr>
          </w:p>
          <w:p w14:paraId="4FC3F92C">
            <w:pPr>
              <w:widowControl/>
              <w:spacing w:line="240" w:lineRule="exact"/>
              <w:jc w:val="left"/>
              <w:rPr>
                <w:rFonts w:hint="eastAsia" w:ascii="仿宋_GB2312" w:hAnsi="仿宋_GB2312" w:eastAsia="仿宋_GB2312" w:cs="仿宋_GB2312"/>
                <w:kern w:val="0"/>
                <w:szCs w:val="21"/>
                <w:lang w:bidi="ar"/>
              </w:rPr>
            </w:pPr>
          </w:p>
          <w:p w14:paraId="00161B70">
            <w:pPr>
              <w:widowControl/>
              <w:spacing w:line="240" w:lineRule="exact"/>
              <w:jc w:val="left"/>
              <w:rPr>
                <w:rFonts w:hint="eastAsia" w:ascii="仿宋_GB2312" w:hAnsi="仿宋_GB2312" w:eastAsia="仿宋_GB2312" w:cs="仿宋_GB2312"/>
                <w:kern w:val="0"/>
                <w:szCs w:val="21"/>
                <w:lang w:bidi="ar"/>
              </w:rPr>
            </w:pPr>
          </w:p>
          <w:p w14:paraId="13721DF8">
            <w:pPr>
              <w:widowControl/>
              <w:spacing w:line="240" w:lineRule="exact"/>
              <w:jc w:val="left"/>
              <w:rPr>
                <w:rFonts w:hint="eastAsia" w:ascii="仿宋_GB2312" w:hAnsi="仿宋_GB2312" w:eastAsia="仿宋_GB2312" w:cs="仿宋_GB2312"/>
                <w:kern w:val="0"/>
                <w:szCs w:val="21"/>
                <w:lang w:bidi="ar"/>
              </w:rPr>
            </w:pPr>
          </w:p>
          <w:p w14:paraId="2C629C08">
            <w:pPr>
              <w:widowControl/>
              <w:spacing w:line="240" w:lineRule="exact"/>
              <w:jc w:val="left"/>
              <w:rPr>
                <w:rFonts w:hint="eastAsia" w:ascii="仿宋_GB2312" w:hAnsi="仿宋_GB2312" w:eastAsia="仿宋_GB2312" w:cs="仿宋_GB2312"/>
                <w:kern w:val="0"/>
                <w:szCs w:val="21"/>
                <w:lang w:bidi="ar"/>
              </w:rPr>
            </w:pPr>
          </w:p>
          <w:p w14:paraId="65F76E4A">
            <w:pPr>
              <w:widowControl/>
              <w:spacing w:line="240" w:lineRule="exact"/>
              <w:jc w:val="left"/>
              <w:rPr>
                <w:rFonts w:hint="eastAsia" w:ascii="仿宋_GB2312" w:hAnsi="仿宋_GB2312" w:eastAsia="仿宋_GB2312" w:cs="仿宋_GB2312"/>
                <w:kern w:val="0"/>
                <w:szCs w:val="21"/>
                <w:lang w:bidi="ar"/>
              </w:rPr>
            </w:pPr>
          </w:p>
          <w:p w14:paraId="3F635EBB">
            <w:pPr>
              <w:widowControl/>
              <w:spacing w:line="240" w:lineRule="exact"/>
              <w:jc w:val="left"/>
              <w:rPr>
                <w:rFonts w:hint="eastAsia" w:ascii="仿宋_GB2312" w:hAnsi="仿宋_GB2312" w:eastAsia="仿宋_GB2312" w:cs="仿宋_GB2312"/>
                <w:kern w:val="0"/>
                <w:szCs w:val="21"/>
                <w:lang w:bidi="ar"/>
              </w:rPr>
            </w:pPr>
          </w:p>
          <w:p w14:paraId="3B7D0561">
            <w:pPr>
              <w:widowControl/>
              <w:spacing w:line="240" w:lineRule="exact"/>
              <w:jc w:val="left"/>
              <w:rPr>
                <w:rFonts w:hint="eastAsia" w:ascii="仿宋_GB2312" w:hAnsi="仿宋_GB2312" w:eastAsia="仿宋_GB2312" w:cs="仿宋_GB2312"/>
                <w:kern w:val="0"/>
                <w:szCs w:val="21"/>
                <w:lang w:bidi="ar"/>
              </w:rPr>
            </w:pPr>
          </w:p>
        </w:tc>
        <w:tc>
          <w:tcPr>
            <w:tcW w:w="1619" w:type="pct"/>
            <w:noWrap w:val="0"/>
            <w:vAlign w:val="center"/>
          </w:tcPr>
          <w:p w14:paraId="50D90740">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禽肉常规药物：氟喹诺酮类（恩诺沙星</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环丙沙星</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沙拉沙星</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达氟沙星）;尼卡巴嗪残留标示物 （二硝基苯缩脲）（禽肉）；酰胺醇类（氟苯尼考</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氟苯尼考胺</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甲砜霉素）；抗菌增效剂（甲氧苄啶）</w:t>
            </w:r>
          </w:p>
          <w:p w14:paraId="6DDC7699">
            <w:pPr>
              <w:widowControl/>
              <w:spacing w:line="240" w:lineRule="exact"/>
              <w:jc w:val="left"/>
              <w:rPr>
                <w:rFonts w:hint="eastAsia" w:ascii="仿宋_GB2312" w:hAnsi="仿宋_GB2312" w:eastAsia="仿宋_GB2312" w:cs="仿宋_GB2312"/>
                <w:kern w:val="0"/>
                <w:szCs w:val="21"/>
                <w:lang w:bidi="ar"/>
              </w:rPr>
            </w:pPr>
          </w:p>
          <w:p w14:paraId="45B11D9F">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产蛋期不得使用药物（禽蛋）：氟喹诺酮类（恩诺沙星</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环丙沙星</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沙拉沙星</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达氟沙星）；酰胺醇类（氟苯尼考</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氟苯尼考胺</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甲砜霉素）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四环素类（多西环素）；抗菌增效剂（甲氧苄啶）</w:t>
            </w:r>
          </w:p>
        </w:tc>
        <w:tc>
          <w:tcPr>
            <w:tcW w:w="2074" w:type="pct"/>
            <w:noWrap w:val="0"/>
            <w:vAlign w:val="center"/>
          </w:tcPr>
          <w:p w14:paraId="2FE98C1B">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31658.17-2021 动物性食品中四环素类</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磺胺类和喹诺酮类药物残留量的测定</w:t>
            </w:r>
          </w:p>
          <w:p w14:paraId="0DCEA0E9">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禽肉和禽蛋中酰胺醇类药物及代谢物残留量的测定 液相色谱-串联质谱法（中国农业科学院农业质量标准与检测技术研究所自建方法）</w:t>
            </w:r>
          </w:p>
          <w:p w14:paraId="204B978D">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29690-2013 食品安全国家标准 动物性食品中尼卡巴嗪残留标志物残留量的测定 液相色谱-串联质谱法</w:t>
            </w:r>
          </w:p>
          <w:p w14:paraId="515DED6C">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29691-2013 鸡可食性组织中尼卡巴嗪残留量的测定 高效液相色谱法</w:t>
            </w:r>
          </w:p>
          <w:p w14:paraId="71F29FB2">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22338-2008 动物源性食品中氯霉素类药物残留量测定</w:t>
            </w:r>
          </w:p>
          <w:p w14:paraId="24C9B04C">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31658.20-2022 食品安全国家标准 动物性食品中酰胺醇类药物及其代谢物残留量的测定 液相色谱-串联质谱法</w:t>
            </w:r>
          </w:p>
          <w:p w14:paraId="0AA3EBC2">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20366-2006 动物源产品中喹诺酮类残留量的测定 液相色谱-串联质谱法</w:t>
            </w:r>
          </w:p>
          <w:p w14:paraId="79E0FB26">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21316-2007 动物源性食品中磺胺类药物残留量的测定</w:t>
            </w:r>
          </w:p>
          <w:p w14:paraId="7371B0EF">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SN/T 2538-2010 进出口动物源性食品中二甲氧苄氨嘧啶</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三甲氧苄氨嘧啶和二甲氧甲基苄氨嘧啶残留量的检测方法 液相色谱-质谱/质谱法</w:t>
            </w:r>
          </w:p>
        </w:tc>
        <w:tc>
          <w:tcPr>
            <w:tcW w:w="908" w:type="pct"/>
            <w:noWrap w:val="0"/>
            <w:vAlign w:val="center"/>
          </w:tcPr>
          <w:p w14:paraId="680E90E2">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31650-2019 食品安全国家标准 食品中兽药最大残留限量 农业部公告第2292号</w:t>
            </w:r>
          </w:p>
          <w:p w14:paraId="1CCB050B">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31650.1-2022 食品安全国家标准 食品中41种兽药最大残留限量</w:t>
            </w:r>
          </w:p>
        </w:tc>
      </w:tr>
      <w:tr w14:paraId="49C2A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7" w:hRule="atLeast"/>
          <w:jc w:val="center"/>
        </w:trPr>
        <w:tc>
          <w:tcPr>
            <w:tcW w:w="397" w:type="pct"/>
            <w:noWrap w:val="0"/>
            <w:vAlign w:val="center"/>
          </w:tcPr>
          <w:p w14:paraId="33D82A67">
            <w:pPr>
              <w:widowControl/>
              <w:spacing w:line="240" w:lineRule="exact"/>
              <w:jc w:val="left"/>
              <w:rPr>
                <w:rFonts w:hint="eastAsia" w:ascii="仿宋_GB2312" w:hAnsi="仿宋_GB2312" w:eastAsia="仿宋_GB2312" w:cs="仿宋_GB2312"/>
                <w:kern w:val="0"/>
                <w:szCs w:val="21"/>
                <w:lang w:bidi="ar"/>
              </w:rPr>
            </w:pPr>
          </w:p>
          <w:p w14:paraId="38225E72">
            <w:pPr>
              <w:widowControl/>
              <w:spacing w:line="240" w:lineRule="exact"/>
              <w:jc w:val="left"/>
              <w:rPr>
                <w:rFonts w:hint="eastAsia" w:ascii="仿宋_GB2312" w:hAnsi="仿宋_GB2312" w:eastAsia="仿宋_GB2312" w:cs="仿宋_GB2312"/>
                <w:kern w:val="0"/>
                <w:szCs w:val="21"/>
                <w:lang w:bidi="ar"/>
              </w:rPr>
            </w:pPr>
          </w:p>
          <w:p w14:paraId="5C293ABE">
            <w:pPr>
              <w:widowControl/>
              <w:spacing w:line="240" w:lineRule="exact"/>
              <w:jc w:val="left"/>
              <w:rPr>
                <w:rFonts w:hint="eastAsia" w:ascii="仿宋_GB2312" w:hAnsi="仿宋_GB2312" w:eastAsia="仿宋_GB2312" w:cs="仿宋_GB2312"/>
                <w:kern w:val="0"/>
                <w:szCs w:val="21"/>
                <w:lang w:bidi="ar"/>
              </w:rPr>
            </w:pPr>
          </w:p>
          <w:p w14:paraId="59FB7BFF">
            <w:pPr>
              <w:widowControl/>
              <w:spacing w:line="240" w:lineRule="exact"/>
              <w:jc w:val="left"/>
              <w:rPr>
                <w:rFonts w:hint="eastAsia" w:ascii="仿宋_GB2312" w:hAnsi="仿宋_GB2312" w:eastAsia="仿宋_GB2312" w:cs="仿宋_GB2312"/>
                <w:kern w:val="0"/>
                <w:szCs w:val="21"/>
                <w:lang w:bidi="ar"/>
              </w:rPr>
            </w:pPr>
          </w:p>
          <w:p w14:paraId="6D219407">
            <w:pPr>
              <w:widowControl/>
              <w:spacing w:line="240" w:lineRule="exact"/>
              <w:jc w:val="left"/>
              <w:rPr>
                <w:rFonts w:hint="eastAsia" w:ascii="仿宋_GB2312" w:hAnsi="仿宋_GB2312" w:eastAsia="仿宋_GB2312" w:cs="仿宋_GB2312"/>
                <w:kern w:val="0"/>
                <w:szCs w:val="21"/>
                <w:lang w:bidi="ar"/>
              </w:rPr>
            </w:pPr>
          </w:p>
          <w:p w14:paraId="1C7AB259">
            <w:pPr>
              <w:widowControl/>
              <w:spacing w:line="240" w:lineRule="exact"/>
              <w:jc w:val="left"/>
              <w:rPr>
                <w:rFonts w:hint="eastAsia" w:ascii="仿宋_GB2312" w:hAnsi="仿宋_GB2312" w:eastAsia="仿宋_GB2312" w:cs="仿宋_GB2312"/>
                <w:kern w:val="0"/>
                <w:szCs w:val="21"/>
                <w:lang w:bidi="ar"/>
              </w:rPr>
            </w:pPr>
          </w:p>
          <w:p w14:paraId="395173A3">
            <w:pPr>
              <w:widowControl/>
              <w:spacing w:line="240" w:lineRule="exact"/>
              <w:jc w:val="left"/>
              <w:rPr>
                <w:rFonts w:hint="eastAsia" w:ascii="仿宋_GB2312" w:hAnsi="仿宋_GB2312" w:eastAsia="仿宋_GB2312" w:cs="仿宋_GB2312"/>
                <w:kern w:val="0"/>
                <w:szCs w:val="21"/>
                <w:lang w:bidi="ar"/>
              </w:rPr>
            </w:pPr>
          </w:p>
          <w:p w14:paraId="52FD2BD3">
            <w:pPr>
              <w:widowControl/>
              <w:spacing w:line="240" w:lineRule="exact"/>
              <w:jc w:val="center"/>
              <w:rPr>
                <w:rFonts w:hint="eastAsia" w:ascii="仿宋_GB2312" w:hAnsi="仿宋_GB2312" w:eastAsia="仿宋_GB2312" w:cs="仿宋_GB2312"/>
                <w:kern w:val="0"/>
                <w:szCs w:val="21"/>
                <w:lang w:bidi="ar"/>
              </w:rPr>
            </w:pPr>
          </w:p>
          <w:p w14:paraId="5F978E7C">
            <w:pPr>
              <w:widowControl/>
              <w:spacing w:line="240" w:lineRule="exact"/>
              <w:jc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禽肉</w:t>
            </w:r>
          </w:p>
          <w:p w14:paraId="3E861767">
            <w:pPr>
              <w:widowControl/>
              <w:spacing w:line="240" w:lineRule="exact"/>
              <w:jc w:val="center"/>
              <w:rPr>
                <w:rFonts w:hint="eastAsia" w:ascii="仿宋_GB2312" w:hAnsi="仿宋_GB2312" w:eastAsia="仿宋_GB2312" w:cs="仿宋_GB2312"/>
                <w:kern w:val="0"/>
                <w:szCs w:val="21"/>
                <w:lang w:bidi="ar"/>
              </w:rPr>
            </w:pPr>
          </w:p>
          <w:p w14:paraId="0708E9AF">
            <w:pPr>
              <w:widowControl/>
              <w:spacing w:line="240" w:lineRule="exact"/>
              <w:jc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禽蛋</w:t>
            </w:r>
          </w:p>
          <w:p w14:paraId="72AF0E44">
            <w:pPr>
              <w:widowControl/>
              <w:spacing w:line="240" w:lineRule="exact"/>
              <w:jc w:val="center"/>
              <w:rPr>
                <w:rFonts w:hint="eastAsia" w:ascii="仿宋_GB2312" w:hAnsi="仿宋_GB2312" w:eastAsia="仿宋_GB2312" w:cs="仿宋_GB2312"/>
                <w:kern w:val="0"/>
                <w:szCs w:val="21"/>
                <w:lang w:bidi="ar"/>
              </w:rPr>
            </w:pPr>
          </w:p>
          <w:p w14:paraId="0DA4FD4F">
            <w:pPr>
              <w:widowControl/>
              <w:spacing w:line="240" w:lineRule="exact"/>
              <w:jc w:val="left"/>
              <w:rPr>
                <w:rFonts w:hint="eastAsia" w:ascii="仿宋_GB2312" w:hAnsi="仿宋_GB2312" w:eastAsia="仿宋_GB2312" w:cs="仿宋_GB2312"/>
                <w:kern w:val="0"/>
                <w:szCs w:val="21"/>
                <w:lang w:bidi="ar"/>
              </w:rPr>
            </w:pPr>
          </w:p>
          <w:p w14:paraId="11286CA8">
            <w:pPr>
              <w:widowControl/>
              <w:spacing w:line="240" w:lineRule="exact"/>
              <w:jc w:val="left"/>
              <w:rPr>
                <w:rFonts w:hint="eastAsia" w:ascii="仿宋_GB2312" w:hAnsi="仿宋_GB2312" w:eastAsia="仿宋_GB2312" w:cs="仿宋_GB2312"/>
                <w:kern w:val="0"/>
                <w:szCs w:val="21"/>
                <w:lang w:bidi="ar"/>
              </w:rPr>
            </w:pPr>
          </w:p>
          <w:p w14:paraId="740EE6D9">
            <w:pPr>
              <w:widowControl/>
              <w:spacing w:line="240" w:lineRule="exact"/>
              <w:jc w:val="left"/>
              <w:rPr>
                <w:rFonts w:hint="eastAsia" w:ascii="仿宋_GB2312" w:hAnsi="仿宋_GB2312" w:eastAsia="仿宋_GB2312" w:cs="仿宋_GB2312"/>
                <w:kern w:val="0"/>
                <w:szCs w:val="21"/>
                <w:lang w:bidi="ar"/>
              </w:rPr>
            </w:pPr>
          </w:p>
          <w:p w14:paraId="3E4D500A">
            <w:pPr>
              <w:widowControl/>
              <w:spacing w:line="240" w:lineRule="exact"/>
              <w:jc w:val="left"/>
              <w:rPr>
                <w:rFonts w:hint="eastAsia" w:ascii="仿宋_GB2312" w:hAnsi="仿宋_GB2312" w:eastAsia="仿宋_GB2312" w:cs="仿宋_GB2312"/>
                <w:kern w:val="0"/>
                <w:szCs w:val="21"/>
                <w:lang w:bidi="ar"/>
              </w:rPr>
            </w:pPr>
          </w:p>
          <w:p w14:paraId="33AC4ADF">
            <w:pPr>
              <w:widowControl/>
              <w:spacing w:line="240" w:lineRule="exact"/>
              <w:jc w:val="left"/>
              <w:rPr>
                <w:rFonts w:hint="eastAsia" w:ascii="仿宋_GB2312" w:hAnsi="仿宋_GB2312" w:eastAsia="仿宋_GB2312" w:cs="仿宋_GB2312"/>
                <w:kern w:val="0"/>
                <w:szCs w:val="21"/>
                <w:lang w:bidi="ar"/>
              </w:rPr>
            </w:pPr>
          </w:p>
          <w:p w14:paraId="152E7693">
            <w:pPr>
              <w:widowControl/>
              <w:spacing w:line="240" w:lineRule="exact"/>
              <w:jc w:val="left"/>
              <w:rPr>
                <w:rFonts w:hint="eastAsia" w:ascii="仿宋_GB2312" w:hAnsi="仿宋_GB2312" w:eastAsia="仿宋_GB2312" w:cs="仿宋_GB2312"/>
                <w:kern w:val="0"/>
                <w:szCs w:val="21"/>
                <w:lang w:bidi="ar"/>
              </w:rPr>
            </w:pPr>
          </w:p>
          <w:p w14:paraId="18304854">
            <w:pPr>
              <w:widowControl/>
              <w:spacing w:line="240" w:lineRule="exact"/>
              <w:jc w:val="left"/>
              <w:rPr>
                <w:rFonts w:hint="eastAsia" w:ascii="仿宋_GB2312" w:hAnsi="仿宋_GB2312" w:eastAsia="仿宋_GB2312" w:cs="仿宋_GB2312"/>
                <w:kern w:val="0"/>
                <w:szCs w:val="21"/>
                <w:lang w:bidi="ar"/>
              </w:rPr>
            </w:pPr>
          </w:p>
          <w:p w14:paraId="3910CAC9">
            <w:pPr>
              <w:widowControl/>
              <w:spacing w:line="240" w:lineRule="exact"/>
              <w:jc w:val="left"/>
              <w:rPr>
                <w:rFonts w:hint="eastAsia" w:ascii="仿宋_GB2312" w:hAnsi="仿宋_GB2312" w:eastAsia="仿宋_GB2312" w:cs="仿宋_GB2312"/>
                <w:kern w:val="0"/>
                <w:szCs w:val="21"/>
                <w:lang w:bidi="ar"/>
              </w:rPr>
            </w:pPr>
          </w:p>
          <w:p w14:paraId="21F06B83">
            <w:pPr>
              <w:widowControl/>
              <w:spacing w:line="240" w:lineRule="exact"/>
              <w:jc w:val="left"/>
              <w:rPr>
                <w:rFonts w:hint="eastAsia" w:ascii="仿宋_GB2312" w:hAnsi="仿宋_GB2312" w:eastAsia="仿宋_GB2312" w:cs="仿宋_GB2312"/>
                <w:kern w:val="0"/>
                <w:szCs w:val="21"/>
                <w:lang w:bidi="ar"/>
              </w:rPr>
            </w:pPr>
          </w:p>
          <w:p w14:paraId="59851FC5">
            <w:pPr>
              <w:widowControl/>
              <w:spacing w:line="240" w:lineRule="exact"/>
              <w:jc w:val="left"/>
              <w:rPr>
                <w:rFonts w:hint="eastAsia" w:ascii="仿宋_GB2312" w:hAnsi="仿宋_GB2312" w:eastAsia="仿宋_GB2312" w:cs="仿宋_GB2312"/>
                <w:kern w:val="0"/>
                <w:szCs w:val="21"/>
                <w:lang w:bidi="ar"/>
              </w:rPr>
            </w:pPr>
          </w:p>
        </w:tc>
        <w:tc>
          <w:tcPr>
            <w:tcW w:w="1619" w:type="pct"/>
            <w:noWrap w:val="0"/>
            <w:vAlign w:val="center"/>
          </w:tcPr>
          <w:p w14:paraId="280686CA">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禁用药物：酰胺醇类（氯霉素）；硝基呋喃类代谢物（包括呋喃唑酮代谢物 AOZ</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呋喃它酮代谢物 AMOZ</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呋喃西林代谢物 SEM 和呋喃妥因代谢物 AHD）；卡巴氧代谢物</w:t>
            </w:r>
          </w:p>
          <w:p w14:paraId="25D89FC4">
            <w:pPr>
              <w:widowControl/>
              <w:spacing w:line="240" w:lineRule="exact"/>
              <w:jc w:val="left"/>
              <w:rPr>
                <w:rFonts w:hint="eastAsia" w:ascii="仿宋_GB2312" w:hAnsi="仿宋_GB2312" w:eastAsia="仿宋_GB2312" w:cs="仿宋_GB2312"/>
                <w:kern w:val="0"/>
                <w:szCs w:val="21"/>
                <w:lang w:bidi="ar"/>
              </w:rPr>
            </w:pPr>
          </w:p>
          <w:p w14:paraId="339A7105">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停用药物：氟喹诺酮类（氧氟沙星</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培氟沙星</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诺氟沙星</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洛美沙星）；金刚烷胺；喹乙醇代谢物</w:t>
            </w:r>
          </w:p>
        </w:tc>
        <w:tc>
          <w:tcPr>
            <w:tcW w:w="2074" w:type="pct"/>
            <w:noWrap w:val="0"/>
            <w:vAlign w:val="center"/>
          </w:tcPr>
          <w:p w14:paraId="7F375A44">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31658.6-2021 食品安全国家标准 动物性食品中四环素类药物残留量的测定 高效液相色谱法</w:t>
            </w:r>
          </w:p>
          <w:p w14:paraId="7A0B3DD3">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21311-2007 动物源性食品中硝基呋喃类药物代谢物残留量检测方法 高效液相色谱/串联质谱法</w:t>
            </w:r>
          </w:p>
          <w:p w14:paraId="11DD6C31">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31659.9-2025 食品安全国家标准 禽蛋中卡巴氧和喹乙醇代谢物残留量的测定 液相色谱-串联质谱法</w:t>
            </w:r>
          </w:p>
          <w:p w14:paraId="3A7C3808">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20797-2006 肉与肉制品中喹乙醇残留量的测定</w:t>
            </w:r>
          </w:p>
          <w:p w14:paraId="14FCF15B">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SN/T 0197-2014 出口动物源性食品中喹乙醇代谢物残留量的测定 液相色谱-质谱/质谱法</w:t>
            </w:r>
          </w:p>
          <w:p w14:paraId="0CC2CBAB">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21312-2007 动物源性食品中14种喹诺酮药物残留检测方法 液相色谱-质谱/质谱法</w:t>
            </w:r>
          </w:p>
          <w:p w14:paraId="210670E0">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SN/T 1865-2016 出口动物源食品中甲砜霉素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氟甲砜霉素和氟苯尼考胺残留量的测定 液相色谱-质谱/质谱法</w:t>
            </w:r>
          </w:p>
          <w:p w14:paraId="50DAD027">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31659.2-2022 食品安全国家标准 禽蛋</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奶和奶粉中多西环素残留量的测定 液相色谱-串联质谱法</w:t>
            </w:r>
          </w:p>
          <w:p w14:paraId="53A71CDF">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31659.7-2025 食品安全国家标准 禽蛋中氯霉素残留量的测定 液相色谱-串联质谱法</w:t>
            </w:r>
          </w:p>
        </w:tc>
        <w:tc>
          <w:tcPr>
            <w:tcW w:w="908" w:type="pct"/>
            <w:noWrap w:val="0"/>
            <w:vAlign w:val="center"/>
          </w:tcPr>
          <w:p w14:paraId="41E8AA1D">
            <w:pPr>
              <w:widowControl/>
              <w:spacing w:line="240" w:lineRule="exact"/>
              <w:jc w:val="left"/>
              <w:rPr>
                <w:rFonts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农业部公告第560号及检测方法的定量限及农业农村部公告第250号及检测方法的定量限</w:t>
            </w:r>
          </w:p>
          <w:p w14:paraId="42B48BAF">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GB31650.1-2022食品安全国家标准 食品中41种兽药最大残留限量</w:t>
            </w:r>
          </w:p>
        </w:tc>
      </w:tr>
      <w:tr w14:paraId="62CDC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97" w:type="pct"/>
            <w:noWrap w:val="0"/>
            <w:vAlign w:val="center"/>
          </w:tcPr>
          <w:p w14:paraId="492472DE">
            <w:pPr>
              <w:widowControl/>
              <w:spacing w:line="240" w:lineRule="exact"/>
              <w:jc w:val="center"/>
              <w:rPr>
                <w:rFonts w:hint="eastAsia" w:ascii="仿宋_GB2312" w:hAnsi="仿宋_GB2312" w:eastAsia="仿宋_GB2312" w:cs="仿宋_GB2312"/>
                <w:b/>
                <w:bCs/>
                <w:kern w:val="0"/>
                <w:szCs w:val="21"/>
                <w:lang w:bidi="ar"/>
              </w:rPr>
            </w:pPr>
            <w:r>
              <w:rPr>
                <w:rFonts w:hint="eastAsia" w:ascii="仿宋_GB2312" w:hAnsi="仿宋_GB2312" w:eastAsia="仿宋_GB2312" w:cs="仿宋_GB2312"/>
                <w:b/>
                <w:bCs/>
                <w:kern w:val="0"/>
                <w:szCs w:val="21"/>
                <w:lang w:bidi="ar"/>
              </w:rPr>
              <w:t>检测</w:t>
            </w:r>
          </w:p>
          <w:p w14:paraId="1C863EDC">
            <w:pPr>
              <w:widowControl/>
              <w:spacing w:line="240" w:lineRule="exact"/>
              <w:jc w:val="center"/>
              <w:rPr>
                <w:rFonts w:hint="eastAsia" w:ascii="仿宋_GB2312" w:hAnsi="仿宋_GB2312" w:cs="仿宋_GB2312"/>
                <w:sz w:val="21"/>
                <w:szCs w:val="21"/>
              </w:rPr>
            </w:pPr>
            <w:r>
              <w:rPr>
                <w:rFonts w:hint="eastAsia" w:ascii="仿宋_GB2312" w:hAnsi="仿宋_GB2312" w:eastAsia="仿宋_GB2312" w:cs="仿宋_GB2312"/>
                <w:b/>
                <w:bCs/>
                <w:kern w:val="0"/>
                <w:szCs w:val="21"/>
                <w:lang w:bidi="ar"/>
              </w:rPr>
              <w:t>品种</w:t>
            </w:r>
          </w:p>
        </w:tc>
        <w:tc>
          <w:tcPr>
            <w:tcW w:w="1619" w:type="pct"/>
            <w:noWrap w:val="0"/>
            <w:vAlign w:val="center"/>
          </w:tcPr>
          <w:p w14:paraId="49610FC1">
            <w:pPr>
              <w:widowControl/>
              <w:spacing w:line="240" w:lineRule="exact"/>
              <w:jc w:val="center"/>
              <w:rPr>
                <w:rFonts w:hint="eastAsia" w:ascii="仿宋_GB2312" w:hAnsi="仿宋_GB2312" w:eastAsia="仿宋_GB2312" w:cs="仿宋_GB2312"/>
                <w:kern w:val="0"/>
                <w:szCs w:val="21"/>
                <w:lang w:bidi="ar"/>
              </w:rPr>
            </w:pPr>
            <w:r>
              <w:rPr>
                <w:rFonts w:hint="eastAsia" w:ascii="仿宋_GB2312" w:hAnsi="仿宋_GB2312" w:eastAsia="仿宋_GB2312" w:cs="仿宋_GB2312"/>
                <w:b/>
                <w:bCs/>
                <w:kern w:val="0"/>
                <w:szCs w:val="21"/>
                <w:lang w:bidi="ar"/>
              </w:rPr>
              <w:t>检测项目</w:t>
            </w:r>
          </w:p>
        </w:tc>
        <w:tc>
          <w:tcPr>
            <w:tcW w:w="2074" w:type="pct"/>
            <w:noWrap w:val="0"/>
            <w:vAlign w:val="center"/>
          </w:tcPr>
          <w:p w14:paraId="375BEBB8">
            <w:pPr>
              <w:widowControl/>
              <w:spacing w:line="240" w:lineRule="exact"/>
              <w:jc w:val="center"/>
              <w:rPr>
                <w:rFonts w:hint="eastAsia" w:ascii="仿宋_GB2312" w:hAnsi="仿宋_GB2312" w:eastAsia="仿宋_GB2312" w:cs="仿宋_GB2312"/>
                <w:kern w:val="0"/>
                <w:szCs w:val="21"/>
                <w:lang w:bidi="ar"/>
              </w:rPr>
            </w:pPr>
            <w:r>
              <w:rPr>
                <w:rFonts w:hint="eastAsia" w:ascii="仿宋_GB2312" w:hAnsi="仿宋_GB2312" w:eastAsia="仿宋_GB2312" w:cs="仿宋_GB2312"/>
                <w:b/>
                <w:bCs/>
                <w:kern w:val="0"/>
                <w:szCs w:val="21"/>
                <w:lang w:bidi="ar"/>
              </w:rPr>
              <w:t>检测依据</w:t>
            </w:r>
          </w:p>
        </w:tc>
        <w:tc>
          <w:tcPr>
            <w:tcW w:w="908" w:type="pct"/>
            <w:noWrap w:val="0"/>
            <w:vAlign w:val="center"/>
          </w:tcPr>
          <w:p w14:paraId="180B778C">
            <w:pPr>
              <w:widowControl/>
              <w:spacing w:line="240" w:lineRule="exact"/>
              <w:jc w:val="center"/>
              <w:rPr>
                <w:rFonts w:hint="eastAsia" w:ascii="仿宋_GB2312" w:hAnsi="仿宋_GB2312" w:eastAsia="仿宋_GB2312" w:cs="仿宋_GB2312"/>
                <w:kern w:val="0"/>
                <w:szCs w:val="21"/>
                <w:lang w:bidi="ar"/>
              </w:rPr>
            </w:pPr>
            <w:r>
              <w:rPr>
                <w:rFonts w:hint="eastAsia" w:ascii="仿宋_GB2312" w:hAnsi="仿宋_GB2312" w:eastAsia="仿宋_GB2312" w:cs="仿宋_GB2312"/>
                <w:b/>
                <w:bCs/>
                <w:kern w:val="0"/>
                <w:szCs w:val="21"/>
                <w:lang w:bidi="ar"/>
              </w:rPr>
              <w:t>判定依据</w:t>
            </w:r>
          </w:p>
        </w:tc>
      </w:tr>
      <w:tr w14:paraId="0D806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10" w:hRule="atLeast"/>
          <w:jc w:val="center"/>
        </w:trPr>
        <w:tc>
          <w:tcPr>
            <w:tcW w:w="397" w:type="pct"/>
            <w:noWrap w:val="0"/>
            <w:vAlign w:val="center"/>
          </w:tcPr>
          <w:p w14:paraId="5A303F22">
            <w:pPr>
              <w:pStyle w:val="2"/>
              <w:jc w:val="center"/>
              <w:rPr>
                <w:rFonts w:hint="eastAsia" w:ascii="仿宋_GB2312" w:hAnsi="仿宋_GB2312" w:cs="仿宋_GB2312"/>
                <w:sz w:val="21"/>
                <w:szCs w:val="21"/>
              </w:rPr>
            </w:pPr>
            <w:r>
              <w:rPr>
                <w:rFonts w:hint="eastAsia" w:ascii="仿宋_GB2312" w:hAnsi="仿宋_GB2312" w:cs="仿宋_GB2312"/>
                <w:sz w:val="21"/>
                <w:szCs w:val="21"/>
              </w:rPr>
              <w:t>猪肝</w:t>
            </w:r>
          </w:p>
          <w:p w14:paraId="2D222A90">
            <w:pPr>
              <w:pStyle w:val="2"/>
              <w:jc w:val="center"/>
              <w:rPr>
                <w:rFonts w:hint="eastAsia" w:ascii="仿宋_GB2312" w:hAnsi="仿宋_GB2312" w:cs="仿宋_GB2312"/>
                <w:sz w:val="21"/>
                <w:szCs w:val="21"/>
              </w:rPr>
            </w:pPr>
          </w:p>
          <w:p w14:paraId="699A3555">
            <w:pPr>
              <w:pStyle w:val="2"/>
              <w:jc w:val="center"/>
              <w:rPr>
                <w:rFonts w:hint="eastAsia" w:ascii="仿宋_GB2312" w:hAnsi="仿宋_GB2312" w:cs="仿宋_GB2312"/>
                <w:sz w:val="21"/>
                <w:szCs w:val="21"/>
              </w:rPr>
            </w:pPr>
            <w:r>
              <w:rPr>
                <w:rFonts w:hint="eastAsia" w:ascii="仿宋_GB2312" w:hAnsi="仿宋_GB2312" w:cs="仿宋_GB2312"/>
                <w:sz w:val="21"/>
                <w:szCs w:val="21"/>
              </w:rPr>
              <w:t>牛肝</w:t>
            </w:r>
          </w:p>
          <w:p w14:paraId="45D9A923">
            <w:pPr>
              <w:pStyle w:val="2"/>
              <w:jc w:val="center"/>
              <w:rPr>
                <w:rFonts w:hint="eastAsia" w:ascii="仿宋_GB2312" w:hAnsi="仿宋_GB2312" w:cs="仿宋_GB2312"/>
                <w:sz w:val="21"/>
                <w:szCs w:val="21"/>
              </w:rPr>
            </w:pPr>
          </w:p>
          <w:p w14:paraId="2983B20A">
            <w:pPr>
              <w:pStyle w:val="2"/>
              <w:jc w:val="center"/>
              <w:rPr>
                <w:rFonts w:hint="eastAsia" w:ascii="仿宋_GB2312" w:hAnsi="仿宋_GB2312" w:cs="仿宋_GB2312"/>
                <w:sz w:val="21"/>
                <w:szCs w:val="21"/>
              </w:rPr>
            </w:pPr>
            <w:r>
              <w:rPr>
                <w:rFonts w:hint="eastAsia" w:ascii="仿宋_GB2312" w:hAnsi="仿宋_GB2312" w:cs="仿宋_GB2312"/>
                <w:sz w:val="21"/>
                <w:szCs w:val="21"/>
              </w:rPr>
              <w:t>羊肝</w:t>
            </w:r>
          </w:p>
        </w:tc>
        <w:tc>
          <w:tcPr>
            <w:tcW w:w="1619" w:type="pct"/>
            <w:noWrap w:val="0"/>
            <w:vAlign w:val="center"/>
          </w:tcPr>
          <w:p w14:paraId="5A358C32">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瘦肉精（克伦特罗</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莱克多巴胺</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沙丁胺醇</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特布他林</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西马特罗</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非诺特罗</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氯丙那林</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妥布特罗和喷布特罗）；糖皮质激素（泼尼松</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泼尼松龙</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地塞米松</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倍他米松</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氟氢可的松</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甲基泼尼松</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倍氯米松和氢化可的松）；类固醇激素（醋酸美仑孕酮</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甲基睾丸酮</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17α-群勃龙</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17β-群勃龙</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α-玉米赤霉醇</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β-玉米赤霉醇）；磺胺类（磺胺间甲氧嘧啶SMM</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磺胺二甲嘧啶SM2</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磺胺甲噁唑SMZ</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磺胺（间）二甲氧嘧啶SDM</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磺胺喹噁啉SQ）；四环素类（金霉素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土霉素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四环素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多西环素）；氟喹诺酮类（氧氟沙星</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培氟沙星</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 xml:space="preserve"> 诺氟沙星</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洛美沙星）；金刚烷胺；甲氧苄啶；硝基咪唑类（甲硝唑</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地美硝唑）</w:t>
            </w:r>
          </w:p>
        </w:tc>
        <w:tc>
          <w:tcPr>
            <w:tcW w:w="2074" w:type="pct"/>
            <w:noWrap w:val="0"/>
            <w:vAlign w:val="center"/>
          </w:tcPr>
          <w:p w14:paraId="4ADA9860">
            <w:pPr>
              <w:keepNext w:val="0"/>
              <w:keepLines w:val="0"/>
              <w:pageBreakBefore w:val="0"/>
              <w:widowControl/>
              <w:kinsoku/>
              <w:wordWrap/>
              <w:overflowPunct/>
              <w:topLinePunct w:val="0"/>
              <w:autoSpaceDE/>
              <w:autoSpaceDN/>
              <w:bidi w:val="0"/>
              <w:adjustRightInd/>
              <w:snapToGrid/>
              <w:spacing w:line="270" w:lineRule="exact"/>
              <w:jc w:val="left"/>
              <w:textAlignment w:val="auto"/>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31658.22-2022 动物性食品中β-受体激动剂残留量的测定  农业部 1025 号公告-18-2008 动物源性食品中β-受体激动剂残留检测 液相色谱-串联质谱法</w:t>
            </w:r>
          </w:p>
          <w:p w14:paraId="7898F080">
            <w:pPr>
              <w:keepNext w:val="0"/>
              <w:keepLines w:val="0"/>
              <w:pageBreakBefore w:val="0"/>
              <w:widowControl/>
              <w:kinsoku/>
              <w:wordWrap/>
              <w:overflowPunct/>
              <w:topLinePunct w:val="0"/>
              <w:autoSpaceDE/>
              <w:autoSpaceDN/>
              <w:bidi w:val="0"/>
              <w:adjustRightInd/>
              <w:snapToGrid/>
              <w:spacing w:line="270" w:lineRule="exact"/>
              <w:jc w:val="left"/>
              <w:textAlignment w:val="auto"/>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动物源性食品中糖皮质激素类药物多残留检测 液相色谱-串联质 谱法（农业部 1031 号公告-2-2008）</w:t>
            </w:r>
          </w:p>
          <w:p w14:paraId="5D50D545">
            <w:pPr>
              <w:keepNext w:val="0"/>
              <w:keepLines w:val="0"/>
              <w:pageBreakBefore w:val="0"/>
              <w:widowControl/>
              <w:kinsoku/>
              <w:wordWrap/>
              <w:overflowPunct/>
              <w:topLinePunct w:val="0"/>
              <w:autoSpaceDE/>
              <w:autoSpaceDN/>
              <w:bidi w:val="0"/>
              <w:adjustRightInd/>
              <w:snapToGrid/>
              <w:spacing w:line="270" w:lineRule="exact"/>
              <w:jc w:val="left"/>
              <w:textAlignment w:val="auto"/>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磺胺类药物在动物可食性组织中残留的高效液相色谱检测方法 （参见农质发〔2014〕5 号文附录）</w:t>
            </w:r>
          </w:p>
          <w:p w14:paraId="279FE491">
            <w:pPr>
              <w:keepNext w:val="0"/>
              <w:keepLines w:val="0"/>
              <w:pageBreakBefore w:val="0"/>
              <w:widowControl/>
              <w:kinsoku/>
              <w:wordWrap/>
              <w:overflowPunct/>
              <w:topLinePunct w:val="0"/>
              <w:autoSpaceDE/>
              <w:autoSpaceDN/>
              <w:bidi w:val="0"/>
              <w:adjustRightInd/>
              <w:snapToGrid/>
              <w:spacing w:line="270" w:lineRule="exact"/>
              <w:jc w:val="left"/>
              <w:textAlignment w:val="auto"/>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20759-2006 畜禽中十六种磺胺类药物残留量的测定液相色 谱—串联质谱法</w:t>
            </w:r>
          </w:p>
          <w:p w14:paraId="5087EC9D">
            <w:pPr>
              <w:keepNext w:val="0"/>
              <w:keepLines w:val="0"/>
              <w:pageBreakBefore w:val="0"/>
              <w:widowControl/>
              <w:kinsoku/>
              <w:wordWrap/>
              <w:overflowPunct/>
              <w:topLinePunct w:val="0"/>
              <w:autoSpaceDE/>
              <w:autoSpaceDN/>
              <w:bidi w:val="0"/>
              <w:adjustRightInd/>
              <w:snapToGrid/>
              <w:spacing w:line="270" w:lineRule="exact"/>
              <w:jc w:val="left"/>
              <w:textAlignment w:val="auto"/>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21317-2007 动物源性食品中四环素类兽药残留检测方法 液相色谱—质谱/质谱法与高效液相法</w:t>
            </w:r>
          </w:p>
          <w:p w14:paraId="68F492BD">
            <w:pPr>
              <w:keepNext w:val="0"/>
              <w:keepLines w:val="0"/>
              <w:pageBreakBefore w:val="0"/>
              <w:widowControl/>
              <w:kinsoku/>
              <w:wordWrap/>
              <w:overflowPunct/>
              <w:topLinePunct w:val="0"/>
              <w:autoSpaceDE/>
              <w:autoSpaceDN/>
              <w:bidi w:val="0"/>
              <w:adjustRightInd/>
              <w:snapToGrid/>
              <w:spacing w:line="270" w:lineRule="exact"/>
              <w:jc w:val="left"/>
              <w:textAlignment w:val="auto"/>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31658.6-2021 食品安全国家标准 动物性食品中四环素类药 物残留量的测定 高效液相色谱法</w:t>
            </w:r>
          </w:p>
          <w:p w14:paraId="361AD624">
            <w:pPr>
              <w:keepNext w:val="0"/>
              <w:keepLines w:val="0"/>
              <w:pageBreakBefore w:val="0"/>
              <w:widowControl/>
              <w:kinsoku/>
              <w:wordWrap/>
              <w:overflowPunct/>
              <w:topLinePunct w:val="0"/>
              <w:autoSpaceDE/>
              <w:autoSpaceDN/>
              <w:bidi w:val="0"/>
              <w:adjustRightInd/>
              <w:snapToGrid/>
              <w:spacing w:line="270" w:lineRule="exact"/>
              <w:jc w:val="left"/>
              <w:textAlignment w:val="auto"/>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31658.17-2021 食品安全国家标准 动物性食品中四环素类</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磺胺类和喹诺酮类药物残留量的测定 液相色谱-串联质谱法</w:t>
            </w:r>
          </w:p>
          <w:p w14:paraId="161335D2">
            <w:pPr>
              <w:keepNext w:val="0"/>
              <w:keepLines w:val="0"/>
              <w:pageBreakBefore w:val="0"/>
              <w:widowControl/>
              <w:kinsoku/>
              <w:wordWrap/>
              <w:overflowPunct/>
              <w:topLinePunct w:val="0"/>
              <w:autoSpaceDE/>
              <w:autoSpaceDN/>
              <w:bidi w:val="0"/>
              <w:adjustRightInd/>
              <w:snapToGrid/>
              <w:spacing w:line="270" w:lineRule="exact"/>
              <w:jc w:val="left"/>
              <w:textAlignment w:val="auto"/>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21316-2007 动物源性食品中磺胺类药物残留量的测定</w:t>
            </w:r>
          </w:p>
          <w:p w14:paraId="447139B8">
            <w:pPr>
              <w:keepNext w:val="0"/>
              <w:keepLines w:val="0"/>
              <w:pageBreakBefore w:val="0"/>
              <w:widowControl/>
              <w:kinsoku/>
              <w:wordWrap/>
              <w:overflowPunct/>
              <w:topLinePunct w:val="0"/>
              <w:autoSpaceDE/>
              <w:autoSpaceDN/>
              <w:bidi w:val="0"/>
              <w:adjustRightInd/>
              <w:snapToGrid/>
              <w:spacing w:line="270" w:lineRule="exact"/>
              <w:jc w:val="left"/>
              <w:textAlignment w:val="auto"/>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31660.5-2019 食品安全国家标准 动物性食品中金刚烷胺残 留量的测定 液相色谱-串联质谱法</w:t>
            </w:r>
          </w:p>
          <w:p w14:paraId="6296935A">
            <w:pPr>
              <w:keepNext w:val="0"/>
              <w:keepLines w:val="0"/>
              <w:pageBreakBefore w:val="0"/>
              <w:widowControl/>
              <w:kinsoku/>
              <w:wordWrap/>
              <w:overflowPunct/>
              <w:topLinePunct w:val="0"/>
              <w:autoSpaceDE/>
              <w:autoSpaceDN/>
              <w:bidi w:val="0"/>
              <w:adjustRightInd/>
              <w:snapToGrid/>
              <w:spacing w:line="270" w:lineRule="exact"/>
              <w:jc w:val="left"/>
              <w:textAlignment w:val="auto"/>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31658.23-2022 食品安全国家标准 动物性食品中硝基咪唑类药物残留量的测定 液相色谱-串联质谱法</w:t>
            </w:r>
          </w:p>
          <w:p w14:paraId="32DD2D9A">
            <w:pPr>
              <w:keepNext w:val="0"/>
              <w:keepLines w:val="0"/>
              <w:pageBreakBefore w:val="0"/>
              <w:widowControl/>
              <w:kinsoku/>
              <w:wordWrap/>
              <w:overflowPunct/>
              <w:topLinePunct w:val="0"/>
              <w:autoSpaceDE/>
              <w:autoSpaceDN/>
              <w:bidi w:val="0"/>
              <w:adjustRightInd/>
              <w:snapToGrid/>
              <w:spacing w:line="270" w:lineRule="exact"/>
              <w:jc w:val="left"/>
              <w:textAlignment w:val="auto"/>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SN/T 2624-2010 动物源性食品中多种碱性药物残留量的检测方法 液相色谱-质谱/质谱法</w:t>
            </w:r>
          </w:p>
          <w:p w14:paraId="6908A566">
            <w:pPr>
              <w:keepNext w:val="0"/>
              <w:keepLines w:val="0"/>
              <w:pageBreakBefore w:val="0"/>
              <w:widowControl/>
              <w:kinsoku/>
              <w:wordWrap/>
              <w:overflowPunct/>
              <w:topLinePunct w:val="0"/>
              <w:autoSpaceDE/>
              <w:autoSpaceDN/>
              <w:bidi w:val="0"/>
              <w:adjustRightInd/>
              <w:snapToGrid/>
              <w:spacing w:line="270" w:lineRule="exact"/>
              <w:jc w:val="left"/>
              <w:textAlignment w:val="auto"/>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SN/T 1626-2019 出口肉及肉制品中甲硝唑</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替硝唑</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奥硝唑</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洛硝哒唑</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二甲硝咪唑</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塞克硝唑残留量测定方法 液相色谱-质谱/质谱法</w:t>
            </w:r>
          </w:p>
          <w:p w14:paraId="636E944B">
            <w:pPr>
              <w:keepNext w:val="0"/>
              <w:keepLines w:val="0"/>
              <w:pageBreakBefore w:val="0"/>
              <w:widowControl/>
              <w:kinsoku/>
              <w:wordWrap/>
              <w:overflowPunct/>
              <w:topLinePunct w:val="0"/>
              <w:autoSpaceDE/>
              <w:autoSpaceDN/>
              <w:bidi w:val="0"/>
              <w:adjustRightInd/>
              <w:snapToGrid/>
              <w:spacing w:line="270" w:lineRule="exact"/>
              <w:jc w:val="left"/>
              <w:textAlignment w:val="auto"/>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21318-2007 动物源性食品中硝基咪唑残留量检验方法</w:t>
            </w:r>
          </w:p>
        </w:tc>
        <w:tc>
          <w:tcPr>
            <w:tcW w:w="908" w:type="pct"/>
            <w:noWrap w:val="0"/>
            <w:vAlign w:val="center"/>
          </w:tcPr>
          <w:p w14:paraId="0C5F368B">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农业农村部第250号公告及检测方法的定量限</w:t>
            </w:r>
          </w:p>
          <w:p w14:paraId="7E2393A7">
            <w:pPr>
              <w:widowControl/>
              <w:spacing w:line="240" w:lineRule="exact"/>
              <w:rPr>
                <w:rFonts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31650-2019食品安全国家标准 食品中兽药最大残留限量</w:t>
            </w:r>
          </w:p>
          <w:p w14:paraId="402F124F">
            <w:pPr>
              <w:widowControl/>
              <w:spacing w:line="240" w:lineRule="exac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GB31650.1-2022食品安全国家标准 食品中41种兽药最大残留限量</w:t>
            </w:r>
          </w:p>
        </w:tc>
      </w:tr>
      <w:tr w14:paraId="397DD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397" w:type="pct"/>
            <w:noWrap w:val="0"/>
            <w:vAlign w:val="center"/>
          </w:tcPr>
          <w:p w14:paraId="15770C4A">
            <w:pPr>
              <w:widowControl/>
              <w:spacing w:line="240" w:lineRule="exact"/>
              <w:jc w:val="center"/>
              <w:rPr>
                <w:rFonts w:hint="eastAsia" w:ascii="仿宋_GB2312" w:hAnsi="仿宋_GB2312" w:eastAsia="仿宋_GB2312" w:cs="仿宋_GB2312"/>
                <w:b/>
                <w:bCs/>
                <w:kern w:val="0"/>
                <w:szCs w:val="21"/>
                <w:lang w:bidi="ar"/>
              </w:rPr>
            </w:pPr>
            <w:r>
              <w:rPr>
                <w:rFonts w:hint="eastAsia" w:ascii="仿宋_GB2312" w:hAnsi="仿宋_GB2312" w:eastAsia="仿宋_GB2312" w:cs="仿宋_GB2312"/>
                <w:b/>
                <w:bCs/>
                <w:kern w:val="0"/>
                <w:szCs w:val="21"/>
                <w:lang w:bidi="ar"/>
              </w:rPr>
              <w:t>检测</w:t>
            </w:r>
          </w:p>
          <w:p w14:paraId="4C22D2D9">
            <w:pPr>
              <w:widowControl/>
              <w:spacing w:line="240" w:lineRule="exact"/>
              <w:jc w:val="center"/>
              <w:rPr>
                <w:rFonts w:hint="eastAsia" w:ascii="仿宋_GB2312" w:hAnsi="仿宋_GB2312" w:cs="仿宋_GB2312"/>
                <w:kern w:val="2"/>
                <w:sz w:val="21"/>
                <w:szCs w:val="21"/>
                <w:lang w:val="en-US" w:eastAsia="zh-CN" w:bidi="ar-SA"/>
              </w:rPr>
            </w:pPr>
            <w:r>
              <w:rPr>
                <w:rFonts w:hint="eastAsia" w:ascii="仿宋_GB2312" w:hAnsi="仿宋_GB2312" w:eastAsia="仿宋_GB2312" w:cs="仿宋_GB2312"/>
                <w:b/>
                <w:bCs/>
                <w:kern w:val="0"/>
                <w:szCs w:val="21"/>
                <w:lang w:bidi="ar"/>
              </w:rPr>
              <w:t>品种</w:t>
            </w:r>
          </w:p>
        </w:tc>
        <w:tc>
          <w:tcPr>
            <w:tcW w:w="1619" w:type="pct"/>
            <w:noWrap w:val="0"/>
            <w:vAlign w:val="center"/>
          </w:tcPr>
          <w:p w14:paraId="25ED00B2">
            <w:pPr>
              <w:widowControl/>
              <w:spacing w:line="240" w:lineRule="exact"/>
              <w:jc w:val="center"/>
              <w:rPr>
                <w:rFonts w:hint="eastAsia" w:ascii="仿宋_GB2312" w:hAnsi="仿宋_GB2312" w:eastAsia="仿宋_GB2312" w:cs="仿宋_GB2312"/>
                <w:kern w:val="0"/>
                <w:sz w:val="21"/>
                <w:szCs w:val="21"/>
                <w:lang w:val="en-US" w:eastAsia="zh-CN" w:bidi="ar"/>
              </w:rPr>
            </w:pPr>
            <w:r>
              <w:rPr>
                <w:rFonts w:hint="eastAsia" w:ascii="仿宋_GB2312" w:hAnsi="仿宋_GB2312" w:eastAsia="仿宋_GB2312" w:cs="仿宋_GB2312"/>
                <w:b/>
                <w:bCs/>
                <w:kern w:val="0"/>
                <w:szCs w:val="21"/>
                <w:lang w:bidi="ar"/>
              </w:rPr>
              <w:t>检测项目</w:t>
            </w:r>
          </w:p>
        </w:tc>
        <w:tc>
          <w:tcPr>
            <w:tcW w:w="2074" w:type="pct"/>
            <w:noWrap w:val="0"/>
            <w:vAlign w:val="center"/>
          </w:tcPr>
          <w:p w14:paraId="5AD40112">
            <w:pPr>
              <w:widowControl/>
              <w:spacing w:line="240" w:lineRule="exact"/>
              <w:jc w:val="center"/>
              <w:rPr>
                <w:rFonts w:hint="eastAsia" w:ascii="仿宋_GB2312" w:hAnsi="仿宋_GB2312" w:eastAsia="仿宋_GB2312" w:cs="仿宋_GB2312"/>
                <w:kern w:val="0"/>
                <w:sz w:val="21"/>
                <w:szCs w:val="21"/>
                <w:lang w:val="en-US" w:eastAsia="zh-CN" w:bidi="ar"/>
              </w:rPr>
            </w:pPr>
            <w:r>
              <w:rPr>
                <w:rFonts w:hint="eastAsia" w:ascii="仿宋_GB2312" w:hAnsi="仿宋_GB2312" w:eastAsia="仿宋_GB2312" w:cs="仿宋_GB2312"/>
                <w:b/>
                <w:bCs/>
                <w:kern w:val="0"/>
                <w:szCs w:val="21"/>
                <w:lang w:bidi="ar"/>
              </w:rPr>
              <w:t>检测依据</w:t>
            </w:r>
          </w:p>
        </w:tc>
        <w:tc>
          <w:tcPr>
            <w:tcW w:w="908" w:type="pct"/>
            <w:noWrap w:val="0"/>
            <w:vAlign w:val="center"/>
          </w:tcPr>
          <w:p w14:paraId="6A8B4607">
            <w:pPr>
              <w:widowControl/>
              <w:spacing w:line="240" w:lineRule="exact"/>
              <w:jc w:val="center"/>
              <w:rPr>
                <w:rFonts w:hint="eastAsia" w:ascii="仿宋_GB2312" w:hAnsi="仿宋_GB2312" w:eastAsia="仿宋_GB2312" w:cs="仿宋_GB2312"/>
                <w:kern w:val="0"/>
                <w:sz w:val="21"/>
                <w:szCs w:val="21"/>
                <w:lang w:val="en-US" w:eastAsia="zh-CN" w:bidi="ar"/>
              </w:rPr>
            </w:pPr>
            <w:r>
              <w:rPr>
                <w:rFonts w:hint="eastAsia" w:ascii="仿宋_GB2312" w:hAnsi="仿宋_GB2312" w:eastAsia="仿宋_GB2312" w:cs="仿宋_GB2312"/>
                <w:b/>
                <w:bCs/>
                <w:kern w:val="0"/>
                <w:szCs w:val="21"/>
                <w:lang w:bidi="ar"/>
              </w:rPr>
              <w:t>判定依据</w:t>
            </w:r>
          </w:p>
        </w:tc>
      </w:tr>
      <w:tr w14:paraId="2D81A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97" w:type="pct"/>
            <w:vMerge w:val="restart"/>
            <w:noWrap w:val="0"/>
            <w:vAlign w:val="center"/>
          </w:tcPr>
          <w:p w14:paraId="64D6FE19">
            <w:pPr>
              <w:widowControl/>
              <w:spacing w:line="240" w:lineRule="exact"/>
              <w:jc w:val="left"/>
              <w:rPr>
                <w:rFonts w:hint="eastAsia" w:ascii="仿宋_GB2312" w:hAnsi="仿宋_GB2312" w:eastAsia="仿宋_GB2312" w:cs="仿宋_GB2312"/>
                <w:kern w:val="0"/>
                <w:szCs w:val="21"/>
                <w:lang w:bidi="ar"/>
              </w:rPr>
            </w:pPr>
          </w:p>
          <w:p w14:paraId="4666985A">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淡水产品</w:t>
            </w:r>
          </w:p>
          <w:p w14:paraId="30B76EB8">
            <w:pPr>
              <w:widowControl/>
              <w:spacing w:line="240" w:lineRule="exact"/>
              <w:jc w:val="left"/>
              <w:rPr>
                <w:rFonts w:hint="eastAsia" w:ascii="仿宋_GB2312" w:hAnsi="仿宋_GB2312" w:eastAsia="仿宋_GB2312" w:cs="仿宋_GB2312"/>
                <w:kern w:val="0"/>
                <w:szCs w:val="21"/>
                <w:lang w:bidi="ar"/>
              </w:rPr>
            </w:pPr>
          </w:p>
          <w:p w14:paraId="7809B13F">
            <w:pPr>
              <w:widowControl/>
              <w:spacing w:line="240" w:lineRule="exact"/>
              <w:jc w:val="left"/>
              <w:rPr>
                <w:rFonts w:hint="eastAsia" w:ascii="仿宋_GB2312" w:hAnsi="仿宋_GB2312" w:eastAsia="仿宋_GB2312" w:cs="仿宋_GB2312"/>
                <w:kern w:val="0"/>
                <w:sz w:val="21"/>
                <w:szCs w:val="21"/>
                <w:lang w:val="en-US" w:eastAsia="zh-CN" w:bidi="ar"/>
              </w:rPr>
            </w:pPr>
          </w:p>
        </w:tc>
        <w:tc>
          <w:tcPr>
            <w:tcW w:w="1619" w:type="pct"/>
            <w:noWrap w:val="0"/>
            <w:vAlign w:val="center"/>
          </w:tcPr>
          <w:p w14:paraId="130DF5C7">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禁用药物：氯霉素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硝基呋喃类代谢物（包括呋喃唑酮代谢物 AOZ</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呋喃它酮代谢物 AMOZ</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呋喃西林代谢物 SEM和呋喃妥因代谢物 AHD）</w:t>
            </w:r>
          </w:p>
          <w:p w14:paraId="356B00B3">
            <w:pPr>
              <w:widowControl/>
              <w:spacing w:line="240" w:lineRule="exact"/>
              <w:jc w:val="left"/>
              <w:rPr>
                <w:rFonts w:hint="eastAsia" w:ascii="仿宋_GB2312" w:hAnsi="仿宋_GB2312" w:eastAsia="仿宋_GB2312" w:cs="仿宋_GB2312"/>
                <w:kern w:val="0"/>
                <w:szCs w:val="21"/>
                <w:lang w:bidi="ar"/>
              </w:rPr>
            </w:pPr>
          </w:p>
          <w:p w14:paraId="7E40FE6F">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常规药物：酰胺醇类（甲砜霉素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氟苯尼考和氟苯尼考胺）</w:t>
            </w:r>
          </w:p>
        </w:tc>
        <w:tc>
          <w:tcPr>
            <w:tcW w:w="2074" w:type="pct"/>
            <w:noWrap w:val="0"/>
            <w:vAlign w:val="center"/>
          </w:tcPr>
          <w:p w14:paraId="474C8DDF">
            <w:pPr>
              <w:widowControl/>
              <w:spacing w:line="240" w:lineRule="exact"/>
              <w:jc w:val="left"/>
              <w:rPr>
                <w:rFonts w:hint="eastAsia" w:ascii="仿宋_GB2312" w:hAnsi="仿宋_GB2312" w:eastAsia="仿宋_GB2312" w:cs="仿宋_GB2312"/>
                <w:kern w:val="0"/>
                <w:szCs w:val="21"/>
                <w:lang w:bidi="ar"/>
              </w:rPr>
            </w:pPr>
          </w:p>
          <w:p w14:paraId="4DC0813C">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20756-2006《可食动物肌肉</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肝脏和水产品中氯霉素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甲砜霉素和氟苯尼考残留量的测定 液相色谱-串联质谱法》</w:t>
            </w:r>
          </w:p>
          <w:p w14:paraId="2B17907A">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SN/T 1865-2016出口动物源食品中甲砜霉素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氟甲砜霉素和氟苯尼考胺残留量的测定 液相色谱-质谱/质谱法(只适用于鱼和虾)</w:t>
            </w:r>
          </w:p>
          <w:p w14:paraId="1F379D74">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31656.16-2022 食品安全国家标准 水产品中氯霉素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甲砜霉素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氟苯尼考和氟苯尼考胺残留量的测定 气相色谱法</w:t>
            </w:r>
          </w:p>
          <w:p w14:paraId="513A0C7A">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水产品中硝基呋喃类代谢物残留量的测定 液相色谱-串联质谱法 (农业部783号公告-1-2006)</w:t>
            </w:r>
          </w:p>
          <w:p w14:paraId="2F8553DD">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31656.13-2021食品安全国家标准水产品中硝基呋喃类代谢物多残留的测定 液相色谱-串联质谱法</w:t>
            </w:r>
          </w:p>
          <w:p w14:paraId="00FE4E82">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w:t>
            </w:r>
            <w:r>
              <w:rPr>
                <w:rFonts w:hint="eastAsia" w:ascii="仿宋_GB2312" w:hAnsi="仿宋_GB2312" w:eastAsia="仿宋_GB2312" w:cs="仿宋_GB2312"/>
                <w:kern w:val="0"/>
                <w:szCs w:val="21"/>
                <w:lang w:val="en" w:bidi="ar"/>
              </w:rPr>
              <w:t xml:space="preserve"> </w:t>
            </w:r>
            <w:r>
              <w:rPr>
                <w:rFonts w:hint="eastAsia" w:ascii="仿宋_GB2312" w:hAnsi="仿宋_GB2312" w:eastAsia="仿宋_GB2312" w:cs="仿宋_GB2312"/>
                <w:kern w:val="0"/>
                <w:szCs w:val="21"/>
                <w:lang w:bidi="ar"/>
              </w:rPr>
              <w:t>21311-2007 动物源性食品中硝基呋喃类药物代谢物残留量检测方法 高效液相色谱/串联质谱法</w:t>
            </w:r>
          </w:p>
          <w:p w14:paraId="00D007C8">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22338-2008 动物源性食品中氯霉素类药物残留量测定</w:t>
            </w:r>
          </w:p>
        </w:tc>
        <w:tc>
          <w:tcPr>
            <w:tcW w:w="908" w:type="pct"/>
            <w:noWrap w:val="0"/>
            <w:vAlign w:val="center"/>
          </w:tcPr>
          <w:p w14:paraId="119F588F">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31650-2019 食品安全国家标准  食品中兽药最大残留限量</w:t>
            </w:r>
          </w:p>
          <w:p w14:paraId="0A38ACEE">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农业农村部公告第250号及检测方法的定量限</w:t>
            </w:r>
          </w:p>
          <w:p w14:paraId="1FC6368F">
            <w:pPr>
              <w:widowControl/>
              <w:spacing w:line="240" w:lineRule="exact"/>
              <w:jc w:val="left"/>
              <w:rPr>
                <w:rFonts w:hint="eastAsia" w:ascii="仿宋_GB2312" w:hAnsi="仿宋_GB2312" w:eastAsia="仿宋_GB2312" w:cs="仿宋_GB2312"/>
                <w:kern w:val="0"/>
                <w:szCs w:val="21"/>
                <w:lang w:bidi="ar"/>
              </w:rPr>
            </w:pPr>
          </w:p>
        </w:tc>
      </w:tr>
      <w:tr w14:paraId="26A9B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97" w:type="pct"/>
            <w:vMerge w:val="continue"/>
            <w:noWrap w:val="0"/>
            <w:vAlign w:val="center"/>
          </w:tcPr>
          <w:p w14:paraId="148FD4C1">
            <w:pPr>
              <w:widowControl/>
              <w:spacing w:line="240" w:lineRule="exact"/>
              <w:jc w:val="left"/>
              <w:rPr>
                <w:rFonts w:hint="eastAsia" w:ascii="仿宋_GB2312" w:hAnsi="仿宋_GB2312" w:eastAsia="仿宋_GB2312" w:cs="仿宋_GB2312"/>
                <w:kern w:val="0"/>
                <w:szCs w:val="21"/>
                <w:lang w:bidi="ar"/>
              </w:rPr>
            </w:pPr>
          </w:p>
        </w:tc>
        <w:tc>
          <w:tcPr>
            <w:tcW w:w="1619" w:type="pct"/>
            <w:noWrap w:val="0"/>
            <w:vAlign w:val="center"/>
          </w:tcPr>
          <w:p w14:paraId="4155F39F">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禁用药物：孔雀石绿（包括有色孔雀石绿和无色孔雀石绿）</w:t>
            </w:r>
          </w:p>
        </w:tc>
        <w:tc>
          <w:tcPr>
            <w:tcW w:w="2074" w:type="pct"/>
            <w:noWrap w:val="0"/>
            <w:vAlign w:val="center"/>
          </w:tcPr>
          <w:p w14:paraId="296FC0B7">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按GB/T 20361-2006《水产品中孔雀石绿和结晶紫残留量的测定-高效液相色谱荧光检测法》检测</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阳性样品按GB/T 19857—2005《水产品中孔雀石绿和结晶紫残留量的测定》液质法确证；或直接按GB/T 19857-2005《水产品中孔雀石绿和结晶紫残留量的测定》液质法检测</w:t>
            </w:r>
          </w:p>
        </w:tc>
        <w:tc>
          <w:tcPr>
            <w:tcW w:w="908" w:type="pct"/>
            <w:noWrap w:val="0"/>
            <w:vAlign w:val="center"/>
          </w:tcPr>
          <w:p w14:paraId="4D2E7EAB">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农业农村部公告第250号及检测方法的定量限</w:t>
            </w:r>
          </w:p>
          <w:p w14:paraId="3CE7B86B">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有色孔雀石绿和无色孔雀石绿的总量≤1.0μg/kg</w:t>
            </w:r>
          </w:p>
        </w:tc>
      </w:tr>
      <w:tr w14:paraId="48551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2" w:hRule="atLeast"/>
          <w:jc w:val="center"/>
        </w:trPr>
        <w:tc>
          <w:tcPr>
            <w:tcW w:w="397" w:type="pct"/>
            <w:vMerge w:val="continue"/>
            <w:noWrap w:val="0"/>
            <w:vAlign w:val="center"/>
          </w:tcPr>
          <w:p w14:paraId="1A764CA9">
            <w:pPr>
              <w:widowControl/>
              <w:spacing w:line="240" w:lineRule="exact"/>
              <w:jc w:val="left"/>
              <w:rPr>
                <w:rFonts w:hint="eastAsia" w:ascii="仿宋_GB2312" w:hAnsi="仿宋_GB2312" w:eastAsia="仿宋_GB2312" w:cs="仿宋_GB2312"/>
                <w:kern w:val="0"/>
                <w:sz w:val="21"/>
                <w:szCs w:val="21"/>
                <w:lang w:val="en-US" w:eastAsia="zh-CN" w:bidi="ar"/>
              </w:rPr>
            </w:pPr>
          </w:p>
        </w:tc>
        <w:tc>
          <w:tcPr>
            <w:tcW w:w="1619" w:type="pct"/>
            <w:noWrap w:val="0"/>
            <w:vAlign w:val="center"/>
          </w:tcPr>
          <w:p w14:paraId="7DC31730">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常规药物：氟喹诺酮类（包括恩诺沙星</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环丙沙星）；磺胺类（包括磺胺噻唑</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磺胺嘧啶</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磺胺甲基嘧啶</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磺胺二甲基嘧啶</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磺胺甲基异</w:t>
            </w:r>
            <w:r>
              <w:rPr>
                <w:rFonts w:hint="eastAsia" w:ascii="微软雅黑" w:hAnsi="微软雅黑" w:eastAsia="微软雅黑" w:cs="微软雅黑"/>
                <w:kern w:val="0"/>
                <w:szCs w:val="21"/>
                <w:lang w:bidi="ar"/>
              </w:rPr>
              <w:t>噁</w:t>
            </w:r>
            <w:r>
              <w:rPr>
                <w:rFonts w:hint="eastAsia" w:ascii="仿宋_GB2312" w:hAnsi="仿宋_GB2312" w:eastAsia="仿宋_GB2312" w:cs="仿宋_GB2312"/>
                <w:kern w:val="0"/>
                <w:szCs w:val="21"/>
                <w:lang w:bidi="ar"/>
              </w:rPr>
              <w:t>唑</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磺胺多辛</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磺胺异</w:t>
            </w:r>
            <w:r>
              <w:rPr>
                <w:rFonts w:hint="eastAsia" w:ascii="微软雅黑" w:hAnsi="微软雅黑" w:eastAsia="微软雅黑" w:cs="微软雅黑"/>
                <w:kern w:val="0"/>
                <w:szCs w:val="21"/>
                <w:lang w:bidi="ar"/>
              </w:rPr>
              <w:t>噁</w:t>
            </w:r>
            <w:r>
              <w:rPr>
                <w:rFonts w:hint="eastAsia" w:ascii="仿宋_GB2312" w:hAnsi="仿宋_GB2312" w:eastAsia="仿宋_GB2312" w:cs="仿宋_GB2312"/>
                <w:kern w:val="0"/>
                <w:szCs w:val="21"/>
                <w:lang w:bidi="ar"/>
              </w:rPr>
              <w:t>唑</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磺胺喹</w:t>
            </w:r>
            <w:r>
              <w:rPr>
                <w:rFonts w:hint="eastAsia" w:ascii="微软雅黑" w:hAnsi="微软雅黑" w:eastAsia="微软雅黑" w:cs="微软雅黑"/>
                <w:kern w:val="0"/>
                <w:szCs w:val="21"/>
                <w:lang w:bidi="ar"/>
              </w:rPr>
              <w:t>噁</w:t>
            </w:r>
            <w:r>
              <w:rPr>
                <w:rFonts w:hint="eastAsia" w:ascii="仿宋_GB2312" w:hAnsi="仿宋_GB2312" w:eastAsia="仿宋_GB2312" w:cs="仿宋_GB2312"/>
                <w:kern w:val="0"/>
                <w:szCs w:val="21"/>
                <w:lang w:bidi="ar"/>
              </w:rPr>
              <w:t>啉</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磺胺间甲氧嘧啶</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磺胺间二甲氧嘧啶</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磺胺氯哒嗪和磺胺甲噻二唑等12种）；四环素类（金霉素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土霉素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四环素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多西环素）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抗菌增效剂（甲氧苄啶）</w:t>
            </w:r>
          </w:p>
          <w:p w14:paraId="2B550209">
            <w:pPr>
              <w:widowControl/>
              <w:spacing w:line="240" w:lineRule="exact"/>
              <w:jc w:val="left"/>
              <w:rPr>
                <w:rFonts w:hint="eastAsia" w:ascii="仿宋_GB2312" w:hAnsi="仿宋_GB2312" w:eastAsia="仿宋_GB2312" w:cs="仿宋_GB2312"/>
                <w:kern w:val="0"/>
                <w:szCs w:val="21"/>
                <w:lang w:bidi="ar"/>
              </w:rPr>
            </w:pPr>
          </w:p>
          <w:p w14:paraId="51D3206D">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停用药物：氟喹诺酮类（诺氟沙星</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氧氟沙星</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培氟沙星和洛美沙星）</w:t>
            </w:r>
          </w:p>
        </w:tc>
        <w:tc>
          <w:tcPr>
            <w:tcW w:w="2074" w:type="pct"/>
            <w:noWrap w:val="0"/>
            <w:vAlign w:val="center"/>
          </w:tcPr>
          <w:p w14:paraId="3CA46ED9">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水产品中17种磺胺类及15种喹诺酮类药物残留量的测定 液相色 谱-串联质谱法(农业部 1077 号公告-1-2008)</w:t>
            </w:r>
          </w:p>
          <w:p w14:paraId="1181D436">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31656.11-2021 食品安全国家标准 水产品中土霉素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四环素</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 xml:space="preserve"> 金霉素和多西环素残留量的测定</w:t>
            </w:r>
          </w:p>
          <w:p w14:paraId="5BC12077">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20366-2006 动物源产品中喹诺酮类残留量的测定 液相色 谱-串联质谱法</w:t>
            </w:r>
          </w:p>
          <w:p w14:paraId="0DA6BFCA">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21317-2007 动物源性食品中四环素类兽药残留检测方法 液相色谱-质谱/质谱法与高效液相法</w:t>
            </w:r>
          </w:p>
          <w:p w14:paraId="18C72905">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21316-2007 动物源性食品中磺胺类药物残留量的测定</w:t>
            </w:r>
          </w:p>
          <w:p w14:paraId="593B7541">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SN/T 2624-2010 动物源性食品中多种碱性药物残留量的检测方法 液相色谱-质谱/质谱法</w:t>
            </w:r>
          </w:p>
          <w:p w14:paraId="278E5ABE">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31656.24-2025 食品安全国家标准 水产品中喹诺酮类药物残留量的测定 液相色谱-串联质谱法</w:t>
            </w:r>
          </w:p>
        </w:tc>
        <w:tc>
          <w:tcPr>
            <w:tcW w:w="908" w:type="pct"/>
            <w:noWrap w:val="0"/>
            <w:vAlign w:val="center"/>
          </w:tcPr>
          <w:p w14:paraId="24CAC281">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31650-2019 《食品安全国家标准  食品中兽药最大残留限量》</w:t>
            </w:r>
          </w:p>
          <w:p w14:paraId="09FA5D52">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农业部公告第2292号及检测方法的定量限</w:t>
            </w:r>
          </w:p>
          <w:p w14:paraId="51B1FA16">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31650.1-2022  食品安全国家标准 食品中41种兽药最大残留限量</w:t>
            </w:r>
          </w:p>
        </w:tc>
      </w:tr>
      <w:tr w14:paraId="1CB4C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97" w:type="pct"/>
            <w:noWrap w:val="0"/>
            <w:vAlign w:val="center"/>
          </w:tcPr>
          <w:p w14:paraId="5CBE8963">
            <w:pPr>
              <w:widowControl/>
              <w:spacing w:line="240" w:lineRule="exact"/>
              <w:jc w:val="center"/>
              <w:rPr>
                <w:rFonts w:hint="eastAsia" w:ascii="仿宋_GB2312" w:hAnsi="仿宋_GB2312" w:eastAsia="仿宋_GB2312" w:cs="仿宋_GB2312"/>
                <w:b/>
                <w:bCs/>
                <w:kern w:val="0"/>
                <w:szCs w:val="21"/>
                <w:lang w:bidi="ar"/>
              </w:rPr>
            </w:pPr>
            <w:r>
              <w:rPr>
                <w:rFonts w:hint="eastAsia" w:ascii="仿宋_GB2312" w:hAnsi="仿宋_GB2312" w:eastAsia="仿宋_GB2312" w:cs="仿宋_GB2312"/>
                <w:b/>
                <w:bCs/>
                <w:kern w:val="0"/>
                <w:szCs w:val="21"/>
                <w:lang w:bidi="ar"/>
              </w:rPr>
              <w:t>检测</w:t>
            </w:r>
          </w:p>
          <w:p w14:paraId="7AF30210">
            <w:pPr>
              <w:widowControl/>
              <w:spacing w:line="240" w:lineRule="exact"/>
              <w:jc w:val="center"/>
              <w:rPr>
                <w:rFonts w:hint="eastAsia" w:ascii="仿宋_GB2312" w:hAnsi="仿宋_GB2312" w:cs="仿宋_GB2312"/>
                <w:kern w:val="2"/>
                <w:sz w:val="21"/>
                <w:szCs w:val="21"/>
                <w:lang w:val="en-US" w:eastAsia="zh-CN" w:bidi="ar-SA"/>
              </w:rPr>
            </w:pPr>
            <w:r>
              <w:rPr>
                <w:rFonts w:hint="eastAsia" w:ascii="仿宋_GB2312" w:hAnsi="仿宋_GB2312" w:eastAsia="仿宋_GB2312" w:cs="仿宋_GB2312"/>
                <w:b/>
                <w:bCs/>
                <w:kern w:val="0"/>
                <w:szCs w:val="21"/>
                <w:lang w:bidi="ar"/>
              </w:rPr>
              <w:t>品种</w:t>
            </w:r>
          </w:p>
        </w:tc>
        <w:tc>
          <w:tcPr>
            <w:tcW w:w="1619" w:type="pct"/>
            <w:noWrap w:val="0"/>
            <w:vAlign w:val="center"/>
          </w:tcPr>
          <w:p w14:paraId="05740DD9">
            <w:pPr>
              <w:widowControl/>
              <w:spacing w:line="240" w:lineRule="exact"/>
              <w:jc w:val="center"/>
              <w:rPr>
                <w:rFonts w:hint="eastAsia" w:ascii="仿宋_GB2312" w:hAnsi="仿宋_GB2312" w:eastAsia="仿宋_GB2312" w:cs="仿宋_GB2312"/>
                <w:kern w:val="0"/>
                <w:sz w:val="21"/>
                <w:szCs w:val="21"/>
                <w:lang w:val="en-US" w:eastAsia="zh-CN" w:bidi="ar"/>
              </w:rPr>
            </w:pPr>
            <w:r>
              <w:rPr>
                <w:rFonts w:hint="eastAsia" w:ascii="仿宋_GB2312" w:hAnsi="仿宋_GB2312" w:eastAsia="仿宋_GB2312" w:cs="仿宋_GB2312"/>
                <w:b/>
                <w:bCs/>
                <w:kern w:val="0"/>
                <w:szCs w:val="21"/>
                <w:lang w:bidi="ar"/>
              </w:rPr>
              <w:t>检测项目</w:t>
            </w:r>
          </w:p>
        </w:tc>
        <w:tc>
          <w:tcPr>
            <w:tcW w:w="2074" w:type="pct"/>
            <w:noWrap w:val="0"/>
            <w:vAlign w:val="center"/>
          </w:tcPr>
          <w:p w14:paraId="683492EF">
            <w:pPr>
              <w:widowControl/>
              <w:spacing w:line="240" w:lineRule="exact"/>
              <w:jc w:val="center"/>
              <w:rPr>
                <w:rFonts w:hint="eastAsia" w:ascii="仿宋_GB2312" w:hAnsi="仿宋_GB2312" w:eastAsia="仿宋_GB2312" w:cs="仿宋_GB2312"/>
                <w:kern w:val="0"/>
                <w:sz w:val="21"/>
                <w:szCs w:val="21"/>
                <w:lang w:val="en-US" w:eastAsia="zh-CN" w:bidi="ar"/>
              </w:rPr>
            </w:pPr>
            <w:r>
              <w:rPr>
                <w:rFonts w:hint="eastAsia" w:ascii="仿宋_GB2312" w:hAnsi="仿宋_GB2312" w:eastAsia="仿宋_GB2312" w:cs="仿宋_GB2312"/>
                <w:b/>
                <w:bCs/>
                <w:kern w:val="0"/>
                <w:szCs w:val="21"/>
                <w:lang w:bidi="ar"/>
              </w:rPr>
              <w:t>检测依据</w:t>
            </w:r>
          </w:p>
        </w:tc>
        <w:tc>
          <w:tcPr>
            <w:tcW w:w="908" w:type="pct"/>
            <w:noWrap w:val="0"/>
            <w:vAlign w:val="center"/>
          </w:tcPr>
          <w:p w14:paraId="3997E9EB">
            <w:pPr>
              <w:widowControl/>
              <w:spacing w:line="240" w:lineRule="exact"/>
              <w:jc w:val="center"/>
              <w:rPr>
                <w:rFonts w:hint="eastAsia" w:ascii="仿宋_GB2312" w:hAnsi="仿宋_GB2312" w:eastAsia="仿宋_GB2312" w:cs="仿宋_GB2312"/>
                <w:kern w:val="0"/>
                <w:sz w:val="21"/>
                <w:szCs w:val="21"/>
                <w:lang w:val="en-US" w:eastAsia="zh-CN" w:bidi="ar"/>
              </w:rPr>
            </w:pPr>
            <w:r>
              <w:rPr>
                <w:rFonts w:hint="eastAsia" w:ascii="仿宋_GB2312" w:hAnsi="仿宋_GB2312" w:eastAsia="仿宋_GB2312" w:cs="仿宋_GB2312"/>
                <w:b/>
                <w:bCs/>
                <w:kern w:val="0"/>
                <w:szCs w:val="21"/>
                <w:lang w:bidi="ar"/>
              </w:rPr>
              <w:t>判定依据</w:t>
            </w:r>
          </w:p>
        </w:tc>
      </w:tr>
      <w:tr w14:paraId="4D58A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7" w:hRule="atLeast"/>
          <w:jc w:val="center"/>
        </w:trPr>
        <w:tc>
          <w:tcPr>
            <w:tcW w:w="397" w:type="pct"/>
            <w:noWrap w:val="0"/>
            <w:vAlign w:val="center"/>
          </w:tcPr>
          <w:p w14:paraId="23F8FBDB">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稻谷</w:t>
            </w:r>
          </w:p>
        </w:tc>
        <w:tc>
          <w:tcPr>
            <w:tcW w:w="1619" w:type="pct"/>
            <w:noWrap w:val="0"/>
            <w:vAlign w:val="center"/>
          </w:tcPr>
          <w:p w14:paraId="68372F81">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黄曲霉毒素B1</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水胺硫磷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氟虫腈</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三唑磷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丁草胺</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苯醚甲环唑</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毒死蜱</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噻虫嗪</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甲胺磷</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敌敌畏</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克百威（含三羟基克百威）</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氧乐果</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吡虫啉</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镉</w:t>
            </w:r>
            <w:r>
              <w:rPr>
                <w:rFonts w:hint="eastAsia" w:ascii="仿宋_GB2312" w:hAnsi="仿宋_GB2312" w:eastAsia="仿宋_GB2312" w:cs="仿宋_GB2312"/>
                <w:kern w:val="0"/>
                <w:szCs w:val="21"/>
                <w:lang w:eastAsia="zh-CN" w:bidi="ar"/>
              </w:rPr>
              <w:t>、</w:t>
            </w:r>
            <w:r>
              <w:rPr>
                <w:rFonts w:hint="eastAsia" w:ascii="仿宋_GB2312" w:hAnsi="仿宋_GB2312" w:eastAsia="仿宋_GB2312" w:cs="仿宋_GB2312"/>
                <w:kern w:val="0"/>
                <w:szCs w:val="21"/>
                <w:lang w:bidi="ar"/>
              </w:rPr>
              <w:t>铅</w:t>
            </w:r>
          </w:p>
        </w:tc>
        <w:tc>
          <w:tcPr>
            <w:tcW w:w="2074" w:type="pct"/>
            <w:noWrap w:val="0"/>
            <w:vAlign w:val="center"/>
          </w:tcPr>
          <w:p w14:paraId="322B05D2">
            <w:pPr>
              <w:widowControl/>
              <w:spacing w:line="25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5009.22-2016 食品安全国家标准 食品中黄曲霉毒素B族和G族的测定</w:t>
            </w:r>
          </w:p>
          <w:p w14:paraId="338D64D5">
            <w:pPr>
              <w:widowControl/>
              <w:spacing w:line="25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23200.9-2016 食品安全国家标准 粮谷中475种农药及相关化学品残留量的测定 气相色谱-质谱法</w:t>
            </w:r>
          </w:p>
          <w:p w14:paraId="235345CF">
            <w:pPr>
              <w:widowControl/>
              <w:spacing w:line="25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GB/T 20770-2008 粮谷中486种农药及相关化学品残留量的测定 液相色谱-串联质谱法</w:t>
            </w:r>
          </w:p>
          <w:p w14:paraId="69F12EC1">
            <w:pPr>
              <w:widowControl/>
              <w:spacing w:line="25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23200.121-</w:t>
            </w:r>
            <w:r>
              <w:rPr>
                <w:rFonts w:hint="eastAsia" w:ascii="仿宋_GB2312" w:hAnsi="仿宋_GB2312" w:eastAsia="仿宋_GB2312" w:cs="仿宋_GB2312"/>
                <w:kern w:val="0"/>
                <w:szCs w:val="21"/>
                <w:lang w:val="en-US" w:eastAsia="zh-CN" w:bidi="ar"/>
              </w:rPr>
              <w:t>2026</w:t>
            </w:r>
            <w:r>
              <w:rPr>
                <w:rFonts w:hint="eastAsia" w:ascii="仿宋_GB2312" w:hAnsi="仿宋_GB2312" w:eastAsia="仿宋_GB2312" w:cs="仿宋_GB2312"/>
                <w:kern w:val="0"/>
                <w:szCs w:val="21"/>
                <w:lang w:bidi="ar"/>
              </w:rPr>
              <w:t xml:space="preserve"> 食品安全国家标准 植物源性食品中3</w:t>
            </w:r>
            <w:r>
              <w:rPr>
                <w:rFonts w:hint="eastAsia" w:ascii="仿宋_GB2312" w:hAnsi="仿宋_GB2312" w:eastAsia="仿宋_GB2312" w:cs="仿宋_GB2312"/>
                <w:kern w:val="0"/>
                <w:szCs w:val="21"/>
                <w:lang w:val="en-US" w:eastAsia="zh-CN" w:bidi="ar"/>
              </w:rPr>
              <w:t>52</w:t>
            </w:r>
            <w:r>
              <w:rPr>
                <w:rFonts w:hint="eastAsia" w:ascii="仿宋_GB2312" w:hAnsi="仿宋_GB2312" w:eastAsia="仿宋_GB2312" w:cs="仿宋_GB2312"/>
                <w:kern w:val="0"/>
                <w:szCs w:val="21"/>
                <w:lang w:bidi="ar"/>
              </w:rPr>
              <w:t>种农药及其代谢物残留量的测定 液相色谱</w:t>
            </w:r>
            <w:r>
              <w:rPr>
                <w:rFonts w:hint="eastAsia" w:ascii="仿宋_GB2312" w:hAnsi="仿宋_GB2312" w:eastAsia="仿宋_GB2312" w:cs="仿宋_GB2312"/>
                <w:kern w:val="0"/>
                <w:szCs w:val="21"/>
                <w:lang w:val="en-US" w:eastAsia="zh-CN" w:bidi="ar"/>
              </w:rPr>
              <w:t>-</w:t>
            </w:r>
            <w:r>
              <w:rPr>
                <w:rFonts w:hint="eastAsia" w:ascii="仿宋_GB2312" w:hAnsi="仿宋_GB2312" w:eastAsia="仿宋_GB2312" w:cs="仿宋_GB2312"/>
                <w:kern w:val="0"/>
                <w:szCs w:val="21"/>
                <w:lang w:bidi="ar"/>
              </w:rPr>
              <w:t>质谱联用法</w:t>
            </w:r>
          </w:p>
          <w:p w14:paraId="1260AE74">
            <w:pPr>
              <w:widowControl/>
              <w:spacing w:line="25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5009.15-2023 食品安全国家标准 食品中镉的测定</w:t>
            </w:r>
          </w:p>
          <w:p w14:paraId="02D646CA">
            <w:pPr>
              <w:widowControl/>
              <w:spacing w:line="25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5009.12-2023 食品安全国家标准 食品中铅的测定</w:t>
            </w:r>
          </w:p>
          <w:p w14:paraId="0139BC08">
            <w:pPr>
              <w:widowControl/>
              <w:spacing w:line="25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5009.268-2025食品安全国家标准 食品中多元素的测定</w:t>
            </w:r>
          </w:p>
          <w:p w14:paraId="32957170">
            <w:pPr>
              <w:widowControl/>
              <w:spacing w:line="25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23200.113-</w:t>
            </w:r>
            <w:r>
              <w:rPr>
                <w:rFonts w:hint="eastAsia" w:ascii="仿宋_GB2312" w:hAnsi="仿宋_GB2312" w:eastAsia="仿宋_GB2312" w:cs="仿宋_GB2312"/>
                <w:kern w:val="0"/>
                <w:szCs w:val="21"/>
                <w:lang w:val="en-US" w:eastAsia="zh-CN" w:bidi="ar"/>
              </w:rPr>
              <w:t>2026</w:t>
            </w:r>
            <w:r>
              <w:rPr>
                <w:rFonts w:hint="eastAsia" w:ascii="仿宋_GB2312" w:hAnsi="仿宋_GB2312" w:eastAsia="仿宋_GB2312" w:cs="仿宋_GB2312"/>
                <w:kern w:val="0"/>
                <w:szCs w:val="21"/>
                <w:lang w:bidi="ar"/>
              </w:rPr>
              <w:t>食品安全国家标准 植物源性食品中2</w:t>
            </w:r>
            <w:r>
              <w:rPr>
                <w:rFonts w:hint="eastAsia" w:ascii="仿宋_GB2312" w:hAnsi="仿宋_GB2312" w:eastAsia="仿宋_GB2312" w:cs="仿宋_GB2312"/>
                <w:kern w:val="0"/>
                <w:szCs w:val="21"/>
                <w:lang w:val="en-US" w:eastAsia="zh-CN" w:bidi="ar"/>
              </w:rPr>
              <w:t>42</w:t>
            </w:r>
            <w:r>
              <w:rPr>
                <w:rFonts w:hint="eastAsia" w:ascii="仿宋_GB2312" w:hAnsi="仿宋_GB2312" w:eastAsia="仿宋_GB2312" w:cs="仿宋_GB2312"/>
                <w:kern w:val="0"/>
                <w:szCs w:val="21"/>
                <w:lang w:bidi="ar"/>
              </w:rPr>
              <w:t>种农药及其代谢物残留量的测定 气相色谱-质谱联用法</w:t>
            </w:r>
          </w:p>
        </w:tc>
        <w:tc>
          <w:tcPr>
            <w:tcW w:w="908" w:type="pct"/>
            <w:noWrap w:val="0"/>
            <w:vAlign w:val="center"/>
          </w:tcPr>
          <w:p w14:paraId="549C52CE">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2763-</w:t>
            </w:r>
            <w:r>
              <w:rPr>
                <w:rFonts w:hint="eastAsia" w:ascii="仿宋_GB2312" w:hAnsi="仿宋_GB2312" w:eastAsia="仿宋_GB2312" w:cs="仿宋_GB2312"/>
                <w:kern w:val="0"/>
                <w:szCs w:val="21"/>
                <w:lang w:val="en-US" w:eastAsia="zh-CN" w:bidi="ar"/>
              </w:rPr>
              <w:t xml:space="preserve">2026 </w:t>
            </w:r>
            <w:r>
              <w:rPr>
                <w:rFonts w:hint="eastAsia" w:ascii="仿宋_GB2312" w:hAnsi="仿宋_GB2312" w:eastAsia="仿宋_GB2312" w:cs="仿宋_GB2312"/>
                <w:kern w:val="0"/>
                <w:szCs w:val="21"/>
                <w:lang w:bidi="ar"/>
              </w:rPr>
              <w:t>食品安全国家标准 食品中农药最大残留限量</w:t>
            </w:r>
          </w:p>
          <w:p w14:paraId="417607B7">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2762-2022 食品安全国家标准 食品中污染物限量</w:t>
            </w:r>
          </w:p>
          <w:p w14:paraId="4A4B255A">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2761-2017 食品安全国家标准 食品中真菌毒素限量</w:t>
            </w:r>
          </w:p>
          <w:p w14:paraId="32801523">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GB 2762-2025 食品安全国家标准 食品中污染物限量（2026-09-02实施）</w:t>
            </w:r>
          </w:p>
        </w:tc>
      </w:tr>
    </w:tbl>
    <w:p w14:paraId="6E09C849">
      <w:pPr>
        <w:keepNext w:val="0"/>
        <w:keepLines w:val="0"/>
        <w:pageBreakBefore w:val="0"/>
        <w:kinsoku/>
        <w:wordWrap/>
        <w:overflowPunct/>
        <w:topLinePunct w:val="0"/>
        <w:autoSpaceDE/>
        <w:autoSpaceDN/>
        <w:bidi w:val="0"/>
        <w:adjustRightInd w:val="0"/>
        <w:spacing w:line="360" w:lineRule="auto"/>
        <w:textAlignment w:val="baseline"/>
        <w:rPr>
          <w:rFonts w:hint="default" w:ascii="宋体" w:hAnsi="宋体" w:eastAsia="宋体" w:cs="宋体"/>
          <w:b/>
          <w:bCs/>
          <w:color w:val="auto"/>
          <w:sz w:val="24"/>
          <w:szCs w:val="24"/>
          <w:lang w:val="en-US" w:eastAsia="zh-CN" w:bidi="ar-SA"/>
        </w:rPr>
      </w:pPr>
      <w:r>
        <w:rPr>
          <w:rFonts w:hint="eastAsia" w:ascii="宋体" w:hAnsi="宋体" w:eastAsia="宋体" w:cs="宋体"/>
          <w:b/>
          <w:bCs/>
          <w:color w:val="auto"/>
          <w:kern w:val="0"/>
          <w:sz w:val="24"/>
          <w:szCs w:val="24"/>
        </w:rPr>
        <w:t>备注：随机安排的例行监测，抽查品种、检测项目、检测方法和判定依据另行发文明确</w:t>
      </w:r>
      <w:r>
        <w:rPr>
          <w:rFonts w:hint="eastAsia" w:ascii="宋体" w:hAnsi="宋体" w:eastAsia="宋体" w:cs="宋体"/>
          <w:b/>
          <w:bCs/>
          <w:color w:val="auto"/>
          <w:kern w:val="0"/>
          <w:sz w:val="24"/>
          <w:szCs w:val="24"/>
          <w:lang w:eastAsia="zh-CN"/>
        </w:rPr>
        <w:t>。</w:t>
      </w:r>
      <w:r>
        <w:rPr>
          <w:rFonts w:hint="eastAsia" w:ascii="宋体" w:hAnsi="宋体" w:eastAsia="宋体" w:cs="宋体"/>
          <w:b/>
          <w:bCs/>
          <w:color w:val="auto"/>
          <w:sz w:val="24"/>
          <w:szCs w:val="24"/>
          <w:lang w:val="en-US" w:eastAsia="zh-CN" w:bidi="ar-SA"/>
        </w:rPr>
        <w:t>响应供应商检测能力至少</w:t>
      </w:r>
      <w:r>
        <w:rPr>
          <w:rFonts w:hint="eastAsia" w:ascii="宋体" w:hAnsi="宋体" w:eastAsia="宋体" w:cs="宋体"/>
          <w:b/>
          <w:bCs/>
          <w:color w:val="auto"/>
          <w:sz w:val="24"/>
          <w:szCs w:val="24"/>
          <w:highlight w:val="none"/>
          <w:lang w:val="en-US" w:eastAsia="zh-CN" w:bidi="ar-SA"/>
        </w:rPr>
        <w:t>覆盖95%的检测项目</w:t>
      </w:r>
      <w:r>
        <w:rPr>
          <w:rFonts w:hint="eastAsia" w:ascii="宋体" w:hAnsi="宋体" w:eastAsia="宋体" w:cs="宋体"/>
          <w:b/>
          <w:bCs/>
          <w:color w:val="auto"/>
          <w:sz w:val="24"/>
          <w:szCs w:val="24"/>
          <w:lang w:val="en-US" w:eastAsia="zh-CN" w:bidi="ar-SA"/>
        </w:rPr>
        <w:t>，需提供检测能力附表（扫描件）佐证。响应文件中需注明覆盖占比和未覆盖的检测项目。</w:t>
      </w:r>
    </w:p>
    <w:p w14:paraId="0E36E87B">
      <w:pPr>
        <w:spacing w:line="360" w:lineRule="auto"/>
        <w:rPr>
          <w:rFonts w:hint="eastAsia" w:ascii="宋体" w:hAnsi="宋体" w:eastAsia="宋体" w:cs="宋体"/>
          <w:b/>
          <w:bCs/>
          <w:sz w:val="24"/>
        </w:rPr>
      </w:pPr>
    </w:p>
    <w:p w14:paraId="6708E00B">
      <w:pPr>
        <w:spacing w:line="360" w:lineRule="auto"/>
        <w:rPr>
          <w:rFonts w:hint="eastAsia" w:ascii="宋体" w:hAnsi="宋体" w:eastAsia="宋体" w:cs="宋体"/>
          <w:b/>
          <w:bCs/>
          <w:sz w:val="28"/>
          <w:szCs w:val="28"/>
        </w:rPr>
      </w:pPr>
      <w:bookmarkStart w:id="13" w:name="_Toc18849"/>
      <w:bookmarkStart w:id="14" w:name="_Toc28824"/>
      <w:r>
        <w:rPr>
          <w:rFonts w:hint="eastAsia" w:ascii="宋体" w:hAnsi="宋体" w:eastAsia="宋体" w:cs="宋体"/>
          <w:b/>
          <w:bCs/>
          <w:sz w:val="28"/>
          <w:szCs w:val="28"/>
        </w:rPr>
        <w:t>注：投标人必须完全满足或优于以上技术服务要求，否则视为无效投标。</w:t>
      </w:r>
    </w:p>
    <w:p w14:paraId="2F34E375">
      <w:pPr>
        <w:pStyle w:val="2"/>
        <w:rPr>
          <w:rFonts w:hint="eastAsia" w:ascii="宋体" w:hAnsi="宋体" w:eastAsia="宋体" w:cs="宋体"/>
          <w:b/>
          <w:bCs/>
          <w:sz w:val="28"/>
          <w:szCs w:val="28"/>
        </w:rPr>
      </w:pPr>
    </w:p>
    <w:p w14:paraId="094B2BDA">
      <w:pPr>
        <w:pStyle w:val="2"/>
        <w:rPr>
          <w:rFonts w:hint="eastAsia" w:ascii="宋体" w:hAnsi="宋体" w:eastAsia="宋体" w:cs="宋体"/>
          <w:b/>
          <w:bCs/>
          <w:sz w:val="28"/>
          <w:szCs w:val="28"/>
        </w:rPr>
      </w:pPr>
    </w:p>
    <w:p w14:paraId="534066ED">
      <w:pPr>
        <w:pStyle w:val="2"/>
        <w:rPr>
          <w:rFonts w:hint="eastAsia" w:ascii="宋体" w:hAnsi="宋体" w:eastAsia="宋体" w:cs="宋体"/>
          <w:b/>
          <w:bCs/>
          <w:sz w:val="28"/>
          <w:szCs w:val="28"/>
        </w:rPr>
      </w:pPr>
    </w:p>
    <w:p w14:paraId="02B27B33">
      <w:pPr>
        <w:pStyle w:val="2"/>
        <w:rPr>
          <w:rFonts w:hint="eastAsia" w:ascii="宋体" w:hAnsi="宋体" w:eastAsia="宋体" w:cs="宋体"/>
          <w:b/>
          <w:bCs/>
          <w:sz w:val="28"/>
          <w:szCs w:val="28"/>
        </w:rPr>
      </w:pPr>
    </w:p>
    <w:p w14:paraId="3FCD76C0">
      <w:pPr>
        <w:pStyle w:val="2"/>
        <w:rPr>
          <w:rFonts w:hint="eastAsia" w:ascii="宋体" w:hAnsi="宋体" w:eastAsia="宋体" w:cs="宋体"/>
          <w:b/>
          <w:bCs/>
          <w:sz w:val="28"/>
          <w:szCs w:val="28"/>
        </w:rPr>
      </w:pPr>
    </w:p>
    <w:p w14:paraId="6DB4C503">
      <w:pPr>
        <w:pStyle w:val="2"/>
        <w:rPr>
          <w:rFonts w:hint="eastAsia" w:ascii="宋体" w:hAnsi="宋体" w:eastAsia="宋体" w:cs="宋体"/>
          <w:b/>
          <w:bCs/>
          <w:sz w:val="28"/>
          <w:szCs w:val="28"/>
        </w:rPr>
      </w:pPr>
    </w:p>
    <w:p w14:paraId="62BAAF38">
      <w:pPr>
        <w:pStyle w:val="2"/>
        <w:rPr>
          <w:rFonts w:hint="eastAsia" w:ascii="宋体" w:hAnsi="宋体" w:eastAsia="宋体" w:cs="宋体"/>
          <w:b/>
          <w:bCs/>
          <w:sz w:val="28"/>
          <w:szCs w:val="28"/>
        </w:rPr>
      </w:pPr>
    </w:p>
    <w:p w14:paraId="53729D88">
      <w:pPr>
        <w:pStyle w:val="2"/>
        <w:rPr>
          <w:rFonts w:hint="eastAsia" w:ascii="宋体" w:hAnsi="宋体" w:eastAsia="宋体" w:cs="宋体"/>
          <w:b/>
          <w:bCs/>
          <w:sz w:val="28"/>
          <w:szCs w:val="28"/>
        </w:rPr>
      </w:pPr>
      <w:bookmarkStart w:id="15" w:name="_GoBack"/>
      <w:bookmarkEnd w:id="15"/>
    </w:p>
    <w:p w14:paraId="39937855">
      <w:pPr>
        <w:adjustRightInd/>
        <w:snapToGrid/>
        <w:spacing w:line="360" w:lineRule="auto"/>
        <w:jc w:val="both"/>
        <w:outlineLvl w:val="2"/>
        <w:rPr>
          <w:rFonts w:hint="eastAsia" w:ascii="宋体" w:hAnsi="宋体" w:eastAsia="宋体" w:cs="宋体"/>
          <w:b/>
          <w:bCs/>
          <w:color w:val="auto"/>
          <w:sz w:val="24"/>
          <w:szCs w:val="24"/>
          <w:highlight w:val="none"/>
          <w:lang w:val="en-US" w:eastAsia="zh-CN" w:bidi="ar-SA"/>
        </w:rPr>
      </w:pPr>
      <w:r>
        <w:rPr>
          <w:rFonts w:hint="eastAsia" w:ascii="宋体" w:hAnsi="宋体" w:eastAsia="宋体" w:cs="宋体"/>
          <w:b/>
          <w:bCs/>
          <w:color w:val="auto"/>
          <w:sz w:val="24"/>
          <w:szCs w:val="24"/>
          <w:highlight w:val="none"/>
          <w:lang w:val="en-US" w:eastAsia="zh-CN" w:bidi="ar-SA"/>
        </w:rPr>
        <w:t>附表 1：</w:t>
      </w:r>
    </w:p>
    <w:p w14:paraId="3E03F454">
      <w:pPr>
        <w:keepNext w:val="0"/>
        <w:keepLines w:val="0"/>
        <w:widowControl/>
        <w:suppressLineNumbers w:val="0"/>
        <w:adjustRightInd/>
        <w:spacing w:before="0" w:beforeAutospacing="0" w:after="0" w:afterAutospacing="0" w:line="240" w:lineRule="auto"/>
        <w:ind w:left="0" w:right="0" w:firstLine="482" w:firstLineChars="200"/>
        <w:jc w:val="center"/>
        <w:rPr>
          <w:rFonts w:hint="eastAsia" w:ascii="宋体" w:hAnsi="宋体" w:eastAsia="宋体" w:cs="宋体"/>
          <w:b/>
          <w:bCs w:val="0"/>
          <w:color w:val="auto"/>
          <w:sz w:val="24"/>
          <w:szCs w:val="24"/>
          <w:lang w:val="en-US"/>
        </w:rPr>
      </w:pPr>
      <w:r>
        <w:rPr>
          <w:rFonts w:hint="eastAsia" w:ascii="宋体" w:hAnsi="宋体" w:eastAsia="宋体" w:cs="宋体"/>
          <w:b/>
          <w:bCs w:val="0"/>
          <w:color w:val="auto"/>
          <w:kern w:val="2"/>
          <w:sz w:val="24"/>
          <w:szCs w:val="24"/>
          <w:lang w:val="en-US" w:eastAsia="zh-CN" w:bidi="ar"/>
        </w:rPr>
        <w:t>拟派本项目的人员配备表</w:t>
      </w:r>
    </w:p>
    <w:p w14:paraId="0C857BED">
      <w:pPr>
        <w:pStyle w:val="6"/>
        <w:keepNext w:val="0"/>
        <w:keepLines w:val="0"/>
        <w:widowControl w:val="0"/>
        <w:suppressLineNumbers w:val="0"/>
        <w:tabs>
          <w:tab w:val="center" w:pos="4140"/>
          <w:tab w:val="center" w:pos="4153"/>
          <w:tab w:val="right" w:pos="8300"/>
          <w:tab w:val="right" w:pos="8306"/>
        </w:tabs>
        <w:adjustRightInd w:val="0"/>
        <w:snapToGrid w:val="0"/>
        <w:spacing w:before="0" w:beforeAutospacing="0" w:after="0" w:afterAutospacing="0" w:line="360" w:lineRule="auto"/>
        <w:ind w:left="0" w:right="0"/>
        <w:jc w:val="center"/>
        <w:rPr>
          <w:rFonts w:hint="eastAsia" w:ascii="宋体" w:hAnsi="宋体" w:eastAsia="宋体" w:cs="宋体"/>
          <w:bCs/>
          <w:color w:val="auto"/>
          <w:lang w:val="en-US"/>
        </w:rPr>
      </w:pPr>
      <w:r>
        <w:rPr>
          <w:rFonts w:hint="eastAsia" w:ascii="宋体" w:hAnsi="宋体" w:eastAsia="宋体" w:cs="宋体"/>
          <w:bCs/>
          <w:color w:val="auto"/>
          <w:kern w:val="0"/>
          <w:sz w:val="24"/>
          <w:szCs w:val="24"/>
          <w:lang w:val="en-US" w:eastAsia="zh-CN" w:bidi="ar"/>
        </w:rPr>
        <w:t>（供参考格式）</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5"/>
        <w:gridCol w:w="1013"/>
        <w:gridCol w:w="1129"/>
        <w:gridCol w:w="1763"/>
        <w:gridCol w:w="1717"/>
        <w:gridCol w:w="1268"/>
        <w:gridCol w:w="1061"/>
      </w:tblGrid>
      <w:tr w14:paraId="5BD8B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jc w:val="center"/>
        </w:trPr>
        <w:tc>
          <w:tcPr>
            <w:tcW w:w="1185" w:type="dxa"/>
            <w:tcBorders>
              <w:top w:val="single" w:color="auto" w:sz="4" w:space="0"/>
              <w:left w:val="single" w:color="auto" w:sz="4" w:space="0"/>
              <w:bottom w:val="single" w:color="auto" w:sz="4" w:space="0"/>
              <w:right w:val="single" w:color="auto" w:sz="4" w:space="0"/>
            </w:tcBorders>
            <w:noWrap w:val="0"/>
            <w:vAlign w:val="center"/>
          </w:tcPr>
          <w:p w14:paraId="2BE345A7">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r>
              <w:rPr>
                <w:rFonts w:hint="eastAsia" w:ascii="宋体" w:hAnsi="宋体" w:eastAsia="宋体" w:cs="宋体"/>
                <w:color w:val="auto"/>
                <w:kern w:val="0"/>
                <w:sz w:val="24"/>
                <w:szCs w:val="21"/>
                <w:lang w:val="en-US" w:eastAsia="zh-CN" w:bidi="ar"/>
              </w:rPr>
              <w:t>姓名</w:t>
            </w:r>
          </w:p>
        </w:tc>
        <w:tc>
          <w:tcPr>
            <w:tcW w:w="1013" w:type="dxa"/>
            <w:tcBorders>
              <w:top w:val="single" w:color="auto" w:sz="4" w:space="0"/>
              <w:left w:val="single" w:color="auto" w:sz="4" w:space="0"/>
              <w:bottom w:val="single" w:color="auto" w:sz="4" w:space="0"/>
              <w:right w:val="single" w:color="auto" w:sz="4" w:space="0"/>
            </w:tcBorders>
            <w:noWrap w:val="0"/>
            <w:vAlign w:val="center"/>
          </w:tcPr>
          <w:p w14:paraId="2BC44494">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kern w:val="2"/>
                <w:sz w:val="24"/>
                <w:szCs w:val="24"/>
                <w:lang w:val="en-US"/>
              </w:rPr>
            </w:pPr>
            <w:r>
              <w:rPr>
                <w:rFonts w:hint="eastAsia" w:ascii="宋体" w:hAnsi="宋体" w:eastAsia="宋体" w:cs="宋体"/>
                <w:color w:val="auto"/>
                <w:kern w:val="0"/>
                <w:sz w:val="24"/>
                <w:szCs w:val="21"/>
                <w:lang w:val="en-US" w:eastAsia="zh-CN" w:bidi="ar"/>
              </w:rPr>
              <w:t>性别</w:t>
            </w:r>
          </w:p>
        </w:tc>
        <w:tc>
          <w:tcPr>
            <w:tcW w:w="1129" w:type="dxa"/>
            <w:tcBorders>
              <w:top w:val="single" w:color="auto" w:sz="4" w:space="0"/>
              <w:left w:val="single" w:color="auto" w:sz="4" w:space="0"/>
              <w:bottom w:val="single" w:color="auto" w:sz="4" w:space="0"/>
              <w:right w:val="single" w:color="auto" w:sz="4" w:space="0"/>
            </w:tcBorders>
            <w:noWrap w:val="0"/>
            <w:vAlign w:val="center"/>
          </w:tcPr>
          <w:p w14:paraId="67EDD8C9">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kern w:val="2"/>
                <w:sz w:val="24"/>
                <w:szCs w:val="24"/>
                <w:lang w:val="en-US"/>
              </w:rPr>
            </w:pPr>
            <w:r>
              <w:rPr>
                <w:rFonts w:hint="eastAsia" w:ascii="宋体" w:hAnsi="宋体" w:eastAsia="宋体" w:cs="宋体"/>
                <w:color w:val="auto"/>
                <w:kern w:val="0"/>
                <w:sz w:val="24"/>
                <w:szCs w:val="21"/>
                <w:lang w:val="en-US" w:eastAsia="zh-CN" w:bidi="ar"/>
              </w:rPr>
              <w:t>年龄</w:t>
            </w:r>
          </w:p>
        </w:tc>
        <w:tc>
          <w:tcPr>
            <w:tcW w:w="1763" w:type="dxa"/>
            <w:tcBorders>
              <w:top w:val="single" w:color="auto" w:sz="4" w:space="0"/>
              <w:left w:val="single" w:color="auto" w:sz="4" w:space="0"/>
              <w:bottom w:val="single" w:color="auto" w:sz="4" w:space="0"/>
              <w:right w:val="single" w:color="auto" w:sz="4" w:space="0"/>
            </w:tcBorders>
            <w:noWrap w:val="0"/>
            <w:vAlign w:val="center"/>
          </w:tcPr>
          <w:p w14:paraId="6CFE662B">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r>
              <w:rPr>
                <w:rFonts w:hint="eastAsia" w:ascii="宋体" w:hAnsi="宋体" w:eastAsia="宋体" w:cs="宋体"/>
                <w:color w:val="auto"/>
                <w:kern w:val="0"/>
                <w:sz w:val="24"/>
                <w:szCs w:val="21"/>
                <w:lang w:val="en-US" w:eastAsia="zh-CN" w:bidi="ar"/>
              </w:rPr>
              <w:t>专业学历</w:t>
            </w:r>
          </w:p>
        </w:tc>
        <w:tc>
          <w:tcPr>
            <w:tcW w:w="1717" w:type="dxa"/>
            <w:tcBorders>
              <w:top w:val="single" w:color="auto" w:sz="4" w:space="0"/>
              <w:left w:val="single" w:color="auto" w:sz="4" w:space="0"/>
              <w:bottom w:val="single" w:color="auto" w:sz="4" w:space="0"/>
              <w:right w:val="single" w:color="auto" w:sz="4" w:space="0"/>
            </w:tcBorders>
            <w:noWrap w:val="0"/>
            <w:vAlign w:val="center"/>
          </w:tcPr>
          <w:p w14:paraId="29150CD6">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r>
              <w:rPr>
                <w:rFonts w:hint="eastAsia" w:ascii="宋体" w:hAnsi="宋体" w:eastAsia="宋体" w:cs="宋体"/>
                <w:color w:val="auto"/>
                <w:kern w:val="0"/>
                <w:sz w:val="24"/>
                <w:szCs w:val="21"/>
                <w:lang w:val="en-US" w:eastAsia="zh-CN" w:bidi="ar"/>
              </w:rPr>
              <w:t>职称职务</w:t>
            </w:r>
          </w:p>
        </w:tc>
        <w:tc>
          <w:tcPr>
            <w:tcW w:w="1268" w:type="dxa"/>
            <w:tcBorders>
              <w:top w:val="single" w:color="auto" w:sz="4" w:space="0"/>
              <w:left w:val="single" w:color="auto" w:sz="4" w:space="0"/>
              <w:bottom w:val="single" w:color="auto" w:sz="4" w:space="0"/>
              <w:right w:val="single" w:color="auto" w:sz="4" w:space="0"/>
            </w:tcBorders>
            <w:noWrap w:val="0"/>
            <w:vAlign w:val="center"/>
          </w:tcPr>
          <w:p w14:paraId="530EE687">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r>
              <w:rPr>
                <w:rFonts w:hint="eastAsia" w:ascii="宋体" w:hAnsi="宋体" w:eastAsia="宋体" w:cs="宋体"/>
                <w:color w:val="auto"/>
                <w:kern w:val="0"/>
                <w:sz w:val="24"/>
                <w:szCs w:val="21"/>
                <w:lang w:val="en-US" w:eastAsia="zh-CN" w:bidi="ar"/>
              </w:rPr>
              <w:t>工作年限</w:t>
            </w:r>
          </w:p>
        </w:tc>
        <w:tc>
          <w:tcPr>
            <w:tcW w:w="1061" w:type="dxa"/>
            <w:tcBorders>
              <w:top w:val="single" w:color="auto" w:sz="4" w:space="0"/>
              <w:left w:val="single" w:color="auto" w:sz="4" w:space="0"/>
              <w:bottom w:val="single" w:color="auto" w:sz="4" w:space="0"/>
              <w:right w:val="single" w:color="auto" w:sz="4" w:space="0"/>
            </w:tcBorders>
            <w:noWrap w:val="0"/>
            <w:vAlign w:val="center"/>
          </w:tcPr>
          <w:p w14:paraId="52F50A9A">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r>
              <w:rPr>
                <w:rFonts w:hint="eastAsia" w:ascii="宋体" w:hAnsi="宋体" w:eastAsia="宋体" w:cs="宋体"/>
                <w:color w:val="auto"/>
                <w:kern w:val="0"/>
                <w:sz w:val="24"/>
                <w:szCs w:val="21"/>
                <w:lang w:val="en-US" w:eastAsia="zh-CN" w:bidi="ar"/>
              </w:rPr>
              <w:t>备注</w:t>
            </w:r>
          </w:p>
        </w:tc>
      </w:tr>
      <w:tr w14:paraId="36EF9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exact"/>
          <w:jc w:val="center"/>
        </w:trPr>
        <w:tc>
          <w:tcPr>
            <w:tcW w:w="1185" w:type="dxa"/>
            <w:tcBorders>
              <w:top w:val="single" w:color="auto" w:sz="4" w:space="0"/>
              <w:left w:val="single" w:color="auto" w:sz="4" w:space="0"/>
              <w:bottom w:val="single" w:color="auto" w:sz="4" w:space="0"/>
              <w:right w:val="single" w:color="auto" w:sz="4" w:space="0"/>
            </w:tcBorders>
            <w:noWrap w:val="0"/>
            <w:vAlign w:val="center"/>
          </w:tcPr>
          <w:p w14:paraId="001A29EA">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013" w:type="dxa"/>
            <w:tcBorders>
              <w:top w:val="single" w:color="auto" w:sz="4" w:space="0"/>
              <w:left w:val="single" w:color="auto" w:sz="4" w:space="0"/>
              <w:bottom w:val="single" w:color="auto" w:sz="4" w:space="0"/>
              <w:right w:val="single" w:color="auto" w:sz="4" w:space="0"/>
            </w:tcBorders>
            <w:noWrap w:val="0"/>
            <w:vAlign w:val="center"/>
          </w:tcPr>
          <w:p w14:paraId="02C205FC">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129" w:type="dxa"/>
            <w:tcBorders>
              <w:top w:val="single" w:color="auto" w:sz="4" w:space="0"/>
              <w:left w:val="single" w:color="auto" w:sz="4" w:space="0"/>
              <w:bottom w:val="single" w:color="auto" w:sz="4" w:space="0"/>
              <w:right w:val="single" w:color="auto" w:sz="4" w:space="0"/>
            </w:tcBorders>
            <w:noWrap w:val="0"/>
            <w:vAlign w:val="center"/>
          </w:tcPr>
          <w:p w14:paraId="36655570">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763" w:type="dxa"/>
            <w:tcBorders>
              <w:top w:val="single" w:color="auto" w:sz="4" w:space="0"/>
              <w:left w:val="single" w:color="auto" w:sz="4" w:space="0"/>
              <w:bottom w:val="single" w:color="auto" w:sz="4" w:space="0"/>
              <w:right w:val="single" w:color="auto" w:sz="4" w:space="0"/>
            </w:tcBorders>
            <w:noWrap w:val="0"/>
            <w:vAlign w:val="center"/>
          </w:tcPr>
          <w:p w14:paraId="07E3B9E9">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717" w:type="dxa"/>
            <w:tcBorders>
              <w:top w:val="single" w:color="auto" w:sz="4" w:space="0"/>
              <w:left w:val="single" w:color="auto" w:sz="4" w:space="0"/>
              <w:bottom w:val="single" w:color="auto" w:sz="4" w:space="0"/>
              <w:right w:val="single" w:color="auto" w:sz="4" w:space="0"/>
            </w:tcBorders>
            <w:noWrap w:val="0"/>
            <w:vAlign w:val="center"/>
          </w:tcPr>
          <w:p w14:paraId="102B38EE">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268" w:type="dxa"/>
            <w:tcBorders>
              <w:top w:val="single" w:color="auto" w:sz="4" w:space="0"/>
              <w:left w:val="single" w:color="auto" w:sz="4" w:space="0"/>
              <w:bottom w:val="single" w:color="auto" w:sz="4" w:space="0"/>
              <w:right w:val="single" w:color="auto" w:sz="4" w:space="0"/>
            </w:tcBorders>
            <w:noWrap w:val="0"/>
            <w:vAlign w:val="center"/>
          </w:tcPr>
          <w:p w14:paraId="1D52663E">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061" w:type="dxa"/>
            <w:tcBorders>
              <w:top w:val="single" w:color="auto" w:sz="4" w:space="0"/>
              <w:left w:val="single" w:color="auto" w:sz="4" w:space="0"/>
              <w:bottom w:val="single" w:color="auto" w:sz="4" w:space="0"/>
              <w:right w:val="single" w:color="auto" w:sz="4" w:space="0"/>
            </w:tcBorders>
            <w:noWrap w:val="0"/>
            <w:vAlign w:val="center"/>
          </w:tcPr>
          <w:p w14:paraId="396C30B4">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r>
      <w:tr w14:paraId="7E65C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exact"/>
          <w:jc w:val="center"/>
        </w:trPr>
        <w:tc>
          <w:tcPr>
            <w:tcW w:w="1185" w:type="dxa"/>
            <w:tcBorders>
              <w:top w:val="single" w:color="auto" w:sz="4" w:space="0"/>
              <w:left w:val="single" w:color="auto" w:sz="4" w:space="0"/>
              <w:bottom w:val="single" w:color="auto" w:sz="4" w:space="0"/>
              <w:right w:val="single" w:color="auto" w:sz="4" w:space="0"/>
            </w:tcBorders>
            <w:noWrap w:val="0"/>
            <w:vAlign w:val="center"/>
          </w:tcPr>
          <w:p w14:paraId="188D2B23">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013" w:type="dxa"/>
            <w:tcBorders>
              <w:top w:val="single" w:color="auto" w:sz="4" w:space="0"/>
              <w:left w:val="single" w:color="auto" w:sz="4" w:space="0"/>
              <w:bottom w:val="single" w:color="auto" w:sz="4" w:space="0"/>
              <w:right w:val="single" w:color="auto" w:sz="4" w:space="0"/>
            </w:tcBorders>
            <w:noWrap w:val="0"/>
            <w:vAlign w:val="center"/>
          </w:tcPr>
          <w:p w14:paraId="4C2F8439">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129" w:type="dxa"/>
            <w:tcBorders>
              <w:top w:val="single" w:color="auto" w:sz="4" w:space="0"/>
              <w:left w:val="single" w:color="auto" w:sz="4" w:space="0"/>
              <w:bottom w:val="single" w:color="auto" w:sz="4" w:space="0"/>
              <w:right w:val="single" w:color="auto" w:sz="4" w:space="0"/>
            </w:tcBorders>
            <w:noWrap w:val="0"/>
            <w:vAlign w:val="center"/>
          </w:tcPr>
          <w:p w14:paraId="034CCA54">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763" w:type="dxa"/>
            <w:tcBorders>
              <w:top w:val="single" w:color="auto" w:sz="4" w:space="0"/>
              <w:left w:val="single" w:color="auto" w:sz="4" w:space="0"/>
              <w:bottom w:val="single" w:color="auto" w:sz="4" w:space="0"/>
              <w:right w:val="single" w:color="auto" w:sz="4" w:space="0"/>
            </w:tcBorders>
            <w:noWrap w:val="0"/>
            <w:vAlign w:val="center"/>
          </w:tcPr>
          <w:p w14:paraId="45C55304">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717" w:type="dxa"/>
            <w:tcBorders>
              <w:top w:val="single" w:color="auto" w:sz="4" w:space="0"/>
              <w:left w:val="single" w:color="auto" w:sz="4" w:space="0"/>
              <w:bottom w:val="single" w:color="auto" w:sz="4" w:space="0"/>
              <w:right w:val="single" w:color="auto" w:sz="4" w:space="0"/>
            </w:tcBorders>
            <w:noWrap w:val="0"/>
            <w:vAlign w:val="center"/>
          </w:tcPr>
          <w:p w14:paraId="52A641D9">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268" w:type="dxa"/>
            <w:tcBorders>
              <w:top w:val="single" w:color="auto" w:sz="4" w:space="0"/>
              <w:left w:val="single" w:color="auto" w:sz="4" w:space="0"/>
              <w:bottom w:val="single" w:color="auto" w:sz="4" w:space="0"/>
              <w:right w:val="single" w:color="auto" w:sz="4" w:space="0"/>
            </w:tcBorders>
            <w:noWrap w:val="0"/>
            <w:vAlign w:val="center"/>
          </w:tcPr>
          <w:p w14:paraId="23C4980A">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061" w:type="dxa"/>
            <w:tcBorders>
              <w:top w:val="single" w:color="auto" w:sz="4" w:space="0"/>
              <w:left w:val="single" w:color="auto" w:sz="4" w:space="0"/>
              <w:bottom w:val="single" w:color="auto" w:sz="4" w:space="0"/>
              <w:right w:val="single" w:color="auto" w:sz="4" w:space="0"/>
            </w:tcBorders>
            <w:noWrap w:val="0"/>
            <w:vAlign w:val="center"/>
          </w:tcPr>
          <w:p w14:paraId="7C0F3CE5">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r>
      <w:tr w14:paraId="222AC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exact"/>
          <w:jc w:val="center"/>
        </w:trPr>
        <w:tc>
          <w:tcPr>
            <w:tcW w:w="1185" w:type="dxa"/>
            <w:tcBorders>
              <w:top w:val="single" w:color="auto" w:sz="4" w:space="0"/>
              <w:left w:val="single" w:color="auto" w:sz="4" w:space="0"/>
              <w:bottom w:val="single" w:color="auto" w:sz="4" w:space="0"/>
              <w:right w:val="single" w:color="auto" w:sz="4" w:space="0"/>
            </w:tcBorders>
            <w:noWrap w:val="0"/>
            <w:vAlign w:val="center"/>
          </w:tcPr>
          <w:p w14:paraId="2F0293BD">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013" w:type="dxa"/>
            <w:tcBorders>
              <w:top w:val="single" w:color="auto" w:sz="4" w:space="0"/>
              <w:left w:val="single" w:color="auto" w:sz="4" w:space="0"/>
              <w:bottom w:val="single" w:color="auto" w:sz="4" w:space="0"/>
              <w:right w:val="single" w:color="auto" w:sz="4" w:space="0"/>
            </w:tcBorders>
            <w:noWrap w:val="0"/>
            <w:vAlign w:val="center"/>
          </w:tcPr>
          <w:p w14:paraId="508B1A70">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129" w:type="dxa"/>
            <w:tcBorders>
              <w:top w:val="single" w:color="auto" w:sz="4" w:space="0"/>
              <w:left w:val="single" w:color="auto" w:sz="4" w:space="0"/>
              <w:bottom w:val="single" w:color="auto" w:sz="4" w:space="0"/>
              <w:right w:val="single" w:color="auto" w:sz="4" w:space="0"/>
            </w:tcBorders>
            <w:noWrap w:val="0"/>
            <w:vAlign w:val="center"/>
          </w:tcPr>
          <w:p w14:paraId="2A383E87">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763" w:type="dxa"/>
            <w:tcBorders>
              <w:top w:val="single" w:color="auto" w:sz="4" w:space="0"/>
              <w:left w:val="single" w:color="auto" w:sz="4" w:space="0"/>
              <w:bottom w:val="single" w:color="auto" w:sz="4" w:space="0"/>
              <w:right w:val="single" w:color="auto" w:sz="4" w:space="0"/>
            </w:tcBorders>
            <w:noWrap w:val="0"/>
            <w:vAlign w:val="center"/>
          </w:tcPr>
          <w:p w14:paraId="1BFFC8F3">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717" w:type="dxa"/>
            <w:tcBorders>
              <w:top w:val="single" w:color="auto" w:sz="4" w:space="0"/>
              <w:left w:val="single" w:color="auto" w:sz="4" w:space="0"/>
              <w:bottom w:val="single" w:color="auto" w:sz="4" w:space="0"/>
              <w:right w:val="single" w:color="auto" w:sz="4" w:space="0"/>
            </w:tcBorders>
            <w:noWrap w:val="0"/>
            <w:vAlign w:val="center"/>
          </w:tcPr>
          <w:p w14:paraId="434692CD">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268" w:type="dxa"/>
            <w:tcBorders>
              <w:top w:val="single" w:color="auto" w:sz="4" w:space="0"/>
              <w:left w:val="single" w:color="auto" w:sz="4" w:space="0"/>
              <w:bottom w:val="single" w:color="auto" w:sz="4" w:space="0"/>
              <w:right w:val="single" w:color="auto" w:sz="4" w:space="0"/>
            </w:tcBorders>
            <w:noWrap w:val="0"/>
            <w:vAlign w:val="center"/>
          </w:tcPr>
          <w:p w14:paraId="5B20858A">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061" w:type="dxa"/>
            <w:tcBorders>
              <w:top w:val="single" w:color="auto" w:sz="4" w:space="0"/>
              <w:left w:val="single" w:color="auto" w:sz="4" w:space="0"/>
              <w:bottom w:val="single" w:color="auto" w:sz="4" w:space="0"/>
              <w:right w:val="single" w:color="auto" w:sz="4" w:space="0"/>
            </w:tcBorders>
            <w:noWrap w:val="0"/>
            <w:vAlign w:val="center"/>
          </w:tcPr>
          <w:p w14:paraId="0B688A0E">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r>
      <w:tr w14:paraId="2EE4F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exact"/>
          <w:jc w:val="center"/>
        </w:trPr>
        <w:tc>
          <w:tcPr>
            <w:tcW w:w="1185" w:type="dxa"/>
            <w:tcBorders>
              <w:top w:val="single" w:color="auto" w:sz="4" w:space="0"/>
              <w:left w:val="single" w:color="auto" w:sz="4" w:space="0"/>
              <w:bottom w:val="single" w:color="auto" w:sz="4" w:space="0"/>
              <w:right w:val="single" w:color="auto" w:sz="4" w:space="0"/>
            </w:tcBorders>
            <w:noWrap w:val="0"/>
            <w:vAlign w:val="center"/>
          </w:tcPr>
          <w:p w14:paraId="19E33B83">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013" w:type="dxa"/>
            <w:tcBorders>
              <w:top w:val="single" w:color="auto" w:sz="4" w:space="0"/>
              <w:left w:val="single" w:color="auto" w:sz="4" w:space="0"/>
              <w:bottom w:val="single" w:color="auto" w:sz="4" w:space="0"/>
              <w:right w:val="single" w:color="auto" w:sz="4" w:space="0"/>
            </w:tcBorders>
            <w:noWrap w:val="0"/>
            <w:vAlign w:val="center"/>
          </w:tcPr>
          <w:p w14:paraId="2E6B323D">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129" w:type="dxa"/>
            <w:tcBorders>
              <w:top w:val="single" w:color="auto" w:sz="4" w:space="0"/>
              <w:left w:val="single" w:color="auto" w:sz="4" w:space="0"/>
              <w:bottom w:val="single" w:color="auto" w:sz="4" w:space="0"/>
              <w:right w:val="single" w:color="auto" w:sz="4" w:space="0"/>
            </w:tcBorders>
            <w:noWrap w:val="0"/>
            <w:vAlign w:val="center"/>
          </w:tcPr>
          <w:p w14:paraId="3752537A">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763" w:type="dxa"/>
            <w:tcBorders>
              <w:top w:val="single" w:color="auto" w:sz="4" w:space="0"/>
              <w:left w:val="single" w:color="auto" w:sz="4" w:space="0"/>
              <w:bottom w:val="single" w:color="auto" w:sz="4" w:space="0"/>
              <w:right w:val="single" w:color="auto" w:sz="4" w:space="0"/>
            </w:tcBorders>
            <w:noWrap w:val="0"/>
            <w:vAlign w:val="center"/>
          </w:tcPr>
          <w:p w14:paraId="475C9A0E">
            <w:pPr>
              <w:keepNext w:val="0"/>
              <w:keepLines w:val="0"/>
              <w:widowControl w:val="0"/>
              <w:suppressLineNumbers w:val="0"/>
              <w:adjustRightInd w:val="0"/>
              <w:spacing w:before="0" w:beforeAutospacing="0" w:after="0" w:afterAutospacing="0" w:line="360" w:lineRule="auto"/>
              <w:ind w:left="0" w:right="0"/>
              <w:jc w:val="both"/>
              <w:rPr>
                <w:rFonts w:hint="eastAsia" w:ascii="宋体" w:hAnsi="宋体" w:eastAsia="宋体" w:cs="宋体"/>
                <w:color w:val="auto"/>
                <w:lang w:val="en-US"/>
              </w:rPr>
            </w:pPr>
          </w:p>
        </w:tc>
        <w:tc>
          <w:tcPr>
            <w:tcW w:w="1717" w:type="dxa"/>
            <w:tcBorders>
              <w:top w:val="single" w:color="auto" w:sz="4" w:space="0"/>
              <w:left w:val="single" w:color="auto" w:sz="4" w:space="0"/>
              <w:bottom w:val="single" w:color="auto" w:sz="4" w:space="0"/>
              <w:right w:val="single" w:color="auto" w:sz="4" w:space="0"/>
            </w:tcBorders>
            <w:noWrap w:val="0"/>
            <w:vAlign w:val="center"/>
          </w:tcPr>
          <w:p w14:paraId="7310CD35">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268" w:type="dxa"/>
            <w:tcBorders>
              <w:top w:val="single" w:color="auto" w:sz="4" w:space="0"/>
              <w:left w:val="single" w:color="auto" w:sz="4" w:space="0"/>
              <w:bottom w:val="single" w:color="auto" w:sz="4" w:space="0"/>
              <w:right w:val="single" w:color="auto" w:sz="4" w:space="0"/>
            </w:tcBorders>
            <w:noWrap w:val="0"/>
            <w:vAlign w:val="center"/>
          </w:tcPr>
          <w:p w14:paraId="7D3CE2B5">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061" w:type="dxa"/>
            <w:tcBorders>
              <w:top w:val="single" w:color="auto" w:sz="4" w:space="0"/>
              <w:left w:val="single" w:color="auto" w:sz="4" w:space="0"/>
              <w:bottom w:val="single" w:color="auto" w:sz="4" w:space="0"/>
              <w:right w:val="single" w:color="auto" w:sz="4" w:space="0"/>
            </w:tcBorders>
            <w:noWrap w:val="0"/>
            <w:vAlign w:val="center"/>
          </w:tcPr>
          <w:p w14:paraId="690BBA85">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r>
      <w:tr w14:paraId="6EFC6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exact"/>
          <w:jc w:val="center"/>
        </w:trPr>
        <w:tc>
          <w:tcPr>
            <w:tcW w:w="1185" w:type="dxa"/>
            <w:tcBorders>
              <w:top w:val="single" w:color="auto" w:sz="4" w:space="0"/>
              <w:left w:val="single" w:color="auto" w:sz="4" w:space="0"/>
              <w:bottom w:val="single" w:color="auto" w:sz="4" w:space="0"/>
              <w:right w:val="single" w:color="auto" w:sz="4" w:space="0"/>
            </w:tcBorders>
            <w:noWrap w:val="0"/>
            <w:vAlign w:val="center"/>
          </w:tcPr>
          <w:p w14:paraId="35C11B55">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013" w:type="dxa"/>
            <w:tcBorders>
              <w:top w:val="single" w:color="auto" w:sz="4" w:space="0"/>
              <w:left w:val="single" w:color="auto" w:sz="4" w:space="0"/>
              <w:bottom w:val="single" w:color="auto" w:sz="4" w:space="0"/>
              <w:right w:val="single" w:color="auto" w:sz="4" w:space="0"/>
            </w:tcBorders>
            <w:noWrap w:val="0"/>
            <w:vAlign w:val="center"/>
          </w:tcPr>
          <w:p w14:paraId="05C728F9">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129" w:type="dxa"/>
            <w:tcBorders>
              <w:top w:val="single" w:color="auto" w:sz="4" w:space="0"/>
              <w:left w:val="single" w:color="auto" w:sz="4" w:space="0"/>
              <w:bottom w:val="single" w:color="auto" w:sz="4" w:space="0"/>
              <w:right w:val="single" w:color="auto" w:sz="4" w:space="0"/>
            </w:tcBorders>
            <w:noWrap w:val="0"/>
            <w:vAlign w:val="center"/>
          </w:tcPr>
          <w:p w14:paraId="4DFE26C7">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763" w:type="dxa"/>
            <w:tcBorders>
              <w:top w:val="single" w:color="auto" w:sz="4" w:space="0"/>
              <w:left w:val="single" w:color="auto" w:sz="4" w:space="0"/>
              <w:bottom w:val="single" w:color="auto" w:sz="4" w:space="0"/>
              <w:right w:val="single" w:color="auto" w:sz="4" w:space="0"/>
            </w:tcBorders>
            <w:noWrap w:val="0"/>
            <w:vAlign w:val="center"/>
          </w:tcPr>
          <w:p w14:paraId="069EC520">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717" w:type="dxa"/>
            <w:tcBorders>
              <w:top w:val="single" w:color="auto" w:sz="4" w:space="0"/>
              <w:left w:val="single" w:color="auto" w:sz="4" w:space="0"/>
              <w:bottom w:val="single" w:color="auto" w:sz="4" w:space="0"/>
              <w:right w:val="single" w:color="auto" w:sz="4" w:space="0"/>
            </w:tcBorders>
            <w:noWrap w:val="0"/>
            <w:vAlign w:val="center"/>
          </w:tcPr>
          <w:p w14:paraId="2E9CB0C1">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268" w:type="dxa"/>
            <w:tcBorders>
              <w:top w:val="single" w:color="auto" w:sz="4" w:space="0"/>
              <w:left w:val="single" w:color="auto" w:sz="4" w:space="0"/>
              <w:bottom w:val="single" w:color="auto" w:sz="4" w:space="0"/>
              <w:right w:val="single" w:color="auto" w:sz="4" w:space="0"/>
            </w:tcBorders>
            <w:noWrap w:val="0"/>
            <w:vAlign w:val="center"/>
          </w:tcPr>
          <w:p w14:paraId="759AB595">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061" w:type="dxa"/>
            <w:tcBorders>
              <w:top w:val="single" w:color="auto" w:sz="4" w:space="0"/>
              <w:left w:val="single" w:color="auto" w:sz="4" w:space="0"/>
              <w:bottom w:val="single" w:color="auto" w:sz="4" w:space="0"/>
              <w:right w:val="single" w:color="auto" w:sz="4" w:space="0"/>
            </w:tcBorders>
            <w:noWrap w:val="0"/>
            <w:vAlign w:val="center"/>
          </w:tcPr>
          <w:p w14:paraId="7D4275FA">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r>
      <w:tr w14:paraId="2A599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exact"/>
          <w:jc w:val="center"/>
        </w:trPr>
        <w:tc>
          <w:tcPr>
            <w:tcW w:w="1185" w:type="dxa"/>
            <w:tcBorders>
              <w:top w:val="single" w:color="auto" w:sz="4" w:space="0"/>
              <w:left w:val="single" w:color="auto" w:sz="4" w:space="0"/>
              <w:bottom w:val="single" w:color="auto" w:sz="4" w:space="0"/>
              <w:right w:val="single" w:color="auto" w:sz="4" w:space="0"/>
            </w:tcBorders>
            <w:noWrap w:val="0"/>
            <w:vAlign w:val="center"/>
          </w:tcPr>
          <w:p w14:paraId="2D5C25E2">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013" w:type="dxa"/>
            <w:tcBorders>
              <w:top w:val="single" w:color="auto" w:sz="4" w:space="0"/>
              <w:left w:val="single" w:color="auto" w:sz="4" w:space="0"/>
              <w:bottom w:val="single" w:color="auto" w:sz="4" w:space="0"/>
              <w:right w:val="single" w:color="auto" w:sz="4" w:space="0"/>
            </w:tcBorders>
            <w:noWrap w:val="0"/>
            <w:vAlign w:val="center"/>
          </w:tcPr>
          <w:p w14:paraId="25B36FEA">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129" w:type="dxa"/>
            <w:tcBorders>
              <w:top w:val="single" w:color="auto" w:sz="4" w:space="0"/>
              <w:left w:val="single" w:color="auto" w:sz="4" w:space="0"/>
              <w:bottom w:val="single" w:color="auto" w:sz="4" w:space="0"/>
              <w:right w:val="single" w:color="auto" w:sz="4" w:space="0"/>
            </w:tcBorders>
            <w:noWrap w:val="0"/>
            <w:vAlign w:val="center"/>
          </w:tcPr>
          <w:p w14:paraId="05413C3C">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763" w:type="dxa"/>
            <w:tcBorders>
              <w:top w:val="single" w:color="auto" w:sz="4" w:space="0"/>
              <w:left w:val="single" w:color="auto" w:sz="4" w:space="0"/>
              <w:bottom w:val="single" w:color="auto" w:sz="4" w:space="0"/>
              <w:right w:val="single" w:color="auto" w:sz="4" w:space="0"/>
            </w:tcBorders>
            <w:noWrap w:val="0"/>
            <w:vAlign w:val="center"/>
          </w:tcPr>
          <w:p w14:paraId="6F29BEAF">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717" w:type="dxa"/>
            <w:tcBorders>
              <w:top w:val="single" w:color="auto" w:sz="4" w:space="0"/>
              <w:left w:val="single" w:color="auto" w:sz="4" w:space="0"/>
              <w:bottom w:val="single" w:color="auto" w:sz="4" w:space="0"/>
              <w:right w:val="single" w:color="auto" w:sz="4" w:space="0"/>
            </w:tcBorders>
            <w:noWrap w:val="0"/>
            <w:vAlign w:val="center"/>
          </w:tcPr>
          <w:p w14:paraId="2C37E464">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268" w:type="dxa"/>
            <w:tcBorders>
              <w:top w:val="single" w:color="auto" w:sz="4" w:space="0"/>
              <w:left w:val="single" w:color="auto" w:sz="4" w:space="0"/>
              <w:bottom w:val="single" w:color="auto" w:sz="4" w:space="0"/>
              <w:right w:val="single" w:color="auto" w:sz="4" w:space="0"/>
            </w:tcBorders>
            <w:noWrap w:val="0"/>
            <w:vAlign w:val="center"/>
          </w:tcPr>
          <w:p w14:paraId="2DF830AF">
            <w:pPr>
              <w:keepNext w:val="0"/>
              <w:keepLines w:val="0"/>
              <w:widowControl w:val="0"/>
              <w:suppressLineNumbers w:val="0"/>
              <w:adjustRightInd w:val="0"/>
              <w:spacing w:before="0" w:beforeAutospacing="0" w:after="0" w:afterAutospacing="0" w:line="360" w:lineRule="auto"/>
              <w:ind w:left="0" w:right="0"/>
              <w:jc w:val="center"/>
              <w:rPr>
                <w:rFonts w:hint="eastAsia" w:ascii="宋体" w:hAnsi="宋体" w:eastAsia="宋体" w:cs="宋体"/>
                <w:color w:val="auto"/>
                <w:lang w:val="en-US"/>
              </w:rPr>
            </w:pPr>
          </w:p>
        </w:tc>
        <w:tc>
          <w:tcPr>
            <w:tcW w:w="1061" w:type="dxa"/>
            <w:tcBorders>
              <w:top w:val="single" w:color="auto" w:sz="4" w:space="0"/>
              <w:left w:val="single" w:color="auto" w:sz="4" w:space="0"/>
              <w:bottom w:val="single" w:color="auto" w:sz="4" w:space="0"/>
              <w:right w:val="single" w:color="auto" w:sz="4" w:space="0"/>
            </w:tcBorders>
            <w:noWrap w:val="0"/>
            <w:vAlign w:val="center"/>
          </w:tcPr>
          <w:p w14:paraId="7DF7D378">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r>
      <w:tr w14:paraId="7C03B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exact"/>
          <w:jc w:val="center"/>
        </w:trPr>
        <w:tc>
          <w:tcPr>
            <w:tcW w:w="1185" w:type="dxa"/>
            <w:tcBorders>
              <w:top w:val="single" w:color="auto" w:sz="4" w:space="0"/>
              <w:left w:val="single" w:color="auto" w:sz="4" w:space="0"/>
              <w:bottom w:val="single" w:color="auto" w:sz="4" w:space="0"/>
              <w:right w:val="single" w:color="auto" w:sz="4" w:space="0"/>
            </w:tcBorders>
            <w:noWrap w:val="0"/>
            <w:vAlign w:val="center"/>
          </w:tcPr>
          <w:p w14:paraId="7794F4D4">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013" w:type="dxa"/>
            <w:tcBorders>
              <w:top w:val="single" w:color="auto" w:sz="4" w:space="0"/>
              <w:left w:val="single" w:color="auto" w:sz="4" w:space="0"/>
              <w:bottom w:val="single" w:color="auto" w:sz="4" w:space="0"/>
              <w:right w:val="single" w:color="auto" w:sz="4" w:space="0"/>
            </w:tcBorders>
            <w:noWrap w:val="0"/>
            <w:vAlign w:val="center"/>
          </w:tcPr>
          <w:p w14:paraId="0A6B109F">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129" w:type="dxa"/>
            <w:tcBorders>
              <w:top w:val="single" w:color="auto" w:sz="4" w:space="0"/>
              <w:left w:val="single" w:color="auto" w:sz="4" w:space="0"/>
              <w:bottom w:val="single" w:color="auto" w:sz="4" w:space="0"/>
              <w:right w:val="single" w:color="auto" w:sz="4" w:space="0"/>
            </w:tcBorders>
            <w:noWrap w:val="0"/>
            <w:vAlign w:val="center"/>
          </w:tcPr>
          <w:p w14:paraId="76A25AEB">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763" w:type="dxa"/>
            <w:tcBorders>
              <w:top w:val="single" w:color="auto" w:sz="4" w:space="0"/>
              <w:left w:val="single" w:color="auto" w:sz="4" w:space="0"/>
              <w:bottom w:val="single" w:color="auto" w:sz="4" w:space="0"/>
              <w:right w:val="single" w:color="auto" w:sz="4" w:space="0"/>
            </w:tcBorders>
            <w:noWrap w:val="0"/>
            <w:vAlign w:val="center"/>
          </w:tcPr>
          <w:p w14:paraId="0FFFE989">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717" w:type="dxa"/>
            <w:tcBorders>
              <w:top w:val="single" w:color="auto" w:sz="4" w:space="0"/>
              <w:left w:val="single" w:color="auto" w:sz="4" w:space="0"/>
              <w:bottom w:val="single" w:color="auto" w:sz="4" w:space="0"/>
              <w:right w:val="single" w:color="auto" w:sz="4" w:space="0"/>
            </w:tcBorders>
            <w:noWrap w:val="0"/>
            <w:vAlign w:val="center"/>
          </w:tcPr>
          <w:p w14:paraId="0632FFC0">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268" w:type="dxa"/>
            <w:tcBorders>
              <w:top w:val="single" w:color="auto" w:sz="4" w:space="0"/>
              <w:left w:val="single" w:color="auto" w:sz="4" w:space="0"/>
              <w:bottom w:val="single" w:color="auto" w:sz="4" w:space="0"/>
              <w:right w:val="single" w:color="auto" w:sz="4" w:space="0"/>
            </w:tcBorders>
            <w:noWrap w:val="0"/>
            <w:vAlign w:val="center"/>
          </w:tcPr>
          <w:p w14:paraId="3B35C0D8">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061" w:type="dxa"/>
            <w:tcBorders>
              <w:top w:val="single" w:color="auto" w:sz="4" w:space="0"/>
              <w:left w:val="single" w:color="auto" w:sz="4" w:space="0"/>
              <w:bottom w:val="single" w:color="auto" w:sz="4" w:space="0"/>
              <w:right w:val="single" w:color="auto" w:sz="4" w:space="0"/>
            </w:tcBorders>
            <w:noWrap w:val="0"/>
            <w:vAlign w:val="center"/>
          </w:tcPr>
          <w:p w14:paraId="060CD4BA">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r>
      <w:tr w14:paraId="7E3E6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exact"/>
          <w:jc w:val="center"/>
        </w:trPr>
        <w:tc>
          <w:tcPr>
            <w:tcW w:w="1185" w:type="dxa"/>
            <w:tcBorders>
              <w:top w:val="single" w:color="auto" w:sz="4" w:space="0"/>
              <w:left w:val="single" w:color="auto" w:sz="4" w:space="0"/>
              <w:bottom w:val="single" w:color="auto" w:sz="4" w:space="0"/>
              <w:right w:val="single" w:color="auto" w:sz="4" w:space="0"/>
            </w:tcBorders>
            <w:noWrap w:val="0"/>
            <w:vAlign w:val="center"/>
          </w:tcPr>
          <w:p w14:paraId="4497B014">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013" w:type="dxa"/>
            <w:tcBorders>
              <w:top w:val="single" w:color="auto" w:sz="4" w:space="0"/>
              <w:left w:val="single" w:color="auto" w:sz="4" w:space="0"/>
              <w:bottom w:val="single" w:color="auto" w:sz="4" w:space="0"/>
              <w:right w:val="single" w:color="auto" w:sz="4" w:space="0"/>
            </w:tcBorders>
            <w:noWrap w:val="0"/>
            <w:vAlign w:val="center"/>
          </w:tcPr>
          <w:p w14:paraId="57A36EF0">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129" w:type="dxa"/>
            <w:tcBorders>
              <w:top w:val="single" w:color="auto" w:sz="4" w:space="0"/>
              <w:left w:val="single" w:color="auto" w:sz="4" w:space="0"/>
              <w:bottom w:val="single" w:color="auto" w:sz="4" w:space="0"/>
              <w:right w:val="single" w:color="auto" w:sz="4" w:space="0"/>
            </w:tcBorders>
            <w:noWrap w:val="0"/>
            <w:vAlign w:val="center"/>
          </w:tcPr>
          <w:p w14:paraId="77E574E8">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763" w:type="dxa"/>
            <w:tcBorders>
              <w:top w:val="single" w:color="auto" w:sz="4" w:space="0"/>
              <w:left w:val="single" w:color="auto" w:sz="4" w:space="0"/>
              <w:bottom w:val="single" w:color="auto" w:sz="4" w:space="0"/>
              <w:right w:val="single" w:color="auto" w:sz="4" w:space="0"/>
            </w:tcBorders>
            <w:noWrap w:val="0"/>
            <w:vAlign w:val="center"/>
          </w:tcPr>
          <w:p w14:paraId="69E6B9F8">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717" w:type="dxa"/>
            <w:tcBorders>
              <w:top w:val="single" w:color="auto" w:sz="4" w:space="0"/>
              <w:left w:val="single" w:color="auto" w:sz="4" w:space="0"/>
              <w:bottom w:val="single" w:color="auto" w:sz="4" w:space="0"/>
              <w:right w:val="single" w:color="auto" w:sz="4" w:space="0"/>
            </w:tcBorders>
            <w:noWrap w:val="0"/>
            <w:vAlign w:val="center"/>
          </w:tcPr>
          <w:p w14:paraId="1D1C8746">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268" w:type="dxa"/>
            <w:tcBorders>
              <w:top w:val="single" w:color="auto" w:sz="4" w:space="0"/>
              <w:left w:val="single" w:color="auto" w:sz="4" w:space="0"/>
              <w:bottom w:val="single" w:color="auto" w:sz="4" w:space="0"/>
              <w:right w:val="single" w:color="auto" w:sz="4" w:space="0"/>
            </w:tcBorders>
            <w:noWrap w:val="0"/>
            <w:vAlign w:val="center"/>
          </w:tcPr>
          <w:p w14:paraId="295ECE0E">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061" w:type="dxa"/>
            <w:tcBorders>
              <w:top w:val="single" w:color="auto" w:sz="4" w:space="0"/>
              <w:left w:val="single" w:color="auto" w:sz="4" w:space="0"/>
              <w:bottom w:val="single" w:color="auto" w:sz="4" w:space="0"/>
              <w:right w:val="single" w:color="auto" w:sz="4" w:space="0"/>
            </w:tcBorders>
            <w:noWrap w:val="0"/>
            <w:vAlign w:val="center"/>
          </w:tcPr>
          <w:p w14:paraId="42890050">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r>
      <w:tr w14:paraId="51574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0" w:hRule="exact"/>
          <w:jc w:val="center"/>
        </w:trPr>
        <w:tc>
          <w:tcPr>
            <w:tcW w:w="1185" w:type="dxa"/>
            <w:tcBorders>
              <w:top w:val="single" w:color="auto" w:sz="4" w:space="0"/>
              <w:left w:val="single" w:color="auto" w:sz="4" w:space="0"/>
              <w:bottom w:val="single" w:color="auto" w:sz="4" w:space="0"/>
              <w:right w:val="single" w:color="auto" w:sz="4" w:space="0"/>
            </w:tcBorders>
            <w:noWrap w:val="0"/>
            <w:vAlign w:val="center"/>
          </w:tcPr>
          <w:p w14:paraId="78374449">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r>
              <w:rPr>
                <w:rFonts w:hint="eastAsia" w:ascii="宋体" w:hAnsi="宋体" w:eastAsia="宋体" w:cs="宋体"/>
                <w:color w:val="auto"/>
                <w:kern w:val="0"/>
                <w:sz w:val="24"/>
                <w:szCs w:val="21"/>
                <w:lang w:val="en-US" w:eastAsia="zh-CN" w:bidi="ar"/>
              </w:rPr>
              <w:t>...</w:t>
            </w:r>
          </w:p>
        </w:tc>
        <w:tc>
          <w:tcPr>
            <w:tcW w:w="1013" w:type="dxa"/>
            <w:tcBorders>
              <w:top w:val="single" w:color="auto" w:sz="4" w:space="0"/>
              <w:left w:val="single" w:color="auto" w:sz="4" w:space="0"/>
              <w:bottom w:val="single" w:color="auto" w:sz="4" w:space="0"/>
              <w:right w:val="single" w:color="auto" w:sz="4" w:space="0"/>
            </w:tcBorders>
            <w:noWrap w:val="0"/>
            <w:vAlign w:val="center"/>
          </w:tcPr>
          <w:p w14:paraId="01C6CCA4">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129" w:type="dxa"/>
            <w:tcBorders>
              <w:top w:val="single" w:color="auto" w:sz="4" w:space="0"/>
              <w:left w:val="single" w:color="auto" w:sz="4" w:space="0"/>
              <w:bottom w:val="single" w:color="auto" w:sz="4" w:space="0"/>
              <w:right w:val="single" w:color="auto" w:sz="4" w:space="0"/>
            </w:tcBorders>
            <w:noWrap w:val="0"/>
            <w:vAlign w:val="center"/>
          </w:tcPr>
          <w:p w14:paraId="390B29F8">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763" w:type="dxa"/>
            <w:tcBorders>
              <w:top w:val="single" w:color="auto" w:sz="4" w:space="0"/>
              <w:left w:val="single" w:color="auto" w:sz="4" w:space="0"/>
              <w:bottom w:val="single" w:color="auto" w:sz="4" w:space="0"/>
              <w:right w:val="single" w:color="auto" w:sz="4" w:space="0"/>
            </w:tcBorders>
            <w:noWrap w:val="0"/>
            <w:vAlign w:val="center"/>
          </w:tcPr>
          <w:p w14:paraId="22745566">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717" w:type="dxa"/>
            <w:tcBorders>
              <w:top w:val="single" w:color="auto" w:sz="4" w:space="0"/>
              <w:left w:val="single" w:color="auto" w:sz="4" w:space="0"/>
              <w:bottom w:val="single" w:color="auto" w:sz="4" w:space="0"/>
              <w:right w:val="single" w:color="auto" w:sz="4" w:space="0"/>
            </w:tcBorders>
            <w:noWrap w:val="0"/>
            <w:vAlign w:val="center"/>
          </w:tcPr>
          <w:p w14:paraId="17D4F257">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268" w:type="dxa"/>
            <w:tcBorders>
              <w:top w:val="single" w:color="auto" w:sz="4" w:space="0"/>
              <w:left w:val="single" w:color="auto" w:sz="4" w:space="0"/>
              <w:bottom w:val="single" w:color="auto" w:sz="4" w:space="0"/>
              <w:right w:val="single" w:color="auto" w:sz="4" w:space="0"/>
            </w:tcBorders>
            <w:noWrap w:val="0"/>
            <w:vAlign w:val="center"/>
          </w:tcPr>
          <w:p w14:paraId="2FA7363B">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c>
          <w:tcPr>
            <w:tcW w:w="1061" w:type="dxa"/>
            <w:tcBorders>
              <w:top w:val="single" w:color="auto" w:sz="4" w:space="0"/>
              <w:left w:val="single" w:color="auto" w:sz="4" w:space="0"/>
              <w:bottom w:val="single" w:color="auto" w:sz="4" w:space="0"/>
              <w:right w:val="single" w:color="auto" w:sz="4" w:space="0"/>
            </w:tcBorders>
            <w:noWrap w:val="0"/>
            <w:vAlign w:val="center"/>
          </w:tcPr>
          <w:p w14:paraId="36C75342">
            <w:pPr>
              <w:keepNext w:val="0"/>
              <w:keepLines w:val="0"/>
              <w:widowControl w:val="0"/>
              <w:suppressLineNumbers w:val="0"/>
              <w:adjustRightInd w:val="0"/>
              <w:spacing w:before="0" w:beforeAutospacing="0" w:after="0" w:afterAutospacing="0" w:line="360" w:lineRule="exact"/>
              <w:ind w:left="0" w:right="0"/>
              <w:jc w:val="center"/>
              <w:rPr>
                <w:rFonts w:hint="eastAsia" w:ascii="宋体" w:hAnsi="宋体" w:eastAsia="宋体" w:cs="宋体"/>
                <w:color w:val="auto"/>
                <w:sz w:val="24"/>
                <w:szCs w:val="21"/>
                <w:lang w:val="en-US"/>
              </w:rPr>
            </w:pPr>
          </w:p>
        </w:tc>
      </w:tr>
    </w:tbl>
    <w:p w14:paraId="44201F57">
      <w:pPr>
        <w:keepNext w:val="0"/>
        <w:keepLines w:val="0"/>
        <w:widowControl w:val="0"/>
        <w:suppressLineNumbers w:val="0"/>
        <w:adjustRightInd w:val="0"/>
        <w:spacing w:before="0" w:beforeAutospacing="0" w:after="0" w:afterAutospacing="0" w:line="396" w:lineRule="auto"/>
        <w:ind w:left="0" w:right="17"/>
        <w:jc w:val="both"/>
        <w:rPr>
          <w:rFonts w:hint="eastAsia" w:ascii="宋体" w:hAnsi="宋体" w:eastAsia="宋体" w:cs="宋体"/>
          <w:color w:val="auto"/>
          <w:lang w:val="en-US"/>
        </w:rPr>
      </w:pPr>
    </w:p>
    <w:p w14:paraId="21AA46DA">
      <w:pPr>
        <w:keepNext w:val="0"/>
        <w:keepLines w:val="0"/>
        <w:widowControl w:val="0"/>
        <w:suppressLineNumbers w:val="0"/>
        <w:adjustRightInd w:val="0"/>
        <w:spacing w:before="0" w:beforeAutospacing="0" w:after="0" w:afterAutospacing="0" w:line="396" w:lineRule="auto"/>
        <w:ind w:left="0" w:right="17"/>
        <w:jc w:val="both"/>
        <w:rPr>
          <w:rFonts w:hint="eastAsia" w:ascii="宋体" w:hAnsi="宋体" w:eastAsia="宋体" w:cs="宋体"/>
          <w:color w:val="auto"/>
          <w:lang w:val="en-US"/>
        </w:rPr>
      </w:pPr>
    </w:p>
    <w:p w14:paraId="4CF5033F">
      <w:pPr>
        <w:spacing w:line="480" w:lineRule="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供应商</w:t>
      </w:r>
      <w:r>
        <w:rPr>
          <w:rFonts w:hint="eastAsia" w:ascii="宋体" w:hAnsi="宋体" w:eastAsia="宋体" w:cs="宋体"/>
          <w:color w:val="auto"/>
          <w:sz w:val="24"/>
          <w:szCs w:val="24"/>
        </w:rPr>
        <w:t>代表签字或签章：</w:t>
      </w:r>
    </w:p>
    <w:p w14:paraId="5B23FB5B">
      <w:pPr>
        <w:spacing w:line="480" w:lineRule="auto"/>
        <w:rPr>
          <w:rFonts w:hint="eastAsia" w:ascii="宋体" w:hAnsi="宋体" w:eastAsia="宋体" w:cs="宋体"/>
          <w:color w:val="auto"/>
          <w:sz w:val="24"/>
          <w:szCs w:val="24"/>
          <w:u w:val="single"/>
        </w:rPr>
      </w:pPr>
      <w:r>
        <w:rPr>
          <w:rFonts w:hint="eastAsia" w:ascii="宋体" w:hAnsi="宋体" w:eastAsia="宋体" w:cs="宋体"/>
          <w:color w:val="auto"/>
          <w:sz w:val="24"/>
          <w:szCs w:val="24"/>
          <w:lang w:eastAsia="zh-CN"/>
        </w:rPr>
        <w:t>供应商</w:t>
      </w:r>
      <w:r>
        <w:rPr>
          <w:rFonts w:hint="eastAsia" w:ascii="宋体" w:hAnsi="宋体" w:eastAsia="宋体" w:cs="宋体"/>
          <w:color w:val="auto"/>
          <w:sz w:val="24"/>
          <w:szCs w:val="24"/>
        </w:rPr>
        <w:t>签章：</w:t>
      </w:r>
    </w:p>
    <w:p w14:paraId="540C1F5D">
      <w:pPr>
        <w:spacing w:line="480" w:lineRule="auto"/>
        <w:rPr>
          <w:rFonts w:hint="eastAsia" w:ascii="宋体" w:hAnsi="宋体" w:eastAsia="宋体" w:cs="宋体"/>
          <w:b/>
          <w:bCs/>
          <w:color w:val="auto"/>
          <w:sz w:val="24"/>
          <w:szCs w:val="24"/>
        </w:rPr>
      </w:pPr>
      <w:r>
        <w:rPr>
          <w:rFonts w:hint="eastAsia" w:ascii="宋体" w:hAnsi="宋体" w:eastAsia="宋体" w:cs="宋体"/>
          <w:color w:val="auto"/>
          <w:sz w:val="24"/>
          <w:szCs w:val="24"/>
        </w:rPr>
        <w:t>日期：</w:t>
      </w:r>
    </w:p>
    <w:p w14:paraId="47579924">
      <w:pPr>
        <w:adjustRightInd/>
        <w:snapToGrid/>
        <w:spacing w:line="360" w:lineRule="auto"/>
        <w:jc w:val="center"/>
        <w:outlineLvl w:val="2"/>
        <w:rPr>
          <w:rFonts w:hint="eastAsia" w:ascii="宋体" w:hAnsi="宋体" w:eastAsia="宋体" w:cs="宋体"/>
          <w:b/>
          <w:bCs/>
          <w:color w:val="auto"/>
          <w:sz w:val="24"/>
          <w:szCs w:val="24"/>
          <w:highlight w:val="none"/>
          <w:lang w:val="en-US" w:eastAsia="zh-CN" w:bidi="ar-SA"/>
        </w:rPr>
      </w:pPr>
    </w:p>
    <w:p w14:paraId="6533F78F">
      <w:pPr>
        <w:adjustRightInd/>
        <w:snapToGrid/>
        <w:spacing w:line="360" w:lineRule="auto"/>
        <w:jc w:val="center"/>
        <w:outlineLvl w:val="2"/>
        <w:rPr>
          <w:rFonts w:hint="eastAsia" w:ascii="宋体" w:hAnsi="宋体" w:eastAsia="宋体" w:cs="宋体"/>
          <w:b/>
          <w:bCs/>
          <w:color w:val="auto"/>
          <w:sz w:val="24"/>
          <w:szCs w:val="24"/>
          <w:highlight w:val="none"/>
          <w:lang w:val="en-US" w:eastAsia="zh-CN" w:bidi="ar-SA"/>
        </w:rPr>
      </w:pPr>
    </w:p>
    <w:p w14:paraId="117584C0">
      <w:pPr>
        <w:adjustRightInd/>
        <w:snapToGrid/>
        <w:spacing w:line="360" w:lineRule="auto"/>
        <w:jc w:val="center"/>
        <w:outlineLvl w:val="2"/>
        <w:rPr>
          <w:rFonts w:hint="eastAsia" w:ascii="宋体" w:hAnsi="宋体" w:eastAsia="宋体" w:cs="宋体"/>
          <w:b/>
          <w:bCs/>
          <w:color w:val="auto"/>
          <w:sz w:val="24"/>
          <w:szCs w:val="24"/>
          <w:highlight w:val="none"/>
          <w:lang w:val="en-US" w:eastAsia="zh-CN" w:bidi="ar-SA"/>
        </w:rPr>
      </w:pPr>
    </w:p>
    <w:p w14:paraId="4920326A">
      <w:pPr>
        <w:adjustRightInd/>
        <w:snapToGrid/>
        <w:spacing w:line="360" w:lineRule="auto"/>
        <w:jc w:val="center"/>
        <w:outlineLvl w:val="2"/>
        <w:rPr>
          <w:rFonts w:hint="eastAsia" w:ascii="宋体" w:hAnsi="宋体" w:eastAsia="宋体" w:cs="宋体"/>
          <w:b/>
          <w:bCs/>
          <w:color w:val="auto"/>
          <w:sz w:val="24"/>
          <w:szCs w:val="24"/>
          <w:highlight w:val="none"/>
          <w:lang w:val="en-US" w:eastAsia="zh-CN" w:bidi="ar-SA"/>
        </w:rPr>
      </w:pPr>
    </w:p>
    <w:p w14:paraId="48E0BA4E">
      <w:pPr>
        <w:adjustRightInd/>
        <w:snapToGrid/>
        <w:spacing w:line="360" w:lineRule="auto"/>
        <w:jc w:val="center"/>
        <w:outlineLvl w:val="2"/>
        <w:rPr>
          <w:rFonts w:hint="eastAsia" w:ascii="宋体" w:hAnsi="宋体" w:eastAsia="宋体" w:cs="宋体"/>
          <w:b/>
          <w:bCs/>
          <w:color w:val="auto"/>
          <w:sz w:val="24"/>
          <w:szCs w:val="24"/>
          <w:highlight w:val="none"/>
          <w:lang w:val="en-US" w:eastAsia="zh-CN" w:bidi="ar-SA"/>
        </w:rPr>
      </w:pPr>
    </w:p>
    <w:p w14:paraId="3E82E0D5">
      <w:pPr>
        <w:adjustRightInd/>
        <w:snapToGrid/>
        <w:spacing w:line="360" w:lineRule="auto"/>
        <w:jc w:val="left"/>
        <w:outlineLvl w:val="2"/>
        <w:rPr>
          <w:rFonts w:hint="eastAsia" w:ascii="宋体" w:hAnsi="宋体" w:eastAsia="宋体" w:cs="宋体"/>
          <w:b/>
          <w:bCs/>
          <w:color w:val="auto"/>
          <w:sz w:val="24"/>
          <w:szCs w:val="24"/>
          <w:highlight w:val="none"/>
          <w:lang w:val="en-US" w:eastAsia="zh-CN" w:bidi="ar-SA"/>
        </w:rPr>
      </w:pPr>
      <w:r>
        <w:rPr>
          <w:rFonts w:hint="eastAsia" w:ascii="宋体" w:hAnsi="宋体" w:eastAsia="宋体" w:cs="宋体"/>
          <w:b/>
          <w:bCs/>
          <w:color w:val="auto"/>
          <w:sz w:val="24"/>
          <w:szCs w:val="24"/>
          <w:highlight w:val="none"/>
          <w:lang w:val="en-US" w:eastAsia="zh-CN" w:bidi="ar-SA"/>
        </w:rPr>
        <w:t>附表 2：</w:t>
      </w:r>
    </w:p>
    <w:p w14:paraId="16BC3153">
      <w:pPr>
        <w:pStyle w:val="12"/>
        <w:rPr>
          <w:rFonts w:hint="eastAsia" w:ascii="宋体" w:hAnsi="宋体" w:eastAsia="宋体" w:cs="宋体"/>
          <w:lang w:val="en-US" w:eastAsia="zh-CN"/>
        </w:rPr>
      </w:pPr>
    </w:p>
    <w:p w14:paraId="12D8F458">
      <w:pPr>
        <w:spacing w:line="240" w:lineRule="auto"/>
        <w:ind w:firstLine="3855" w:firstLineChars="1600"/>
        <w:rPr>
          <w:rFonts w:hint="eastAsia" w:ascii="宋体" w:hAnsi="宋体" w:eastAsia="宋体" w:cs="宋体"/>
          <w:b/>
          <w:color w:val="auto"/>
          <w:sz w:val="24"/>
          <w:szCs w:val="24"/>
        </w:rPr>
      </w:pPr>
      <w:r>
        <w:rPr>
          <w:rFonts w:hint="eastAsia" w:ascii="宋体" w:hAnsi="宋体" w:eastAsia="宋体" w:cs="宋体"/>
          <w:b/>
          <w:color w:val="auto"/>
          <w:sz w:val="24"/>
          <w:szCs w:val="24"/>
        </w:rPr>
        <w:t>仪器设备清单</w:t>
      </w:r>
    </w:p>
    <w:p w14:paraId="70D7D1EB">
      <w:pPr>
        <w:spacing w:line="240" w:lineRule="auto"/>
        <w:ind w:firstLine="3855" w:firstLineChars="1600"/>
        <w:rPr>
          <w:rFonts w:hint="eastAsia" w:ascii="宋体" w:hAnsi="宋体" w:eastAsia="宋体" w:cs="宋体"/>
          <w:b/>
          <w:color w:val="auto"/>
          <w:sz w:val="24"/>
          <w:szCs w:val="24"/>
        </w:rPr>
      </w:pPr>
    </w:p>
    <w:p w14:paraId="25D89948">
      <w:pPr>
        <w:spacing w:line="240" w:lineRule="auto"/>
        <w:ind w:firstLine="3855" w:firstLineChars="1600"/>
        <w:rPr>
          <w:rFonts w:hint="eastAsia" w:ascii="宋体" w:hAnsi="宋体" w:eastAsia="宋体" w:cs="宋体"/>
          <w:b/>
          <w:color w:val="auto"/>
          <w:sz w:val="24"/>
          <w:szCs w:val="24"/>
        </w:rPr>
      </w:pPr>
    </w:p>
    <w:tbl>
      <w:tblPr>
        <w:tblStyle w:val="7"/>
        <w:tblpPr w:leftFromText="180" w:rightFromText="180" w:vertAnchor="text" w:horzAnchor="page" w:tblpXSpec="center" w:tblpY="203"/>
        <w:tblOverlap w:val="never"/>
        <w:tblW w:w="98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1"/>
        <w:gridCol w:w="1036"/>
        <w:gridCol w:w="977"/>
        <w:gridCol w:w="678"/>
        <w:gridCol w:w="943"/>
        <w:gridCol w:w="936"/>
        <w:gridCol w:w="800"/>
        <w:gridCol w:w="1050"/>
        <w:gridCol w:w="704"/>
        <w:gridCol w:w="980"/>
        <w:gridCol w:w="980"/>
      </w:tblGrid>
      <w:tr w14:paraId="7C225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8" w:hRule="atLeast"/>
          <w:jc w:val="center"/>
        </w:trPr>
        <w:tc>
          <w:tcPr>
            <w:tcW w:w="731" w:type="dxa"/>
            <w:noWrap w:val="0"/>
            <w:vAlign w:val="center"/>
          </w:tcPr>
          <w:p w14:paraId="4E497A5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auto"/>
                <w:sz w:val="24"/>
                <w:szCs w:val="24"/>
                <w:vertAlign w:val="baseline"/>
              </w:rPr>
            </w:pPr>
            <w:r>
              <w:rPr>
                <w:rFonts w:hint="eastAsia" w:ascii="宋体" w:hAnsi="宋体" w:eastAsia="宋体" w:cs="宋体"/>
                <w:i w:val="0"/>
                <w:color w:val="000000"/>
                <w:kern w:val="0"/>
                <w:sz w:val="20"/>
                <w:szCs w:val="20"/>
                <w:u w:val="none"/>
                <w:lang w:val="en-US" w:eastAsia="zh-CN" w:bidi="ar"/>
              </w:rPr>
              <w:t>序号</w:t>
            </w:r>
          </w:p>
        </w:tc>
        <w:tc>
          <w:tcPr>
            <w:tcW w:w="1036" w:type="dxa"/>
            <w:noWrap w:val="0"/>
            <w:vAlign w:val="center"/>
          </w:tcPr>
          <w:p w14:paraId="239A125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统一</w:t>
            </w:r>
          </w:p>
          <w:p w14:paraId="40625F0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auto"/>
                <w:sz w:val="24"/>
                <w:szCs w:val="24"/>
                <w:vertAlign w:val="baseline"/>
              </w:rPr>
            </w:pPr>
            <w:r>
              <w:rPr>
                <w:rFonts w:hint="eastAsia" w:ascii="宋体" w:hAnsi="宋体" w:eastAsia="宋体" w:cs="宋体"/>
                <w:i w:val="0"/>
                <w:color w:val="000000"/>
                <w:kern w:val="0"/>
                <w:sz w:val="20"/>
                <w:szCs w:val="20"/>
                <w:u w:val="none"/>
                <w:lang w:val="en-US" w:eastAsia="zh-CN" w:bidi="ar"/>
              </w:rPr>
              <w:t>编号</w:t>
            </w:r>
          </w:p>
        </w:tc>
        <w:tc>
          <w:tcPr>
            <w:tcW w:w="977" w:type="dxa"/>
            <w:noWrap w:val="0"/>
            <w:vAlign w:val="center"/>
          </w:tcPr>
          <w:p w14:paraId="3BC3CFD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设备</w:t>
            </w:r>
          </w:p>
          <w:p w14:paraId="263459D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auto"/>
                <w:sz w:val="24"/>
                <w:szCs w:val="24"/>
                <w:vertAlign w:val="baseline"/>
              </w:rPr>
            </w:pPr>
            <w:r>
              <w:rPr>
                <w:rFonts w:hint="eastAsia" w:ascii="宋体" w:hAnsi="宋体" w:eastAsia="宋体" w:cs="宋体"/>
                <w:i w:val="0"/>
                <w:color w:val="000000"/>
                <w:kern w:val="0"/>
                <w:sz w:val="20"/>
                <w:szCs w:val="20"/>
                <w:u w:val="none"/>
                <w:lang w:val="en-US" w:eastAsia="zh-CN" w:bidi="ar"/>
              </w:rPr>
              <w:t>名称</w:t>
            </w:r>
          </w:p>
        </w:tc>
        <w:tc>
          <w:tcPr>
            <w:tcW w:w="678" w:type="dxa"/>
            <w:noWrap w:val="0"/>
            <w:vAlign w:val="center"/>
          </w:tcPr>
          <w:p w14:paraId="7603231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auto"/>
                <w:sz w:val="24"/>
                <w:szCs w:val="24"/>
                <w:vertAlign w:val="baseline"/>
              </w:rPr>
            </w:pPr>
            <w:r>
              <w:rPr>
                <w:rFonts w:hint="eastAsia" w:ascii="宋体" w:hAnsi="宋体" w:eastAsia="宋体" w:cs="宋体"/>
                <w:i w:val="0"/>
                <w:color w:val="000000"/>
                <w:kern w:val="0"/>
                <w:sz w:val="20"/>
                <w:szCs w:val="20"/>
                <w:u w:val="none"/>
                <w:lang w:val="en-US" w:eastAsia="zh-CN" w:bidi="ar"/>
              </w:rPr>
              <w:t>型号</w:t>
            </w:r>
          </w:p>
        </w:tc>
        <w:tc>
          <w:tcPr>
            <w:tcW w:w="943" w:type="dxa"/>
            <w:noWrap w:val="0"/>
            <w:vAlign w:val="center"/>
          </w:tcPr>
          <w:p w14:paraId="09F4A8F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生产</w:t>
            </w:r>
          </w:p>
          <w:p w14:paraId="4B930DC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auto"/>
                <w:sz w:val="24"/>
                <w:szCs w:val="24"/>
                <w:vertAlign w:val="baseline"/>
              </w:rPr>
            </w:pPr>
            <w:r>
              <w:rPr>
                <w:rFonts w:hint="eastAsia" w:ascii="宋体" w:hAnsi="宋体" w:eastAsia="宋体" w:cs="宋体"/>
                <w:i w:val="0"/>
                <w:color w:val="000000"/>
                <w:kern w:val="0"/>
                <w:sz w:val="20"/>
                <w:szCs w:val="20"/>
                <w:u w:val="none"/>
                <w:lang w:val="en-US" w:eastAsia="zh-CN" w:bidi="ar"/>
              </w:rPr>
              <w:t>厂家</w:t>
            </w:r>
          </w:p>
        </w:tc>
        <w:tc>
          <w:tcPr>
            <w:tcW w:w="936" w:type="dxa"/>
            <w:noWrap w:val="0"/>
            <w:vAlign w:val="center"/>
          </w:tcPr>
          <w:p w14:paraId="18D740C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出厂</w:t>
            </w:r>
          </w:p>
          <w:p w14:paraId="41BAAD8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auto"/>
                <w:sz w:val="24"/>
                <w:szCs w:val="24"/>
                <w:vertAlign w:val="baseline"/>
              </w:rPr>
            </w:pPr>
            <w:r>
              <w:rPr>
                <w:rFonts w:hint="eastAsia" w:ascii="宋体" w:hAnsi="宋体" w:eastAsia="宋体" w:cs="宋体"/>
                <w:i w:val="0"/>
                <w:color w:val="000000"/>
                <w:kern w:val="0"/>
                <w:sz w:val="20"/>
                <w:szCs w:val="20"/>
                <w:u w:val="none"/>
                <w:lang w:val="en-US" w:eastAsia="zh-CN" w:bidi="ar"/>
              </w:rPr>
              <w:t>编号</w:t>
            </w:r>
          </w:p>
        </w:tc>
        <w:tc>
          <w:tcPr>
            <w:tcW w:w="800" w:type="dxa"/>
            <w:noWrap w:val="0"/>
            <w:vAlign w:val="center"/>
          </w:tcPr>
          <w:p w14:paraId="4B930A6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原值</w:t>
            </w:r>
          </w:p>
          <w:p w14:paraId="35DBEEC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auto"/>
                <w:sz w:val="24"/>
                <w:szCs w:val="24"/>
                <w:vertAlign w:val="baseline"/>
              </w:rPr>
            </w:pPr>
            <w:r>
              <w:rPr>
                <w:rFonts w:hint="eastAsia" w:ascii="宋体" w:hAnsi="宋体" w:eastAsia="宋体" w:cs="宋体"/>
                <w:i w:val="0"/>
                <w:color w:val="000000"/>
                <w:kern w:val="0"/>
                <w:sz w:val="20"/>
                <w:szCs w:val="20"/>
                <w:u w:val="none"/>
                <w:lang w:val="en-US" w:eastAsia="zh-CN" w:bidi="ar"/>
              </w:rPr>
              <w:t>（元）</w:t>
            </w:r>
          </w:p>
        </w:tc>
        <w:tc>
          <w:tcPr>
            <w:tcW w:w="1050" w:type="dxa"/>
            <w:noWrap w:val="0"/>
            <w:vAlign w:val="center"/>
          </w:tcPr>
          <w:p w14:paraId="3697F10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购置</w:t>
            </w:r>
          </w:p>
          <w:p w14:paraId="6076D9A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auto"/>
                <w:sz w:val="24"/>
                <w:szCs w:val="24"/>
                <w:vertAlign w:val="baseline"/>
              </w:rPr>
            </w:pPr>
            <w:r>
              <w:rPr>
                <w:rFonts w:hint="eastAsia" w:ascii="宋体" w:hAnsi="宋体" w:eastAsia="宋体" w:cs="宋体"/>
                <w:i w:val="0"/>
                <w:color w:val="000000"/>
                <w:kern w:val="0"/>
                <w:sz w:val="20"/>
                <w:szCs w:val="20"/>
                <w:u w:val="none"/>
                <w:lang w:val="en-US" w:eastAsia="zh-CN" w:bidi="ar"/>
              </w:rPr>
              <w:t>（租赁）时间</w:t>
            </w:r>
          </w:p>
        </w:tc>
        <w:tc>
          <w:tcPr>
            <w:tcW w:w="704" w:type="dxa"/>
            <w:noWrap w:val="0"/>
            <w:vAlign w:val="center"/>
          </w:tcPr>
          <w:p w14:paraId="57E068E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auto"/>
                <w:sz w:val="24"/>
                <w:szCs w:val="24"/>
                <w:vertAlign w:val="baseline"/>
              </w:rPr>
            </w:pPr>
            <w:r>
              <w:rPr>
                <w:rFonts w:hint="eastAsia" w:ascii="宋体" w:hAnsi="宋体" w:eastAsia="宋体" w:cs="宋体"/>
                <w:i w:val="0"/>
                <w:color w:val="000000"/>
                <w:kern w:val="0"/>
                <w:sz w:val="20"/>
                <w:szCs w:val="20"/>
                <w:u w:val="none"/>
                <w:lang w:val="en-US" w:eastAsia="zh-CN" w:bidi="ar"/>
              </w:rPr>
              <w:t>保管人</w:t>
            </w:r>
          </w:p>
        </w:tc>
        <w:tc>
          <w:tcPr>
            <w:tcW w:w="980" w:type="dxa"/>
            <w:noWrap w:val="0"/>
            <w:vAlign w:val="center"/>
          </w:tcPr>
          <w:p w14:paraId="39CFB1A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存放</w:t>
            </w:r>
          </w:p>
          <w:p w14:paraId="0414F57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auto"/>
                <w:sz w:val="24"/>
                <w:szCs w:val="24"/>
                <w:vertAlign w:val="baseline"/>
              </w:rPr>
            </w:pPr>
            <w:r>
              <w:rPr>
                <w:rFonts w:hint="eastAsia" w:ascii="宋体" w:hAnsi="宋体" w:eastAsia="宋体" w:cs="宋体"/>
                <w:i w:val="0"/>
                <w:color w:val="000000"/>
                <w:kern w:val="0"/>
                <w:sz w:val="20"/>
                <w:szCs w:val="20"/>
                <w:u w:val="none"/>
                <w:lang w:val="en-US" w:eastAsia="zh-CN" w:bidi="ar"/>
              </w:rPr>
              <w:t>地点</w:t>
            </w:r>
          </w:p>
        </w:tc>
        <w:tc>
          <w:tcPr>
            <w:tcW w:w="980" w:type="dxa"/>
            <w:noWrap w:val="0"/>
            <w:vAlign w:val="center"/>
          </w:tcPr>
          <w:p w14:paraId="46A307B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设备</w:t>
            </w:r>
          </w:p>
          <w:p w14:paraId="18B6D12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状况</w:t>
            </w:r>
          </w:p>
        </w:tc>
      </w:tr>
      <w:tr w14:paraId="12292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731" w:type="dxa"/>
            <w:noWrap w:val="0"/>
            <w:vAlign w:val="top"/>
          </w:tcPr>
          <w:p w14:paraId="44055EDE">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36" w:type="dxa"/>
            <w:noWrap w:val="0"/>
            <w:vAlign w:val="top"/>
          </w:tcPr>
          <w:p w14:paraId="1B65CDE7">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77" w:type="dxa"/>
            <w:noWrap w:val="0"/>
            <w:vAlign w:val="top"/>
          </w:tcPr>
          <w:p w14:paraId="6F21FEDD">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678" w:type="dxa"/>
            <w:noWrap w:val="0"/>
            <w:vAlign w:val="top"/>
          </w:tcPr>
          <w:p w14:paraId="4B63BEEF">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43" w:type="dxa"/>
            <w:noWrap w:val="0"/>
            <w:vAlign w:val="top"/>
          </w:tcPr>
          <w:p w14:paraId="49C99E21">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36" w:type="dxa"/>
            <w:noWrap w:val="0"/>
            <w:vAlign w:val="top"/>
          </w:tcPr>
          <w:p w14:paraId="1154B096">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800" w:type="dxa"/>
            <w:noWrap w:val="0"/>
            <w:vAlign w:val="top"/>
          </w:tcPr>
          <w:p w14:paraId="2DB5F85F">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50" w:type="dxa"/>
            <w:noWrap w:val="0"/>
            <w:vAlign w:val="top"/>
          </w:tcPr>
          <w:p w14:paraId="6ADD9155">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704" w:type="dxa"/>
            <w:noWrap w:val="0"/>
            <w:vAlign w:val="top"/>
          </w:tcPr>
          <w:p w14:paraId="1D48C551">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5C72597D">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18B3CBC7">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r>
      <w:tr w14:paraId="08E81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731" w:type="dxa"/>
            <w:noWrap w:val="0"/>
            <w:vAlign w:val="top"/>
          </w:tcPr>
          <w:p w14:paraId="367F904A">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36" w:type="dxa"/>
            <w:noWrap w:val="0"/>
            <w:vAlign w:val="top"/>
          </w:tcPr>
          <w:p w14:paraId="7AEB0B96">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77" w:type="dxa"/>
            <w:noWrap w:val="0"/>
            <w:vAlign w:val="top"/>
          </w:tcPr>
          <w:p w14:paraId="2AA44773">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678" w:type="dxa"/>
            <w:noWrap w:val="0"/>
            <w:vAlign w:val="top"/>
          </w:tcPr>
          <w:p w14:paraId="77076B73">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43" w:type="dxa"/>
            <w:noWrap w:val="0"/>
            <w:vAlign w:val="top"/>
          </w:tcPr>
          <w:p w14:paraId="6512DFE1">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36" w:type="dxa"/>
            <w:noWrap w:val="0"/>
            <w:vAlign w:val="top"/>
          </w:tcPr>
          <w:p w14:paraId="72CE79D2">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800" w:type="dxa"/>
            <w:noWrap w:val="0"/>
            <w:vAlign w:val="top"/>
          </w:tcPr>
          <w:p w14:paraId="42E7E9C0">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50" w:type="dxa"/>
            <w:noWrap w:val="0"/>
            <w:vAlign w:val="top"/>
          </w:tcPr>
          <w:p w14:paraId="11BBD21B">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704" w:type="dxa"/>
            <w:noWrap w:val="0"/>
            <w:vAlign w:val="top"/>
          </w:tcPr>
          <w:p w14:paraId="24CD4E0B">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7134B678">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5F586F9D">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r>
      <w:tr w14:paraId="230A8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731" w:type="dxa"/>
            <w:noWrap w:val="0"/>
            <w:vAlign w:val="top"/>
          </w:tcPr>
          <w:p w14:paraId="3A804678">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36" w:type="dxa"/>
            <w:noWrap w:val="0"/>
            <w:vAlign w:val="top"/>
          </w:tcPr>
          <w:p w14:paraId="3599E76A">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77" w:type="dxa"/>
            <w:noWrap w:val="0"/>
            <w:vAlign w:val="top"/>
          </w:tcPr>
          <w:p w14:paraId="75DFC3D0">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678" w:type="dxa"/>
            <w:noWrap w:val="0"/>
            <w:vAlign w:val="top"/>
          </w:tcPr>
          <w:p w14:paraId="141EBFE3">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43" w:type="dxa"/>
            <w:noWrap w:val="0"/>
            <w:vAlign w:val="top"/>
          </w:tcPr>
          <w:p w14:paraId="46156D73">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36" w:type="dxa"/>
            <w:noWrap w:val="0"/>
            <w:vAlign w:val="top"/>
          </w:tcPr>
          <w:p w14:paraId="607E174F">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800" w:type="dxa"/>
            <w:noWrap w:val="0"/>
            <w:vAlign w:val="top"/>
          </w:tcPr>
          <w:p w14:paraId="67A1E0E3">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50" w:type="dxa"/>
            <w:noWrap w:val="0"/>
            <w:vAlign w:val="top"/>
          </w:tcPr>
          <w:p w14:paraId="6C993D55">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704" w:type="dxa"/>
            <w:noWrap w:val="0"/>
            <w:vAlign w:val="top"/>
          </w:tcPr>
          <w:p w14:paraId="60454A78">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6A906B26">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42233C9F">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r>
      <w:tr w14:paraId="02CCA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731" w:type="dxa"/>
            <w:noWrap w:val="0"/>
            <w:vAlign w:val="top"/>
          </w:tcPr>
          <w:p w14:paraId="04E79B3E">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36" w:type="dxa"/>
            <w:noWrap w:val="0"/>
            <w:vAlign w:val="top"/>
          </w:tcPr>
          <w:p w14:paraId="26D42474">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77" w:type="dxa"/>
            <w:noWrap w:val="0"/>
            <w:vAlign w:val="top"/>
          </w:tcPr>
          <w:p w14:paraId="7541CBAD">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678" w:type="dxa"/>
            <w:noWrap w:val="0"/>
            <w:vAlign w:val="top"/>
          </w:tcPr>
          <w:p w14:paraId="61A176B2">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43" w:type="dxa"/>
            <w:noWrap w:val="0"/>
            <w:vAlign w:val="top"/>
          </w:tcPr>
          <w:p w14:paraId="1F5DC767">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36" w:type="dxa"/>
            <w:noWrap w:val="0"/>
            <w:vAlign w:val="top"/>
          </w:tcPr>
          <w:p w14:paraId="74FDCE2A">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800" w:type="dxa"/>
            <w:noWrap w:val="0"/>
            <w:vAlign w:val="top"/>
          </w:tcPr>
          <w:p w14:paraId="3C255A82">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50" w:type="dxa"/>
            <w:noWrap w:val="0"/>
            <w:vAlign w:val="top"/>
          </w:tcPr>
          <w:p w14:paraId="1F865914">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704" w:type="dxa"/>
            <w:noWrap w:val="0"/>
            <w:vAlign w:val="top"/>
          </w:tcPr>
          <w:p w14:paraId="730D1E87">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7E54E065">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4CF16B18">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r>
      <w:tr w14:paraId="64123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731" w:type="dxa"/>
            <w:noWrap w:val="0"/>
            <w:vAlign w:val="top"/>
          </w:tcPr>
          <w:p w14:paraId="1E1828AF">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36" w:type="dxa"/>
            <w:noWrap w:val="0"/>
            <w:vAlign w:val="top"/>
          </w:tcPr>
          <w:p w14:paraId="0A37E55E">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77" w:type="dxa"/>
            <w:noWrap w:val="0"/>
            <w:vAlign w:val="top"/>
          </w:tcPr>
          <w:p w14:paraId="0F14135B">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678" w:type="dxa"/>
            <w:noWrap w:val="0"/>
            <w:vAlign w:val="top"/>
          </w:tcPr>
          <w:p w14:paraId="5B6F77F5">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43" w:type="dxa"/>
            <w:noWrap w:val="0"/>
            <w:vAlign w:val="top"/>
          </w:tcPr>
          <w:p w14:paraId="147FE127">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36" w:type="dxa"/>
            <w:noWrap w:val="0"/>
            <w:vAlign w:val="top"/>
          </w:tcPr>
          <w:p w14:paraId="6F8E25CA">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800" w:type="dxa"/>
            <w:noWrap w:val="0"/>
            <w:vAlign w:val="top"/>
          </w:tcPr>
          <w:p w14:paraId="06B0032B">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50" w:type="dxa"/>
            <w:noWrap w:val="0"/>
            <w:vAlign w:val="top"/>
          </w:tcPr>
          <w:p w14:paraId="46A59A33">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704" w:type="dxa"/>
            <w:noWrap w:val="0"/>
            <w:vAlign w:val="top"/>
          </w:tcPr>
          <w:p w14:paraId="6A6FAC72">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3F0561CA">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66D90225">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r>
      <w:tr w14:paraId="015A4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731" w:type="dxa"/>
            <w:noWrap w:val="0"/>
            <w:vAlign w:val="top"/>
          </w:tcPr>
          <w:p w14:paraId="619EF103">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36" w:type="dxa"/>
            <w:noWrap w:val="0"/>
            <w:vAlign w:val="top"/>
          </w:tcPr>
          <w:p w14:paraId="7F74CDD7">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77" w:type="dxa"/>
            <w:noWrap w:val="0"/>
            <w:vAlign w:val="top"/>
          </w:tcPr>
          <w:p w14:paraId="501D4F97">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678" w:type="dxa"/>
            <w:noWrap w:val="0"/>
            <w:vAlign w:val="top"/>
          </w:tcPr>
          <w:p w14:paraId="45CE9C68">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43" w:type="dxa"/>
            <w:noWrap w:val="0"/>
            <w:vAlign w:val="top"/>
          </w:tcPr>
          <w:p w14:paraId="5425E42D">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36" w:type="dxa"/>
            <w:noWrap w:val="0"/>
            <w:vAlign w:val="top"/>
          </w:tcPr>
          <w:p w14:paraId="260C624D">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800" w:type="dxa"/>
            <w:noWrap w:val="0"/>
            <w:vAlign w:val="top"/>
          </w:tcPr>
          <w:p w14:paraId="2C000CB4">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50" w:type="dxa"/>
            <w:noWrap w:val="0"/>
            <w:vAlign w:val="top"/>
          </w:tcPr>
          <w:p w14:paraId="000F7661">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704" w:type="dxa"/>
            <w:noWrap w:val="0"/>
            <w:vAlign w:val="top"/>
          </w:tcPr>
          <w:p w14:paraId="5698E52A">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43C93BCF">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217355B6">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r>
      <w:tr w14:paraId="07E59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731" w:type="dxa"/>
            <w:noWrap w:val="0"/>
            <w:vAlign w:val="top"/>
          </w:tcPr>
          <w:p w14:paraId="0FA3147E">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36" w:type="dxa"/>
            <w:noWrap w:val="0"/>
            <w:vAlign w:val="top"/>
          </w:tcPr>
          <w:p w14:paraId="66532F89">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77" w:type="dxa"/>
            <w:noWrap w:val="0"/>
            <w:vAlign w:val="top"/>
          </w:tcPr>
          <w:p w14:paraId="0279DD9E">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678" w:type="dxa"/>
            <w:noWrap w:val="0"/>
            <w:vAlign w:val="top"/>
          </w:tcPr>
          <w:p w14:paraId="2BF2CD4A">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43" w:type="dxa"/>
            <w:noWrap w:val="0"/>
            <w:vAlign w:val="top"/>
          </w:tcPr>
          <w:p w14:paraId="37875719">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36" w:type="dxa"/>
            <w:noWrap w:val="0"/>
            <w:vAlign w:val="top"/>
          </w:tcPr>
          <w:p w14:paraId="525A8178">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800" w:type="dxa"/>
            <w:noWrap w:val="0"/>
            <w:vAlign w:val="top"/>
          </w:tcPr>
          <w:p w14:paraId="12458907">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50" w:type="dxa"/>
            <w:noWrap w:val="0"/>
            <w:vAlign w:val="top"/>
          </w:tcPr>
          <w:p w14:paraId="58384ACB">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704" w:type="dxa"/>
            <w:noWrap w:val="0"/>
            <w:vAlign w:val="top"/>
          </w:tcPr>
          <w:p w14:paraId="46022033">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54DC9CCD">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196E2F35">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r>
      <w:tr w14:paraId="483EB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731" w:type="dxa"/>
            <w:noWrap w:val="0"/>
            <w:vAlign w:val="top"/>
          </w:tcPr>
          <w:p w14:paraId="1E821111">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36" w:type="dxa"/>
            <w:noWrap w:val="0"/>
            <w:vAlign w:val="top"/>
          </w:tcPr>
          <w:p w14:paraId="2D71A025">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77" w:type="dxa"/>
            <w:noWrap w:val="0"/>
            <w:vAlign w:val="top"/>
          </w:tcPr>
          <w:p w14:paraId="32DED08B">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678" w:type="dxa"/>
            <w:noWrap w:val="0"/>
            <w:vAlign w:val="top"/>
          </w:tcPr>
          <w:p w14:paraId="40456944">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43" w:type="dxa"/>
            <w:noWrap w:val="0"/>
            <w:vAlign w:val="top"/>
          </w:tcPr>
          <w:p w14:paraId="40C825B0">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36" w:type="dxa"/>
            <w:noWrap w:val="0"/>
            <w:vAlign w:val="top"/>
          </w:tcPr>
          <w:p w14:paraId="48DEF7AC">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800" w:type="dxa"/>
            <w:noWrap w:val="0"/>
            <w:vAlign w:val="top"/>
          </w:tcPr>
          <w:p w14:paraId="5A27952A">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50" w:type="dxa"/>
            <w:noWrap w:val="0"/>
            <w:vAlign w:val="top"/>
          </w:tcPr>
          <w:p w14:paraId="6B9B3128">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704" w:type="dxa"/>
            <w:noWrap w:val="0"/>
            <w:vAlign w:val="top"/>
          </w:tcPr>
          <w:p w14:paraId="3FB5805A">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52D745E1">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35D92494">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r>
      <w:tr w14:paraId="38B0F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731" w:type="dxa"/>
            <w:noWrap w:val="0"/>
            <w:vAlign w:val="top"/>
          </w:tcPr>
          <w:p w14:paraId="516BAAE0">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36" w:type="dxa"/>
            <w:noWrap w:val="0"/>
            <w:vAlign w:val="top"/>
          </w:tcPr>
          <w:p w14:paraId="3F219F94">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77" w:type="dxa"/>
            <w:noWrap w:val="0"/>
            <w:vAlign w:val="top"/>
          </w:tcPr>
          <w:p w14:paraId="68ED1711">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678" w:type="dxa"/>
            <w:noWrap w:val="0"/>
            <w:vAlign w:val="top"/>
          </w:tcPr>
          <w:p w14:paraId="6E7791FD">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43" w:type="dxa"/>
            <w:noWrap w:val="0"/>
            <w:vAlign w:val="top"/>
          </w:tcPr>
          <w:p w14:paraId="14A6E6EB">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36" w:type="dxa"/>
            <w:noWrap w:val="0"/>
            <w:vAlign w:val="top"/>
          </w:tcPr>
          <w:p w14:paraId="55066ECC">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800" w:type="dxa"/>
            <w:noWrap w:val="0"/>
            <w:vAlign w:val="top"/>
          </w:tcPr>
          <w:p w14:paraId="57F9EFF5">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50" w:type="dxa"/>
            <w:noWrap w:val="0"/>
            <w:vAlign w:val="top"/>
          </w:tcPr>
          <w:p w14:paraId="3E92D14E">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704" w:type="dxa"/>
            <w:noWrap w:val="0"/>
            <w:vAlign w:val="top"/>
          </w:tcPr>
          <w:p w14:paraId="51A79375">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0898EE19">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554AFD18">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r>
      <w:tr w14:paraId="7594D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731" w:type="dxa"/>
            <w:noWrap w:val="0"/>
            <w:vAlign w:val="top"/>
          </w:tcPr>
          <w:p w14:paraId="3BCE8941">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36" w:type="dxa"/>
            <w:noWrap w:val="0"/>
            <w:vAlign w:val="top"/>
          </w:tcPr>
          <w:p w14:paraId="5716056E">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77" w:type="dxa"/>
            <w:noWrap w:val="0"/>
            <w:vAlign w:val="top"/>
          </w:tcPr>
          <w:p w14:paraId="5A8B4FD3">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678" w:type="dxa"/>
            <w:noWrap w:val="0"/>
            <w:vAlign w:val="top"/>
          </w:tcPr>
          <w:p w14:paraId="759CFB9E">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43" w:type="dxa"/>
            <w:noWrap w:val="0"/>
            <w:vAlign w:val="top"/>
          </w:tcPr>
          <w:p w14:paraId="0D80528A">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36" w:type="dxa"/>
            <w:noWrap w:val="0"/>
            <w:vAlign w:val="top"/>
          </w:tcPr>
          <w:p w14:paraId="44AA4DD3">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800" w:type="dxa"/>
            <w:noWrap w:val="0"/>
            <w:vAlign w:val="top"/>
          </w:tcPr>
          <w:p w14:paraId="019BAAB1">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50" w:type="dxa"/>
            <w:noWrap w:val="0"/>
            <w:vAlign w:val="top"/>
          </w:tcPr>
          <w:p w14:paraId="035CDDFB">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704" w:type="dxa"/>
            <w:noWrap w:val="0"/>
            <w:vAlign w:val="top"/>
          </w:tcPr>
          <w:p w14:paraId="7079B3C4">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71F82646">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42C61AE0">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r>
      <w:tr w14:paraId="109F0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731" w:type="dxa"/>
            <w:noWrap w:val="0"/>
            <w:vAlign w:val="top"/>
          </w:tcPr>
          <w:p w14:paraId="0B1A083B">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36" w:type="dxa"/>
            <w:noWrap w:val="0"/>
            <w:vAlign w:val="top"/>
          </w:tcPr>
          <w:p w14:paraId="39512EDD">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77" w:type="dxa"/>
            <w:noWrap w:val="0"/>
            <w:vAlign w:val="top"/>
          </w:tcPr>
          <w:p w14:paraId="331243F1">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678" w:type="dxa"/>
            <w:noWrap w:val="0"/>
            <w:vAlign w:val="top"/>
          </w:tcPr>
          <w:p w14:paraId="7A3F08E2">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43" w:type="dxa"/>
            <w:noWrap w:val="0"/>
            <w:vAlign w:val="top"/>
          </w:tcPr>
          <w:p w14:paraId="170E1BB9">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36" w:type="dxa"/>
            <w:noWrap w:val="0"/>
            <w:vAlign w:val="top"/>
          </w:tcPr>
          <w:p w14:paraId="690B52F0">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800" w:type="dxa"/>
            <w:noWrap w:val="0"/>
            <w:vAlign w:val="top"/>
          </w:tcPr>
          <w:p w14:paraId="5624A770">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1050" w:type="dxa"/>
            <w:noWrap w:val="0"/>
            <w:vAlign w:val="top"/>
          </w:tcPr>
          <w:p w14:paraId="5D819D73">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704" w:type="dxa"/>
            <w:noWrap w:val="0"/>
            <w:vAlign w:val="top"/>
          </w:tcPr>
          <w:p w14:paraId="4CFB31D7">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43BFEF00">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c>
          <w:tcPr>
            <w:tcW w:w="980" w:type="dxa"/>
            <w:noWrap w:val="0"/>
            <w:vAlign w:val="top"/>
          </w:tcPr>
          <w:p w14:paraId="0022C3EF">
            <w:pPr>
              <w:keepNext w:val="0"/>
              <w:keepLines w:val="0"/>
              <w:suppressLineNumbers w:val="0"/>
              <w:spacing w:before="0" w:beforeAutospacing="0" w:after="0" w:afterAutospacing="0" w:line="240" w:lineRule="auto"/>
              <w:ind w:left="0" w:right="0"/>
              <w:jc w:val="both"/>
              <w:rPr>
                <w:rFonts w:hint="eastAsia" w:ascii="宋体" w:hAnsi="宋体" w:eastAsia="宋体" w:cs="宋体"/>
                <w:b/>
                <w:color w:val="auto"/>
                <w:sz w:val="24"/>
                <w:szCs w:val="24"/>
                <w:vertAlign w:val="baseline"/>
              </w:rPr>
            </w:pPr>
          </w:p>
        </w:tc>
      </w:tr>
    </w:tbl>
    <w:p w14:paraId="7C0C20BD">
      <w:pPr>
        <w:keepNext w:val="0"/>
        <w:keepLines w:val="0"/>
        <w:widowControl w:val="0"/>
        <w:suppressLineNumbers w:val="0"/>
        <w:adjustRightInd w:val="0"/>
        <w:spacing w:before="0" w:beforeAutospacing="0" w:after="0" w:afterAutospacing="0" w:line="396" w:lineRule="auto"/>
        <w:ind w:left="0" w:right="17"/>
        <w:jc w:val="both"/>
        <w:rPr>
          <w:rFonts w:hint="eastAsia" w:ascii="宋体" w:hAnsi="宋体" w:eastAsia="宋体" w:cs="宋体"/>
          <w:color w:val="auto"/>
          <w:kern w:val="0"/>
          <w:sz w:val="24"/>
          <w:szCs w:val="24"/>
          <w:lang w:val="en-US" w:eastAsia="zh-CN" w:bidi="ar"/>
        </w:rPr>
      </w:pPr>
    </w:p>
    <w:p w14:paraId="12BBCE16">
      <w:pPr>
        <w:keepNext w:val="0"/>
        <w:keepLines w:val="0"/>
        <w:widowControl w:val="0"/>
        <w:suppressLineNumbers w:val="0"/>
        <w:adjustRightInd w:val="0"/>
        <w:spacing w:before="0" w:beforeAutospacing="0" w:after="0" w:afterAutospacing="0" w:line="396" w:lineRule="auto"/>
        <w:ind w:left="0" w:right="17"/>
        <w:jc w:val="both"/>
        <w:rPr>
          <w:rFonts w:hint="eastAsia" w:ascii="宋体" w:hAnsi="宋体" w:eastAsia="宋体" w:cs="宋体"/>
          <w:color w:val="auto"/>
          <w:kern w:val="0"/>
          <w:sz w:val="24"/>
          <w:szCs w:val="24"/>
          <w:lang w:val="en-US" w:eastAsia="zh-CN" w:bidi="ar"/>
        </w:rPr>
      </w:pPr>
    </w:p>
    <w:p w14:paraId="545C7A3C">
      <w:pPr>
        <w:spacing w:line="480" w:lineRule="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供应商</w:t>
      </w:r>
      <w:r>
        <w:rPr>
          <w:rFonts w:hint="eastAsia" w:ascii="宋体" w:hAnsi="宋体" w:eastAsia="宋体" w:cs="宋体"/>
          <w:color w:val="auto"/>
          <w:sz w:val="24"/>
          <w:szCs w:val="24"/>
        </w:rPr>
        <w:t>代表签字或签章：</w:t>
      </w:r>
    </w:p>
    <w:p w14:paraId="73D2F76A">
      <w:pPr>
        <w:spacing w:line="480" w:lineRule="auto"/>
        <w:rPr>
          <w:rFonts w:hint="eastAsia" w:ascii="宋体" w:hAnsi="宋体" w:eastAsia="宋体" w:cs="宋体"/>
          <w:color w:val="auto"/>
          <w:sz w:val="24"/>
          <w:szCs w:val="24"/>
          <w:u w:val="single"/>
        </w:rPr>
      </w:pPr>
      <w:r>
        <w:rPr>
          <w:rFonts w:hint="eastAsia" w:ascii="宋体" w:hAnsi="宋体" w:eastAsia="宋体" w:cs="宋体"/>
          <w:color w:val="auto"/>
          <w:sz w:val="24"/>
          <w:szCs w:val="24"/>
          <w:lang w:eastAsia="zh-CN"/>
        </w:rPr>
        <w:t>供应商</w:t>
      </w:r>
      <w:r>
        <w:rPr>
          <w:rFonts w:hint="eastAsia" w:ascii="宋体" w:hAnsi="宋体" w:eastAsia="宋体" w:cs="宋体"/>
          <w:color w:val="auto"/>
          <w:sz w:val="24"/>
          <w:szCs w:val="24"/>
        </w:rPr>
        <w:t>签章：</w:t>
      </w:r>
    </w:p>
    <w:p w14:paraId="572CBCF8">
      <w:pPr>
        <w:spacing w:line="480" w:lineRule="auto"/>
        <w:rPr>
          <w:rFonts w:hint="eastAsia" w:ascii="宋体" w:hAnsi="宋体" w:eastAsia="宋体" w:cs="宋体"/>
          <w:b/>
          <w:bCs/>
          <w:color w:val="auto"/>
          <w:sz w:val="24"/>
          <w:szCs w:val="24"/>
        </w:rPr>
      </w:pPr>
      <w:r>
        <w:rPr>
          <w:rFonts w:hint="eastAsia" w:ascii="宋体" w:hAnsi="宋体" w:eastAsia="宋体" w:cs="宋体"/>
          <w:color w:val="auto"/>
          <w:sz w:val="24"/>
          <w:szCs w:val="24"/>
        </w:rPr>
        <w:t>日期：</w:t>
      </w:r>
    </w:p>
    <w:p w14:paraId="12C22F1F">
      <w:pPr>
        <w:adjustRightInd/>
        <w:snapToGrid/>
        <w:spacing w:line="360" w:lineRule="auto"/>
        <w:jc w:val="center"/>
        <w:outlineLvl w:val="2"/>
        <w:rPr>
          <w:rFonts w:hint="eastAsia" w:ascii="宋体" w:hAnsi="宋体" w:eastAsia="宋体" w:cs="宋体"/>
          <w:b/>
          <w:bCs/>
          <w:color w:val="auto"/>
          <w:sz w:val="24"/>
          <w:szCs w:val="24"/>
          <w:highlight w:val="none"/>
          <w:lang w:val="en-US" w:eastAsia="zh-CN" w:bidi="ar-SA"/>
        </w:rPr>
      </w:pPr>
    </w:p>
    <w:p w14:paraId="0355C105">
      <w:pPr>
        <w:adjustRightInd/>
        <w:snapToGrid/>
        <w:spacing w:line="360" w:lineRule="auto"/>
        <w:jc w:val="center"/>
        <w:outlineLvl w:val="2"/>
        <w:rPr>
          <w:rFonts w:hint="eastAsia" w:ascii="宋体" w:hAnsi="宋体" w:eastAsia="宋体" w:cs="宋体"/>
          <w:b/>
          <w:bCs/>
          <w:color w:val="auto"/>
          <w:sz w:val="24"/>
          <w:szCs w:val="24"/>
          <w:highlight w:val="none"/>
          <w:lang w:val="en-US" w:eastAsia="zh-CN" w:bidi="ar-SA"/>
        </w:rPr>
      </w:pPr>
    </w:p>
    <w:p w14:paraId="147DDBDC">
      <w:r>
        <w:rPr>
          <w:rFonts w:hint="eastAsia" w:ascii="宋体" w:hAnsi="宋体" w:eastAsia="宋体" w:cs="宋体"/>
          <w:b/>
          <w:bCs/>
          <w:sz w:val="32"/>
          <w:szCs w:val="32"/>
        </w:rPr>
        <w:br w:type="page"/>
      </w:r>
      <w:bookmarkEnd w:id="13"/>
      <w:bookmarkEnd w:id="14"/>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E44F9426">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58141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paragraph" w:styleId="3">
    <w:name w:val="heading 2"/>
    <w:basedOn w:val="1"/>
    <w:next w:val="1"/>
    <w:link w:val="10"/>
    <w:qFormat/>
    <w:uiPriority w:val="0"/>
    <w:pPr>
      <w:keepNext/>
      <w:keepLines/>
      <w:spacing w:before="260" w:after="260" w:line="413" w:lineRule="auto"/>
      <w:outlineLvl w:val="1"/>
    </w:pPr>
    <w:rPr>
      <w:rFonts w:ascii="Times New Roman" w:hAnsi="Times New Roman" w:eastAsia="黑体" w:cs="Times New Roman"/>
      <w:b/>
      <w:bCs/>
      <w:sz w:val="32"/>
      <w:szCs w:val="32"/>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footnote text"/>
    <w:basedOn w:val="1"/>
    <w:qFormat/>
    <w:uiPriority w:val="0"/>
    <w:pPr>
      <w:widowControl w:val="0"/>
      <w:adjustRightInd w:val="0"/>
      <w:snapToGrid w:val="0"/>
      <w:spacing w:after="0" w:line="360" w:lineRule="auto"/>
      <w:jc w:val="left"/>
    </w:pPr>
    <w:rPr>
      <w:rFonts w:ascii="宋体" w:hAnsi="Times New Roman" w:eastAsia="仿宋" w:cs="宋体"/>
      <w:sz w:val="18"/>
      <w:szCs w:val="18"/>
      <w:lang w:val="en-US" w:eastAsia="zh-CN" w:bidi="ar-SA"/>
    </w:rPr>
  </w:style>
  <w:style w:type="paragraph" w:styleId="4">
    <w:name w:val="Body Text"/>
    <w:basedOn w:val="1"/>
    <w:qFormat/>
    <w:uiPriority w:val="0"/>
    <w:pPr>
      <w:spacing w:after="120"/>
    </w:pPr>
    <w:rPr>
      <w:rFonts w:ascii="Times New Roman" w:hAnsi="Times New Roman" w:eastAsia="宋体" w:cs="Times New Roman"/>
    </w:rPr>
  </w:style>
  <w:style w:type="paragraph" w:styleId="5">
    <w:name w:val="footer"/>
    <w:basedOn w:val="1"/>
    <w:qFormat/>
    <w:uiPriority w:val="0"/>
    <w:pPr>
      <w:tabs>
        <w:tab w:val="center" w:pos="4153"/>
        <w:tab w:val="right" w:pos="8306"/>
      </w:tabs>
    </w:pPr>
    <w:rPr>
      <w:rFonts w:ascii="Times New Roman" w:hAnsi="Times New Roman" w:eastAsia="宋体" w:cs="Times New Roman"/>
      <w:sz w:val="18"/>
    </w:rPr>
  </w:style>
  <w:style w:type="paragraph" w:styleId="6">
    <w:name w:val="Normal (Web)"/>
    <w:basedOn w:val="1"/>
    <w:next w:val="1"/>
    <w:qFormat/>
    <w:uiPriority w:val="0"/>
    <w:rPr>
      <w:rFonts w:ascii="Times New Roman" w:hAnsi="Times New Roman" w:eastAsia="宋体" w:cs="Times New Roman"/>
      <w:szCs w:val="24"/>
    </w:rPr>
  </w:style>
  <w:style w:type="character" w:styleId="9">
    <w:name w:val="Strong"/>
    <w:basedOn w:val="8"/>
    <w:qFormat/>
    <w:uiPriority w:val="0"/>
    <w:rPr>
      <w:rFonts w:ascii="Times New Roman" w:hAnsi="Times New Roman" w:eastAsia="宋体" w:cs="Times New Roman"/>
    </w:rPr>
  </w:style>
  <w:style w:type="character" w:customStyle="1" w:styleId="10">
    <w:name w:val="标题 2 Char"/>
    <w:link w:val="3"/>
    <w:qFormat/>
    <w:uiPriority w:val="0"/>
    <w:rPr>
      <w:rFonts w:ascii="Times New Roman" w:hAnsi="Times New Roman" w:eastAsia="黑体" w:cs="Times New Roman"/>
      <w:b/>
      <w:bCs/>
      <w:sz w:val="32"/>
      <w:szCs w:val="32"/>
    </w:rPr>
  </w:style>
  <w:style w:type="paragraph" w:customStyle="1" w:styleId="11">
    <w:name w:val="普通正文"/>
    <w:basedOn w:val="1"/>
    <w:qFormat/>
    <w:uiPriority w:val="0"/>
    <w:pPr>
      <w:spacing w:before="120" w:after="120"/>
      <w:ind w:firstLine="480"/>
      <w:jc w:val="left"/>
    </w:pPr>
    <w:rPr>
      <w:rFonts w:ascii="Arial" w:hAnsi="Arial" w:eastAsia="宋体" w:cs="Times New Roman"/>
      <w:szCs w:val="24"/>
    </w:rPr>
  </w:style>
  <w:style w:type="paragraph" w:customStyle="1" w:styleId="12">
    <w:name w:val="正文缩进1"/>
    <w:basedOn w:val="1"/>
    <w:next w:val="6"/>
    <w:qFormat/>
    <w:uiPriority w:val="0"/>
    <w:pPr>
      <w:ind w:firstLine="20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2026-06-10T09:26:14Z</dcterms:created>
  <dc:creator>Administrator</dc:creator>
  <cp:lastModifiedBy>Administrator</cp:lastModifiedBy>
  <dcterms:modified xsi:type="dcterms:W3CDTF">2026-06-10T09:27:17Z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eyJoZGlkIjoiYWUxOWMzNDM1MGY2MTgwMjczOTM0YjE3MzNiMjhkYTYiLCJ1c2VySWQiOiIzNjQzMjE1MDcifQ==</vt:lpwstr>
  </property>
  <property fmtid="{D5CDD505-2E9C-101B-9397-08002B2CF9AE}" pid="4" name="ICV">
    <vt:lpwstr>05916C85CE3C425195E3426FF5D8D50E_12</vt:lpwstr>
  </property>
</Properties>
</file>