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DB214F">
      <w:pPr>
        <w:widowControl w:val="0"/>
        <w:spacing w:before="78" w:after="240" w:afterLines="100" w:line="220" w:lineRule="auto"/>
        <w:jc w:val="center"/>
        <w:outlineLvl w:val="1"/>
        <w:rPr>
          <w:rFonts w:hint="eastAsia" w:ascii="宋体" w:hAnsi="宋体" w:eastAsia="宋体" w:cs="仿宋"/>
          <w:b/>
          <w:bCs/>
          <w:color w:val="auto"/>
          <w:sz w:val="24"/>
          <w:lang w:eastAsia="zh-CN"/>
        </w:rPr>
      </w:pPr>
      <w:r>
        <w:rPr>
          <w:rFonts w:hint="eastAsia" w:ascii="宋体" w:hAnsi="宋体" w:eastAsia="宋体" w:cs="宋体"/>
          <w:color w:val="auto"/>
          <w:spacing w:val="-2"/>
          <w:sz w:val="28"/>
          <w:szCs w:val="28"/>
          <w:lang w:eastAsia="zh-CN"/>
        </w:rPr>
        <w:t>技术规格（工程需求）</w:t>
      </w:r>
    </w:p>
    <w:p w14:paraId="6EDEB65E">
      <w:pPr>
        <w:kinsoku/>
        <w:spacing w:line="360" w:lineRule="auto"/>
        <w:ind w:firstLine="482" w:firstLineChars="200"/>
        <w:rPr>
          <w:rFonts w:hint="eastAsia" w:ascii="宋体" w:hAnsi="宋体" w:eastAsia="宋体" w:cs="仿宋"/>
          <w:b/>
          <w:bCs/>
          <w:color w:val="auto"/>
          <w:sz w:val="24"/>
          <w:lang w:eastAsia="zh-CN"/>
        </w:rPr>
      </w:pPr>
    </w:p>
    <w:p w14:paraId="649E142B">
      <w:pPr>
        <w:kinsoku/>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1、本工程采用的技术规范</w:t>
      </w:r>
    </w:p>
    <w:p w14:paraId="7D689676">
      <w:pPr>
        <w:kinsoku/>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（1）执行国家现行有关技术、施工及验收规范和质量验收标准及省、市建设行政主管部门强制性文件标准、规范。(</w:t>
      </w:r>
      <w:r>
        <w:rPr>
          <w:rFonts w:hint="eastAsia" w:ascii="宋体" w:hAnsi="宋体" w:eastAsia="宋体" w:cs="宋体"/>
          <w:b/>
          <w:bCs/>
          <w:color w:val="auto"/>
          <w:sz w:val="24"/>
          <w:szCs w:val="24"/>
          <w:lang w:eastAsia="zh-CN"/>
        </w:rPr>
        <w:t>投标(响应)文件中提供有效的承诺函“承诺严格执行国家及地方现行强制性标准。”原件扫描件，否则为无效投标（响应）。</w:t>
      </w:r>
      <w:r>
        <w:rPr>
          <w:rFonts w:hint="eastAsia" w:ascii="宋体" w:hAnsi="宋体" w:eastAsia="宋体" w:cs="宋体"/>
          <w:color w:val="auto"/>
          <w:sz w:val="24"/>
          <w:szCs w:val="24"/>
          <w:lang w:eastAsia="zh-CN"/>
        </w:rPr>
        <w:t>)</w:t>
      </w:r>
    </w:p>
    <w:p w14:paraId="330D235F">
      <w:pPr>
        <w:spacing w:line="460" w:lineRule="atLeast"/>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2、对材料的质量和试验要求</w:t>
      </w:r>
    </w:p>
    <w:p w14:paraId="1C13F346">
      <w:pPr>
        <w:spacing w:line="460" w:lineRule="atLeast"/>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2.1主要材料进场前，成交供应商应提供三证（出厂证、合格证、材料检测报告），材料实验应按国家有关规定进行见证取样及送检，检测费用由成交供应商支付，提供具备法定资质（取得 CMA /CNAS资质认定）的检验检测机构（具备检测本材料检测范围）出具的检验合格报告，检测报告需对应成交供应商投标响应时出具的承诺内容，未提供或不按投标响应的承诺内容提供，采购人有权要求材料退场更换，成交供应商承担违约金，2000元/次，该费用将在应付未付款项中扣除。拒不更换的，采购人有权解除合同且不承担成交供应商已完成施工内容的费用，成交供应商拒不配合，采购人可另行委托其他单位完成该项目，成交供应商承担由此产生的一切损失并承担全部责任。</w:t>
      </w:r>
    </w:p>
    <w:p w14:paraId="22C89735">
      <w:pPr>
        <w:spacing w:line="460" w:lineRule="atLeast"/>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2.2采购人有权对进场材料进行抽检，成交供应商在主要材料（铝合金、钢化玻璃等）进场后应第一时间向监理单位、采购人报备，在三方共同见证下，采购人可对进场材料进行随机抽样检测，相关检测费用由成交供应商承担。对检测结果不符合标准及成交供应商投标承诺的，采购人有权要求材料退场更换，成交供应商承担违约金，2000元/次，该费用将在结算费用中扣除，拒不更换的，采购人有权解除合同且不承担成交供应商已完成施工内容的费用，成交供应商拒不配合，采购人可另行委托其他单位完成该项目，成交供应商承担由此产生的一切损失并承担全部责任。</w:t>
      </w:r>
    </w:p>
    <w:p w14:paraId="325647C0">
      <w:pPr>
        <w:spacing w:line="460" w:lineRule="atLeast"/>
        <w:ind w:firstLine="480" w:firstLineChars="200"/>
        <w:rPr>
          <w:rFonts w:ascii="宋体" w:hAnsi="宋体" w:eastAsia="宋体" w:cs="宋体"/>
          <w:b/>
          <w:bCs/>
          <w:color w:val="auto"/>
          <w:sz w:val="24"/>
          <w:szCs w:val="24"/>
          <w:lang w:eastAsia="zh-CN"/>
        </w:rPr>
      </w:pPr>
      <w:r>
        <w:rPr>
          <w:rFonts w:hint="eastAsia" w:ascii="宋体" w:hAnsi="宋体" w:eastAsia="宋体" w:cs="宋体"/>
          <w:color w:val="auto"/>
          <w:sz w:val="24"/>
          <w:szCs w:val="24"/>
          <w:lang w:eastAsia="zh-CN"/>
        </w:rPr>
        <w:t>3、材料质量的约定：用于本项目的材料品质不得低于国家强制标准、文件及设计规定质量等级要求；成交供应商响应的参数视为本项目投入使用参数，交货时须提供检验检测报告原件进行核验。如因客观原因无法采购承诺材料参数，经采购人许可，可以采用同等或以上的产品替代。</w:t>
      </w:r>
    </w:p>
    <w:p w14:paraId="3AD3A06B">
      <w:pPr>
        <w:kinsoku/>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4、用于本项目的主要材料，必须提供出厂合格证书及试验资料原件给采购人查验，否则，采购人有权制止使用并追究成交供应商的违约责任。</w:t>
      </w:r>
    </w:p>
    <w:p w14:paraId="4F6D80B8">
      <w:pPr>
        <w:kinsoku/>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5、对施工工艺的特殊要求</w:t>
      </w:r>
    </w:p>
    <w:p w14:paraId="5FF87F4F">
      <w:pPr>
        <w:kinsoku/>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对采用的新工艺、新技术应将方案报设计单位、采购人及监理单位批准后才能实行。</w:t>
      </w:r>
    </w:p>
    <w:p w14:paraId="0C0824C3">
      <w:pPr>
        <w:kinsoku/>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6、本项目工程验收优先以成交供应商投标响应技术参数、施工图纸、工程量清单及专项技术要求为准。</w:t>
      </w:r>
    </w:p>
    <w:p w14:paraId="5ACEC873">
      <w:pPr>
        <w:kinsoku/>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7、其他要求</w:t>
      </w:r>
    </w:p>
    <w:p w14:paraId="25C92C32">
      <w:pPr>
        <w:kinsoku/>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（1）磋商文件工程量清单中的项目编码、项目名称、项目特征、计量单位、工程量均须完全响应，否则视为无效响应。 </w:t>
      </w:r>
    </w:p>
    <w:p w14:paraId="68803EF1">
      <w:pPr>
        <w:kinsoku/>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（2）本项目不允许转包、分包，否则采购人有权没收履约保证金，情节严重的将终止合同。 </w:t>
      </w:r>
    </w:p>
    <w:p w14:paraId="753A4ADD">
      <w:pPr>
        <w:kinsoku/>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3）成交供应商在签订合同前对工程量清单和图纸无异议，则在施工过程中按清单及图纸内容完成本工程全部施工内容，清单或图纸以外的工作内容，成交供应商在未征得采购人同意的情况下开展施工，不予签证且不认可。</w:t>
      </w:r>
    </w:p>
    <w:p w14:paraId="2DBDA76E">
      <w:pPr>
        <w:kinsoku/>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（4）工程质量等级达到国家施工验收合格标准。</w:t>
      </w:r>
    </w:p>
    <w:p w14:paraId="6BA03FB2">
      <w:pPr>
        <w:kinsoku/>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（5）供应商应按照磋商文件中提供的工程量清单、施工图纸，根据项目特征描述的内容及有关要求实施合同工程。</w:t>
      </w:r>
    </w:p>
    <w:p w14:paraId="1E071F67">
      <w:pPr>
        <w:kinsoku/>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（6）成交供应商在施工期间根据现场情况做好安全技术措施，确保安全。场地内应及时清扫干净，用水冲洗，不能产生扬尘，及时消除安全隐患。</w:t>
      </w:r>
    </w:p>
    <w:p w14:paraId="0EFE4848">
      <w:pPr>
        <w:kinsoku/>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（7）受施工区环境影响，成交供应商应采取有效措施保护施工区内道路、</w:t>
      </w:r>
    </w:p>
    <w:p w14:paraId="3BEA4C2F">
      <w:pPr>
        <w:kinsoku/>
        <w:spacing w:line="360" w:lineRule="auto"/>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市政管线及其他设施，因施工导致损坏的，由成交供应商负责修复；在施工前，成交供应商应上报施工方案，经采购人批准方可施工。</w:t>
      </w:r>
    </w:p>
    <w:p w14:paraId="2638786B">
      <w:pPr>
        <w:kinsoku/>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（8）成交供应商施工完毕后，应提供完整的检测资料及项目资料。</w:t>
      </w:r>
    </w:p>
    <w:p w14:paraId="17387181">
      <w:pPr>
        <w:kinsoku/>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（9）磋商文件工程量清单中的规费、暂列金、税金均属于不可竞争费，不得让利，否则视为无效响应。</w:t>
      </w:r>
    </w:p>
    <w:p w14:paraId="0565A16C">
      <w:pPr>
        <w:kinsoku/>
        <w:spacing w:line="360" w:lineRule="auto"/>
        <w:ind w:firstLine="480" w:firstLineChars="200"/>
        <w:rPr>
          <w:rFonts w:ascii="宋体" w:hAnsi="宋体" w:eastAsia="宋体" w:cs="宋体"/>
          <w:b/>
          <w:bCs/>
          <w:color w:val="auto"/>
          <w:sz w:val="24"/>
          <w:szCs w:val="24"/>
          <w:lang w:eastAsia="zh-CN"/>
        </w:rPr>
      </w:pPr>
      <w:r>
        <w:rPr>
          <w:rFonts w:hint="eastAsia" w:ascii="宋体" w:hAnsi="宋体" w:eastAsia="宋体" w:cs="宋体"/>
          <w:color w:val="auto"/>
          <w:sz w:val="24"/>
          <w:szCs w:val="24"/>
          <w:lang w:eastAsia="zh-CN"/>
        </w:rPr>
        <w:t>8、本项目须提供施工组织方案，方案内容包括：施工组织部署，施工技术措施，施工质量目标体系及保证措施，文明施工和安全生产体系与防护措施，环境保护管理体系与保证措施，施工进度计划及工期保证措施，施工机械配置，施工合理化建议和降低成本措施。</w:t>
      </w:r>
      <w:r>
        <w:rPr>
          <w:rFonts w:hint="eastAsia" w:ascii="宋体" w:hAnsi="宋体" w:eastAsia="宋体" w:cs="宋体"/>
          <w:b/>
          <w:bCs/>
          <w:color w:val="auto"/>
          <w:sz w:val="24"/>
          <w:szCs w:val="24"/>
          <w:lang w:eastAsia="zh-CN"/>
        </w:rPr>
        <w:t>(投标(响应)文件中提供详细的施工组织方案加盖供应商公章，要求内容必须独立成章，且在施工方案目录中有显示,未提供或提供不全的作无效响应处理。)</w:t>
      </w:r>
    </w:p>
    <w:p w14:paraId="6949D169">
      <w:pPr>
        <w:kinsoku/>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9、供应商应为本项目制定详细的各项应急预案，方案内容包括但不限于包括：突发质量事故的应急预案，突发安全事故的应急预案，遭遇极端天气应急预案等情况的应急处理措施的,供应商承诺自行解决并承担所有后果。【</w:t>
      </w:r>
      <w:r>
        <w:rPr>
          <w:rFonts w:hint="eastAsia" w:ascii="宋体" w:hAnsi="宋体" w:eastAsia="宋体" w:cs="宋体"/>
          <w:b/>
          <w:bCs/>
          <w:color w:val="auto"/>
          <w:sz w:val="24"/>
          <w:szCs w:val="24"/>
          <w:lang w:eastAsia="zh-CN"/>
        </w:rPr>
        <w:t>投标(响应)文件提供详细的应急预案(内容须包含"供应商自行解决并承担所有后果的承诺函（格式自拟）")并加盖供应商公章，未提供或提供不全的作无效响应处理。</w:t>
      </w:r>
      <w:r>
        <w:rPr>
          <w:rFonts w:hint="eastAsia" w:ascii="宋体" w:hAnsi="宋体" w:eastAsia="宋体" w:cs="宋体"/>
          <w:color w:val="auto"/>
          <w:sz w:val="24"/>
          <w:szCs w:val="24"/>
          <w:lang w:eastAsia="zh-CN"/>
        </w:rPr>
        <w:t>】</w:t>
      </w:r>
    </w:p>
    <w:p w14:paraId="7FEBC6DE">
      <w:pPr>
        <w:kinsoku/>
        <w:spacing w:line="360" w:lineRule="auto"/>
        <w:ind w:firstLine="480" w:firstLineChars="200"/>
        <w:rPr>
          <w:rFonts w:ascii="宋体" w:hAnsi="宋体" w:eastAsia="宋体" w:cs="宋体"/>
          <w:b/>
          <w:bCs/>
          <w:color w:val="auto"/>
          <w:sz w:val="24"/>
          <w:szCs w:val="24"/>
          <w:lang w:eastAsia="zh-CN"/>
        </w:rPr>
      </w:pPr>
      <w:r>
        <w:rPr>
          <w:rFonts w:hint="eastAsia" w:ascii="宋体" w:hAnsi="宋体" w:eastAsia="宋体" w:cs="宋体"/>
          <w:color w:val="auto"/>
          <w:sz w:val="24"/>
          <w:szCs w:val="24"/>
          <w:lang w:eastAsia="zh-CN"/>
        </w:rPr>
        <w:t>10、施工团队需包含：项目负责人、技术负责人、安全员，各岗位独立、不得兼任，安全员须具有合格有效的 C 类考核合格证书。</w:t>
      </w:r>
      <w:r>
        <w:rPr>
          <w:rFonts w:hint="eastAsia" w:ascii="宋体" w:hAnsi="宋体" w:eastAsia="宋体" w:cs="宋体"/>
          <w:b/>
          <w:bCs/>
          <w:color w:val="auto"/>
          <w:sz w:val="24"/>
          <w:szCs w:val="24"/>
          <w:lang w:eastAsia="zh-CN"/>
        </w:rPr>
        <w:t>【投标(响应)文件中须提供上述人员证书扫描件及磋商前六个月任意一个月由本单位缴纳的社保证明材料加盖供应商公章未提供或提供不全的作无效响应处理。】</w:t>
      </w:r>
    </w:p>
    <w:p w14:paraId="74D1CFAC">
      <w:pPr>
        <w:kinsoku/>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11、铝合金门窗做法参照国标图集《16J607》（或现行有效替代图集）。铝合金型材壁厚应符合《铝合金门窗》GB/T 8478-2020 强制性要求：外窗不应小于1.8mm，内窗不应小于 1.4mm。具体厚度应由专业厂家根据风压计算确定，且不得低于上述国标限值。采用铝合金 5mm LOW-e+9A+5mm 中空钢化玻璃。</w:t>
      </w:r>
    </w:p>
    <w:p w14:paraId="56AFA494">
      <w:pPr>
        <w:kinsoku/>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12、外平开窗窗扇，均需采取有效的防风安全加固措施和防坠落措施。</w:t>
      </w:r>
    </w:p>
    <w:p w14:paraId="7AC484B2">
      <w:pPr>
        <w:kinsoku/>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13、铝合金门窗技术要求及断面构造，由生产厂家提供深化加工图纸。成交供应商应在材料进场前至少 7 天向采购人及监理单位提交加工图纸。采购人及监理单位应在收到图纸后3 个工作日内予以审核回复，逾期未回复视为默认同意（重大技术偏差除外）。未经审核同意擅自进场的，相关后果由成交供应商自行承担。</w:t>
      </w:r>
    </w:p>
    <w:p w14:paraId="29C3D004">
      <w:pPr>
        <w:kinsoku/>
        <w:spacing w:line="360" w:lineRule="auto"/>
        <w:ind w:firstLine="480" w:firstLineChars="200"/>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14、气密性能：不低于《建筑外门窗气密、水密、抗风压性能检测方法》GB/T 7106-2019规定的6级；水密性能：不低于GB/T 7106-2019规定的3级；抗风压性能：不低于GB/T 7106-2019规定的3 级。隔声性能不低于《建筑门窗空气声隔声性能分级及检测方法》GB/T8485-2008的3级。</w:t>
      </w:r>
    </w:p>
    <w:p w14:paraId="2ADBE734">
      <w:pPr>
        <w:spacing w:line="360" w:lineRule="auto"/>
        <w:ind w:firstLine="480" w:firstLineChars="200"/>
        <w:rPr>
          <w:rFonts w:ascii="宋体" w:hAnsi="宋体" w:eastAsia="宋体" w:cs="仿宋"/>
          <w:color w:val="auto"/>
          <w:sz w:val="24"/>
          <w:lang w:eastAsia="zh-CN"/>
        </w:rPr>
      </w:pPr>
      <w:bookmarkStart w:id="0" w:name="_GoBack"/>
      <w:bookmarkEnd w:id="0"/>
    </w:p>
    <w:p w14:paraId="5CED64BF">
      <w:pPr>
        <w:widowControl w:val="0"/>
        <w:spacing w:line="460" w:lineRule="exact"/>
        <w:ind w:left="-422" w:leftChars="-201" w:firstLine="137" w:firstLineChars="57"/>
        <w:jc w:val="left"/>
      </w:pPr>
      <w:r>
        <w:rPr>
          <w:rFonts w:hint="eastAsia" w:ascii="宋体" w:hAnsi="宋体" w:eastAsia="宋体" w:cs="宋体"/>
          <w:b/>
          <w:color w:val="auto"/>
          <w:sz w:val="24"/>
          <w:szCs w:val="24"/>
          <w:lang w:eastAsia="zh-CN"/>
        </w:rPr>
        <w:t>注：以上技术规格（工程需求）条款为必须满足或优于项，否则作无效磋商响应处理。</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8597C17"/>
    <w:rsid w:val="58597C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customStyle="1" w:styleId="2">
    <w:name w:val="UserStyle_0"/>
    <w:basedOn w:val="1"/>
    <w:qFormat/>
    <w:uiPriority w:val="0"/>
    <w:rPr>
      <w:rFonts w:ascii="宋体" w:hAnsi="Courier New"/>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2026-06-10T08:21:00Z</dcterms:created>
  <dc:creator>Administrator</dc:creator>
  <cp:lastModifiedBy>Administrator</cp:lastModifiedBy>
  <dcterms:modified xsi:type="dcterms:W3CDTF">2026-06-10T08:22:15Z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D1A14FE4955741968C5C39B62EE7E1D7_11</vt:lpwstr>
  </property>
  <property fmtid="{D5CDD505-2E9C-101B-9397-08002B2CF9AE}" pid="4" name="KSOTemplateDocerSaveRecord">
    <vt:lpwstr>eyJoZGlkIjoiMGE5MmMzMjVmNmQ5ZDM5ZDg3YjMyMmNjZDlhNmZlM2UiLCJ1c2VySWQiOiI1OTEyMDM3OTQifQ==</vt:lpwstr>
  </property>
</Properties>
</file>