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C09757">
      <w:pPr>
        <w:keepNext w:val="0"/>
        <w:keepLines w:val="0"/>
        <w:pageBreakBefore w:val="0"/>
        <w:widowControl w:val="0"/>
        <w:kinsoku/>
        <w:wordWrap/>
        <w:overflowPunct/>
        <w:topLinePunct w:val="0"/>
        <w:autoSpaceDE/>
        <w:autoSpaceDN/>
        <w:bidi w:val="0"/>
        <w:adjustRightInd/>
        <w:snapToGrid/>
        <w:spacing w:line="460" w:lineRule="exact"/>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b/>
          <w:bCs/>
          <w:color w:val="auto"/>
          <w:spacing w:val="-5"/>
          <w:sz w:val="24"/>
          <w:szCs w:val="24"/>
          <w:highlight w:val="none"/>
          <w:lang w:val="en-US" w:eastAsia="zh-CN"/>
        </w:rPr>
        <w:t>1、</w:t>
      </w:r>
      <w:r>
        <w:rPr>
          <w:rFonts w:hint="eastAsia" w:ascii="宋体" w:hAnsi="宋体" w:eastAsia="宋体" w:cs="宋体"/>
          <w:b/>
          <w:bCs/>
          <w:color w:val="auto"/>
          <w:spacing w:val="-5"/>
          <w:sz w:val="24"/>
          <w:szCs w:val="24"/>
          <w:highlight w:val="none"/>
        </w:rPr>
        <w:t>总体目标</w:t>
      </w:r>
    </w:p>
    <w:p w14:paraId="3F1B3EBC">
      <w:pPr>
        <w:keepNext w:val="0"/>
        <w:keepLines w:val="0"/>
        <w:pageBreakBefore w:val="0"/>
        <w:widowControl w:val="0"/>
        <w:kinsoku/>
        <w:wordWrap/>
        <w:overflowPunct/>
        <w:topLinePunct w:val="0"/>
        <w:autoSpaceDE/>
        <w:autoSpaceDN/>
        <w:bidi w:val="0"/>
        <w:adjustRightInd/>
        <w:snapToGrid/>
        <w:spacing w:line="460" w:lineRule="exact"/>
        <w:ind w:left="0" w:right="57"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通过开展2026年度自然资源调查监测，一体化推进各项自然资源调查监测任务，全面掌握红谷滩区国土利用变化情况，保持第三次全国国土调查（以下简称“三调</w:t>
      </w:r>
      <w:r>
        <w:rPr>
          <w:rFonts w:hint="default" w:ascii="宋体" w:hAnsi="宋体" w:eastAsia="宋体" w:cs="宋体"/>
          <w:color w:val="auto"/>
          <w:spacing w:val="-1"/>
          <w:sz w:val="24"/>
          <w:szCs w:val="24"/>
          <w:highlight w:val="none"/>
          <w:lang w:val="en-US" w:eastAsia="zh-CN"/>
        </w:rPr>
        <w:t>”</w:t>
      </w:r>
      <w:r>
        <w:rPr>
          <w:rFonts w:hint="eastAsia" w:ascii="宋体" w:hAnsi="宋体" w:eastAsia="宋体" w:cs="宋体"/>
          <w:color w:val="auto"/>
          <w:spacing w:val="-1"/>
          <w:sz w:val="24"/>
          <w:szCs w:val="24"/>
          <w:highlight w:val="none"/>
          <w:lang w:val="en-US" w:eastAsia="zh-CN"/>
        </w:rPr>
        <w:t>） 及年度国土变更调查成果的现势性，掌握城市空间利用、生活品质、交通便捷、公共服务、安全韧性等情况，有效支撑高质 量发展和国土空间治理现代化。</w:t>
      </w:r>
    </w:p>
    <w:p w14:paraId="07508446">
      <w:pPr>
        <w:keepNext w:val="0"/>
        <w:keepLines w:val="0"/>
        <w:pageBreakBefore w:val="0"/>
        <w:widowControl w:val="0"/>
        <w:kinsoku/>
        <w:wordWrap/>
        <w:overflowPunct/>
        <w:topLinePunct w:val="0"/>
        <w:autoSpaceDE/>
        <w:autoSpaceDN/>
        <w:bidi w:val="0"/>
        <w:adjustRightInd/>
        <w:snapToGrid/>
        <w:spacing w:line="460" w:lineRule="exact"/>
        <w:jc w:val="left"/>
        <w:textAlignment w:val="auto"/>
        <w:outlineLvl w:val="9"/>
        <w:rPr>
          <w:rFonts w:hint="eastAsia" w:ascii="宋体" w:hAnsi="宋体" w:eastAsia="宋体" w:cs="宋体"/>
          <w:b/>
          <w:bCs/>
          <w:color w:val="auto"/>
          <w:spacing w:val="-5"/>
          <w:sz w:val="24"/>
          <w:szCs w:val="24"/>
          <w:highlight w:val="none"/>
        </w:rPr>
      </w:pPr>
      <w:r>
        <w:rPr>
          <w:rFonts w:hint="eastAsia" w:ascii="宋体" w:hAnsi="宋体" w:eastAsia="宋体" w:cs="宋体"/>
          <w:b/>
          <w:bCs/>
          <w:color w:val="auto"/>
          <w:spacing w:val="-5"/>
          <w:sz w:val="24"/>
          <w:szCs w:val="24"/>
          <w:highlight w:val="none"/>
          <w:lang w:val="en-US" w:eastAsia="zh-CN"/>
        </w:rPr>
        <w:t>2、</w:t>
      </w:r>
      <w:r>
        <w:rPr>
          <w:rFonts w:hint="eastAsia" w:ascii="宋体" w:hAnsi="宋体" w:eastAsia="宋体" w:cs="宋体"/>
          <w:b/>
          <w:bCs/>
          <w:color w:val="auto"/>
          <w:spacing w:val="-5"/>
          <w:sz w:val="24"/>
          <w:szCs w:val="24"/>
          <w:highlight w:val="none"/>
        </w:rPr>
        <w:t>工作内容</w:t>
      </w:r>
    </w:p>
    <w:p w14:paraId="2383DB6A">
      <w:pPr>
        <w:keepNext w:val="0"/>
        <w:keepLines w:val="0"/>
        <w:pageBreakBefore w:val="0"/>
        <w:widowControl w:val="0"/>
        <w:kinsoku/>
        <w:wordWrap/>
        <w:overflowPunct/>
        <w:topLinePunct w:val="0"/>
        <w:autoSpaceDE/>
        <w:autoSpaceDN/>
        <w:bidi w:val="0"/>
        <w:adjustRightInd/>
        <w:snapToGrid/>
        <w:spacing w:line="460" w:lineRule="exact"/>
        <w:ind w:left="0" w:firstLine="462" w:firstLineChars="200"/>
        <w:jc w:val="left"/>
        <w:textAlignment w:val="auto"/>
        <w:outlineLvl w:val="9"/>
        <w:rPr>
          <w:rFonts w:hint="eastAsia" w:ascii="宋体" w:hAnsi="宋体" w:eastAsia="宋体" w:cs="宋体"/>
          <w:b/>
          <w:bCs/>
          <w:color w:val="auto"/>
          <w:spacing w:val="-5"/>
          <w:sz w:val="24"/>
          <w:szCs w:val="24"/>
          <w:highlight w:val="none"/>
          <w:lang w:val="en-US" w:eastAsia="zh-CN"/>
        </w:rPr>
      </w:pPr>
      <w:r>
        <w:rPr>
          <w:rFonts w:hint="eastAsia" w:ascii="宋体" w:hAnsi="宋体" w:eastAsia="宋体" w:cs="宋体"/>
          <w:b/>
          <w:bCs/>
          <w:color w:val="auto"/>
          <w:spacing w:val="-5"/>
          <w:sz w:val="24"/>
          <w:szCs w:val="24"/>
          <w:highlight w:val="none"/>
          <w:lang w:val="en-US" w:eastAsia="zh-CN"/>
        </w:rPr>
        <w:t xml:space="preserve"> 1.2026年城市空间监测</w:t>
      </w:r>
    </w:p>
    <w:p w14:paraId="234E3BC7">
      <w:pPr>
        <w:keepNext w:val="0"/>
        <w:keepLines w:val="0"/>
        <w:pageBreakBefore w:val="0"/>
        <w:widowControl w:val="0"/>
        <w:kinsoku/>
        <w:wordWrap/>
        <w:overflowPunct/>
        <w:topLinePunct w:val="0"/>
        <w:autoSpaceDE/>
        <w:autoSpaceDN/>
        <w:bidi w:val="0"/>
        <w:adjustRightInd/>
        <w:snapToGrid/>
        <w:spacing w:line="460" w:lineRule="exact"/>
        <w:ind w:left="0" w:leftChars="0"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以 2025 年度国土变更调查成果为底图，依据最新遥感影像和相关专题资料，结合实地调查，进一步细化相关地类及属性等，掌握城市空间利用、生活品质、交通便捷、公共服务、安全韧性等情况，支撑国土空间规划实施评估与动态维护、城市体检评估和用途管制等各项工作。</w:t>
      </w:r>
    </w:p>
    <w:p w14:paraId="2740846F">
      <w:pPr>
        <w:keepNext w:val="0"/>
        <w:keepLines w:val="0"/>
        <w:pageBreakBefore w:val="0"/>
        <w:widowControl w:val="0"/>
        <w:kinsoku/>
        <w:wordWrap/>
        <w:overflowPunct/>
        <w:topLinePunct w:val="0"/>
        <w:autoSpaceDE/>
        <w:autoSpaceDN/>
        <w:bidi w:val="0"/>
        <w:adjustRightInd/>
        <w:snapToGrid/>
        <w:spacing w:line="460" w:lineRule="exact"/>
        <w:ind w:left="0" w:firstLine="462" w:firstLineChars="200"/>
        <w:jc w:val="left"/>
        <w:textAlignment w:val="auto"/>
        <w:outlineLvl w:val="9"/>
        <w:rPr>
          <w:rFonts w:hint="eastAsia" w:ascii="宋体" w:hAnsi="宋体" w:eastAsia="宋体" w:cs="宋体"/>
          <w:b/>
          <w:bCs/>
          <w:color w:val="auto"/>
          <w:spacing w:val="-5"/>
          <w:sz w:val="24"/>
          <w:szCs w:val="24"/>
          <w:highlight w:val="none"/>
          <w:lang w:val="en-US" w:eastAsia="zh-CN"/>
        </w:rPr>
      </w:pPr>
      <w:r>
        <w:rPr>
          <w:rFonts w:hint="eastAsia" w:ascii="宋体" w:hAnsi="宋体" w:eastAsia="宋体" w:cs="宋体"/>
          <w:b/>
          <w:bCs/>
          <w:color w:val="auto"/>
          <w:spacing w:val="-5"/>
          <w:sz w:val="24"/>
          <w:szCs w:val="24"/>
          <w:highlight w:val="none"/>
          <w:lang w:val="en-US" w:eastAsia="zh-CN"/>
        </w:rPr>
        <w:t>2.日常变更调查</w:t>
      </w:r>
    </w:p>
    <w:p w14:paraId="4BB47F81">
      <w:pPr>
        <w:keepNext w:val="0"/>
        <w:keepLines w:val="0"/>
        <w:pageBreakBefore w:val="0"/>
        <w:widowControl w:val="0"/>
        <w:kinsoku/>
        <w:wordWrap/>
        <w:overflowPunct/>
        <w:topLinePunct w:val="0"/>
        <w:autoSpaceDE/>
        <w:autoSpaceDN/>
        <w:bidi w:val="0"/>
        <w:adjustRightInd/>
        <w:snapToGrid/>
        <w:spacing w:line="460" w:lineRule="exact"/>
        <w:ind w:left="0" w:right="57"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日常变更调查是指根据自然资源调查监测、耕地保护、国家自然资源督察和自然资源执法、用途管制、生态修复等工作需要，对年底前稳定的地类变化及时更新，是变更调查工作的常态化开展模式。县级依据部局实施方案、技术要求及省级实施方案或细则，利用“国土调查云”平台，开展日常变更调查工作。对于自然资源管理急需的，县级可通过“直报即审”模块直接报部，部审核后同步反馈省市县。</w:t>
      </w:r>
    </w:p>
    <w:p w14:paraId="4C855631">
      <w:pPr>
        <w:keepNext w:val="0"/>
        <w:keepLines w:val="0"/>
        <w:pageBreakBefore w:val="0"/>
        <w:widowControl w:val="0"/>
        <w:kinsoku/>
        <w:wordWrap/>
        <w:overflowPunct/>
        <w:topLinePunct w:val="0"/>
        <w:autoSpaceDE/>
        <w:autoSpaceDN/>
        <w:bidi w:val="0"/>
        <w:adjustRightInd/>
        <w:snapToGrid/>
        <w:spacing w:line="460" w:lineRule="exact"/>
        <w:ind w:left="0" w:right="57"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日常变更调查成果通过国家级核查后，可通过“国土调查云”平台下载确认已变更证明材料，并纳入2026年度变更调查成果。</w:t>
      </w:r>
    </w:p>
    <w:p w14:paraId="3F34D6FE">
      <w:pPr>
        <w:keepNext w:val="0"/>
        <w:keepLines w:val="0"/>
        <w:pageBreakBefore w:val="0"/>
        <w:widowControl w:val="0"/>
        <w:kinsoku/>
        <w:wordWrap/>
        <w:overflowPunct/>
        <w:topLinePunct w:val="0"/>
        <w:autoSpaceDE/>
        <w:autoSpaceDN/>
        <w:bidi w:val="0"/>
        <w:adjustRightInd/>
        <w:snapToGrid/>
        <w:spacing w:line="460" w:lineRule="exact"/>
        <w:ind w:left="0" w:right="57"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(1)日常变更调查分类</w:t>
      </w:r>
    </w:p>
    <w:p w14:paraId="062A72DF">
      <w:pPr>
        <w:keepNext w:val="0"/>
        <w:keepLines w:val="0"/>
        <w:pageBreakBefore w:val="0"/>
        <w:widowControl w:val="0"/>
        <w:kinsoku/>
        <w:wordWrap/>
        <w:overflowPunct/>
        <w:topLinePunct w:val="0"/>
        <w:autoSpaceDE/>
        <w:autoSpaceDN/>
        <w:bidi w:val="0"/>
        <w:adjustRightInd/>
        <w:snapToGrid/>
        <w:spacing w:line="460" w:lineRule="exact"/>
        <w:ind w:left="0" w:right="57"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1)项目管理涉及地类变更</w:t>
      </w:r>
    </w:p>
    <w:p w14:paraId="2AFC8126">
      <w:pPr>
        <w:keepNext w:val="0"/>
        <w:keepLines w:val="0"/>
        <w:pageBreakBefore w:val="0"/>
        <w:widowControl w:val="0"/>
        <w:kinsoku/>
        <w:wordWrap/>
        <w:overflowPunct/>
        <w:topLinePunct w:val="0"/>
        <w:autoSpaceDE/>
        <w:autoSpaceDN/>
        <w:bidi w:val="0"/>
        <w:adjustRightInd/>
        <w:snapToGrid/>
        <w:spacing w:line="460" w:lineRule="exact"/>
        <w:ind w:left="0" w:right="57"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对于补充耕地、城乡建设用地增减挂钩、国土空间生态修复、废弃矿山治理、国土绿化、沙地治理、营造林、退耕还林还草、高标准农田建设、河湖治理、移民撤村等项目中的图斑，根据项目和有关文件要求纳入日常变更。</w:t>
      </w:r>
    </w:p>
    <w:p w14:paraId="3CBE68CB">
      <w:pPr>
        <w:keepNext w:val="0"/>
        <w:keepLines w:val="0"/>
        <w:pageBreakBefore w:val="0"/>
        <w:widowControl w:val="0"/>
        <w:kinsoku/>
        <w:wordWrap/>
        <w:overflowPunct/>
        <w:topLinePunct w:val="0"/>
        <w:autoSpaceDE/>
        <w:autoSpaceDN/>
        <w:bidi w:val="0"/>
        <w:adjustRightInd/>
        <w:snapToGrid/>
        <w:spacing w:line="460" w:lineRule="exact"/>
        <w:ind w:left="0" w:right="57"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2)监测监管涉及地类变更</w:t>
      </w:r>
    </w:p>
    <w:p w14:paraId="0438BBF5">
      <w:pPr>
        <w:keepNext w:val="0"/>
        <w:keepLines w:val="0"/>
        <w:pageBreakBefore w:val="0"/>
        <w:widowControl w:val="0"/>
        <w:kinsoku/>
        <w:wordWrap/>
        <w:overflowPunct/>
        <w:topLinePunct w:val="0"/>
        <w:autoSpaceDE/>
        <w:autoSpaceDN/>
        <w:bidi w:val="0"/>
        <w:adjustRightInd/>
        <w:snapToGrid/>
        <w:spacing w:line="460" w:lineRule="exact"/>
        <w:ind w:left="0" w:right="57"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对于各类自然资源监测监管、耕地保护、国家自然资源督察等工作中发现的年底前稳定的地类变化，及时按照地类认定要求纳入日常变更。</w:t>
      </w:r>
    </w:p>
    <w:p w14:paraId="1F8FE3E6">
      <w:pPr>
        <w:keepNext w:val="0"/>
        <w:keepLines w:val="0"/>
        <w:pageBreakBefore w:val="0"/>
        <w:widowControl w:val="0"/>
        <w:kinsoku/>
        <w:wordWrap/>
        <w:overflowPunct/>
        <w:topLinePunct w:val="0"/>
        <w:autoSpaceDE/>
        <w:autoSpaceDN/>
        <w:bidi w:val="0"/>
        <w:adjustRightInd/>
        <w:snapToGrid/>
        <w:spacing w:line="460" w:lineRule="exact"/>
        <w:ind w:left="0" w:right="57"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3)地方自主发现变化</w:t>
      </w:r>
    </w:p>
    <w:p w14:paraId="090FDFB3">
      <w:pPr>
        <w:keepNext w:val="0"/>
        <w:keepLines w:val="0"/>
        <w:pageBreakBefore w:val="0"/>
        <w:widowControl w:val="0"/>
        <w:kinsoku/>
        <w:wordWrap/>
        <w:overflowPunct/>
        <w:topLinePunct w:val="0"/>
        <w:autoSpaceDE/>
        <w:autoSpaceDN/>
        <w:bidi w:val="0"/>
        <w:adjustRightInd/>
        <w:snapToGrid/>
        <w:spacing w:line="460" w:lineRule="exact"/>
        <w:ind w:left="0" w:right="57"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地方在日常监测、巡查等过程中发现的年底前稳定变化及城市国土空间监测发现的城镇内部国土利用变化，按要求纳入日常变更。</w:t>
      </w:r>
    </w:p>
    <w:p w14:paraId="0D8B8880">
      <w:pPr>
        <w:keepNext w:val="0"/>
        <w:keepLines w:val="0"/>
        <w:pageBreakBefore w:val="0"/>
        <w:widowControl w:val="0"/>
        <w:kinsoku/>
        <w:wordWrap/>
        <w:overflowPunct/>
        <w:topLinePunct w:val="0"/>
        <w:autoSpaceDE/>
        <w:autoSpaceDN/>
        <w:bidi w:val="0"/>
        <w:adjustRightInd/>
        <w:snapToGrid/>
        <w:spacing w:line="460" w:lineRule="exact"/>
        <w:ind w:left="0" w:right="57"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另外各地在国土调查成果应用时，发现调查成果与实地现状不一致的，以及各级检查中发现的错误，按要求纳入日常变更。</w:t>
      </w:r>
    </w:p>
    <w:p w14:paraId="3462284D">
      <w:pPr>
        <w:keepNext w:val="0"/>
        <w:keepLines w:val="0"/>
        <w:pageBreakBefore w:val="0"/>
        <w:widowControl w:val="0"/>
        <w:kinsoku/>
        <w:wordWrap/>
        <w:overflowPunct/>
        <w:topLinePunct w:val="0"/>
        <w:autoSpaceDE/>
        <w:autoSpaceDN/>
        <w:bidi w:val="0"/>
        <w:adjustRightInd/>
        <w:snapToGrid/>
        <w:spacing w:line="460" w:lineRule="exact"/>
        <w:ind w:left="0" w:right="57"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(2)开展实地调查</w:t>
      </w:r>
    </w:p>
    <w:p w14:paraId="2A21FFC3">
      <w:pPr>
        <w:keepNext w:val="0"/>
        <w:keepLines w:val="0"/>
        <w:pageBreakBefore w:val="0"/>
        <w:widowControl w:val="0"/>
        <w:kinsoku/>
        <w:wordWrap/>
        <w:overflowPunct/>
        <w:topLinePunct w:val="0"/>
        <w:autoSpaceDE/>
        <w:autoSpaceDN/>
        <w:bidi w:val="0"/>
        <w:adjustRightInd/>
        <w:snapToGrid/>
        <w:spacing w:line="460" w:lineRule="exact"/>
        <w:ind w:left="0" w:leftChars="0"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按照变更调查技术要求和省级实施方案或细则等对发现的变化信息要核实确认地类，调绘图斑边界，记录更新各类属性信息及单独图层变化情况;对影像未能反映的新增地物进行补测和调查;对于无法通过遥感影像确定地类的变化地块，可实地举证，并通过“国土调查云”平台及时在线提交举证照片各地充分利用城市国土空间监测、地籍调查和不动产登记等成果，对城镇村庄内部国土利用现状二级地类进行调查更新。</w:t>
      </w:r>
    </w:p>
    <w:p w14:paraId="4B4337E9">
      <w:pPr>
        <w:keepNext w:val="0"/>
        <w:keepLines w:val="0"/>
        <w:pageBreakBefore w:val="0"/>
        <w:widowControl w:val="0"/>
        <w:kinsoku/>
        <w:wordWrap/>
        <w:overflowPunct/>
        <w:topLinePunct w:val="0"/>
        <w:autoSpaceDE/>
        <w:autoSpaceDN/>
        <w:bidi w:val="0"/>
        <w:adjustRightInd/>
        <w:snapToGrid/>
        <w:spacing w:line="460" w:lineRule="exact"/>
        <w:ind w:left="0"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(3)数据制作与上报</w:t>
      </w:r>
    </w:p>
    <w:p w14:paraId="79C52E3C">
      <w:pPr>
        <w:keepNext w:val="0"/>
        <w:keepLines w:val="0"/>
        <w:pageBreakBefore w:val="0"/>
        <w:widowControl w:val="0"/>
        <w:kinsoku/>
        <w:wordWrap/>
        <w:overflowPunct/>
        <w:topLinePunct w:val="0"/>
        <w:autoSpaceDE/>
        <w:autoSpaceDN/>
        <w:bidi w:val="0"/>
        <w:adjustRightInd/>
        <w:snapToGrid/>
        <w:spacing w:line="460" w:lineRule="exact"/>
        <w:ind w:left="0" w:leftChars="0"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县级自然资源主管部门利用“国土调查云”平台开展日常变更调查，逐级上报到部。对于各类项目管理涉及的日常变更调查，可按照“完成一个项目，上报一个项目”或“完成一批，报送一批”的模式制作更新数据;对其他非项目管理涉及的日常变更调查，按照“完成一批，报送一批”的模式制作更新数据。对于已部署自然资源业务内网的地区，登录部署在自然资源业务内网的“国土调查云”内网平台相应任务模块，上传日常变更调查更新数据包;对于未部署自然资源业务内网的地区，采用线下方式报送日常变更调查更新数据包。</w:t>
      </w:r>
    </w:p>
    <w:p w14:paraId="0B69E96A">
      <w:pPr>
        <w:keepNext w:val="0"/>
        <w:keepLines w:val="0"/>
        <w:pageBreakBefore w:val="0"/>
        <w:widowControl w:val="0"/>
        <w:kinsoku/>
        <w:wordWrap/>
        <w:overflowPunct/>
        <w:topLinePunct w:val="0"/>
        <w:autoSpaceDE/>
        <w:autoSpaceDN/>
        <w:bidi w:val="0"/>
        <w:adjustRightInd/>
        <w:snapToGrid/>
        <w:spacing w:line="460" w:lineRule="exact"/>
        <w:ind w:left="0" w:firstLine="462" w:firstLineChars="200"/>
        <w:jc w:val="left"/>
        <w:textAlignment w:val="auto"/>
        <w:outlineLvl w:val="9"/>
        <w:rPr>
          <w:rFonts w:hint="eastAsia" w:ascii="宋体" w:hAnsi="宋体" w:eastAsia="宋体" w:cs="宋体"/>
          <w:b/>
          <w:bCs/>
          <w:color w:val="auto"/>
          <w:spacing w:val="-5"/>
          <w:sz w:val="24"/>
          <w:szCs w:val="24"/>
          <w:highlight w:val="none"/>
          <w:lang w:val="en-US" w:eastAsia="zh-CN"/>
        </w:rPr>
      </w:pPr>
      <w:r>
        <w:rPr>
          <w:rFonts w:hint="eastAsia" w:ascii="宋体" w:hAnsi="宋体" w:eastAsia="宋体" w:cs="宋体"/>
          <w:b/>
          <w:bCs/>
          <w:color w:val="auto"/>
          <w:spacing w:val="-5"/>
          <w:sz w:val="24"/>
          <w:szCs w:val="24"/>
          <w:highlight w:val="none"/>
          <w:lang w:val="en-US" w:eastAsia="zh-CN"/>
        </w:rPr>
        <w:t>3.年度变更调查</w:t>
      </w:r>
    </w:p>
    <w:p w14:paraId="5704153B">
      <w:pPr>
        <w:keepNext w:val="0"/>
        <w:keepLines w:val="0"/>
        <w:pageBreakBefore w:val="0"/>
        <w:widowControl w:val="0"/>
        <w:kinsoku/>
        <w:wordWrap/>
        <w:overflowPunct/>
        <w:topLinePunct w:val="0"/>
        <w:autoSpaceDE/>
        <w:autoSpaceDN/>
        <w:bidi w:val="0"/>
        <w:adjustRightInd/>
        <w:snapToGrid/>
        <w:spacing w:line="460" w:lineRule="exact"/>
        <w:ind w:left="0" w:leftChars="0"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年度变更调查是对全年日常变更调查成果进行汇集，结合最新遥感影像对发生新变化的地块开展补充调查，完成县级数据更新，形成年度变更调查成果，并逐级上报。</w:t>
      </w:r>
    </w:p>
    <w:p w14:paraId="50917211">
      <w:pPr>
        <w:keepNext w:val="0"/>
        <w:keepLines w:val="0"/>
        <w:pageBreakBefore w:val="0"/>
        <w:widowControl w:val="0"/>
        <w:kinsoku/>
        <w:wordWrap/>
        <w:overflowPunct/>
        <w:topLinePunct w:val="0"/>
        <w:autoSpaceDE/>
        <w:autoSpaceDN/>
        <w:bidi w:val="0"/>
        <w:adjustRightInd/>
        <w:snapToGrid/>
        <w:spacing w:line="460" w:lineRule="exact"/>
        <w:ind w:left="0" w:leftChars="0"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(1)制作调查工作底图</w:t>
      </w:r>
    </w:p>
    <w:p w14:paraId="07F7AF51">
      <w:pPr>
        <w:keepNext w:val="0"/>
        <w:keepLines w:val="0"/>
        <w:pageBreakBefore w:val="0"/>
        <w:widowControl w:val="0"/>
        <w:kinsoku/>
        <w:wordWrap/>
        <w:overflowPunct/>
        <w:topLinePunct w:val="0"/>
        <w:autoSpaceDE/>
        <w:autoSpaceDN/>
        <w:bidi w:val="0"/>
        <w:adjustRightInd/>
        <w:snapToGrid/>
        <w:spacing w:line="460" w:lineRule="exact"/>
        <w:ind w:left="0" w:leftChars="0"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以县级为基本调查单元，结合符合分辨率、时相要求的遥感影像，叠加已在部备案的各类用地管理信息矢量数据、地方在各类监测监管中自主发现的疑似变化地块以及日常变更调查成果制作县级变更调查工作底图</w:t>
      </w:r>
    </w:p>
    <w:p w14:paraId="66F2C29A">
      <w:pPr>
        <w:keepNext w:val="0"/>
        <w:keepLines w:val="0"/>
        <w:pageBreakBefore w:val="0"/>
        <w:widowControl w:val="0"/>
        <w:kinsoku/>
        <w:wordWrap/>
        <w:overflowPunct/>
        <w:topLinePunct w:val="0"/>
        <w:autoSpaceDE/>
        <w:autoSpaceDN/>
        <w:bidi w:val="0"/>
        <w:adjustRightInd/>
        <w:snapToGrid/>
        <w:spacing w:line="460" w:lineRule="exact"/>
        <w:ind w:left="0" w:leftChars="0"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(2)开展实地调查</w:t>
      </w:r>
    </w:p>
    <w:p w14:paraId="6FB84DD5">
      <w:pPr>
        <w:keepNext w:val="0"/>
        <w:keepLines w:val="0"/>
        <w:pageBreakBefore w:val="0"/>
        <w:widowControl w:val="0"/>
        <w:kinsoku/>
        <w:wordWrap/>
        <w:overflowPunct/>
        <w:topLinePunct w:val="0"/>
        <w:autoSpaceDE/>
        <w:autoSpaceDN/>
        <w:bidi w:val="0"/>
        <w:adjustRightInd/>
        <w:snapToGrid/>
        <w:spacing w:line="460" w:lineRule="exact"/>
        <w:ind w:left="0" w:leftChars="0"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以2026年12月31日为标准时点，对调查工作底图中所有的变化信息，进行核实。对新发生变化的地块以及影像未能反映的新增地物，开展实地补测、调查和举证工作，调查要求与日常变更调查要求一致。</w:t>
      </w:r>
    </w:p>
    <w:p w14:paraId="5237C1FF">
      <w:pPr>
        <w:keepNext w:val="0"/>
        <w:keepLines w:val="0"/>
        <w:pageBreakBefore w:val="0"/>
        <w:widowControl w:val="0"/>
        <w:kinsoku/>
        <w:wordWrap/>
        <w:overflowPunct/>
        <w:topLinePunct w:val="0"/>
        <w:autoSpaceDE/>
        <w:autoSpaceDN/>
        <w:bidi w:val="0"/>
        <w:adjustRightInd/>
        <w:snapToGrid/>
        <w:spacing w:line="460" w:lineRule="exact"/>
        <w:ind w:left="0" w:leftChars="0"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(3)权属信息更新</w:t>
      </w:r>
    </w:p>
    <w:p w14:paraId="6024A655">
      <w:pPr>
        <w:keepNext w:val="0"/>
        <w:keepLines w:val="0"/>
        <w:pageBreakBefore w:val="0"/>
        <w:widowControl w:val="0"/>
        <w:kinsoku/>
        <w:wordWrap/>
        <w:overflowPunct/>
        <w:topLinePunct w:val="0"/>
        <w:autoSpaceDE/>
        <w:autoSpaceDN/>
        <w:bidi w:val="0"/>
        <w:adjustRightInd/>
        <w:snapToGrid/>
        <w:spacing w:line="460" w:lineRule="exact"/>
        <w:ind w:left="0" w:leftChars="0"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按照法律法规规定，土地权属信息以确权登记机构的登记结果为准。县级调查机构要根据确权登记机构提供的登记结果，开展年度变更调查成果中的相关权属信息更新工作。</w:t>
      </w:r>
    </w:p>
    <w:p w14:paraId="4DCCF580">
      <w:pPr>
        <w:keepNext w:val="0"/>
        <w:keepLines w:val="0"/>
        <w:pageBreakBefore w:val="0"/>
        <w:widowControl w:val="0"/>
        <w:kinsoku/>
        <w:wordWrap/>
        <w:overflowPunct/>
        <w:topLinePunct w:val="0"/>
        <w:autoSpaceDE/>
        <w:autoSpaceDN/>
        <w:bidi w:val="0"/>
        <w:adjustRightInd/>
        <w:snapToGrid/>
        <w:spacing w:line="460" w:lineRule="exact"/>
        <w:ind w:left="0" w:leftChars="0"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(4)年度国土调查数据更新</w:t>
      </w:r>
    </w:p>
    <w:p w14:paraId="01393B0C">
      <w:pPr>
        <w:keepNext w:val="0"/>
        <w:keepLines w:val="0"/>
        <w:pageBreakBefore w:val="0"/>
        <w:widowControl w:val="0"/>
        <w:kinsoku/>
        <w:wordWrap/>
        <w:overflowPunct/>
        <w:topLinePunct w:val="0"/>
        <w:autoSpaceDE/>
        <w:autoSpaceDN/>
        <w:bidi w:val="0"/>
        <w:adjustRightInd/>
        <w:snapToGrid/>
        <w:spacing w:line="460" w:lineRule="exact"/>
        <w:ind w:left="0" w:leftChars="0" w:firstLine="476" w:firstLineChars="200"/>
        <w:jc w:val="left"/>
        <w:textAlignment w:val="auto"/>
        <w:outlineLvl w:val="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县级调查机构按照变更调查技术要求、国土调查数据库更新标准等，基于日常变更调查及年底集中调查成果，结合权属信息更新等成果，开展年度国土调查数据库等成果更新。</w:t>
      </w:r>
    </w:p>
    <w:p w14:paraId="789EC82B">
      <w:pPr>
        <w:keepNext w:val="0"/>
        <w:keepLines w:val="0"/>
        <w:pageBreakBefore w:val="0"/>
        <w:widowControl w:val="0"/>
        <w:kinsoku/>
        <w:wordWrap/>
        <w:overflowPunct/>
        <w:topLinePunct w:val="0"/>
        <w:autoSpaceDE/>
        <w:autoSpaceDN/>
        <w:bidi w:val="0"/>
        <w:adjustRightInd/>
        <w:snapToGrid/>
        <w:spacing w:line="460" w:lineRule="exact"/>
        <w:ind w:left="0" w:firstLine="462" w:firstLineChars="200"/>
        <w:jc w:val="left"/>
        <w:textAlignment w:val="auto"/>
        <w:outlineLvl w:val="9"/>
        <w:rPr>
          <w:rFonts w:hint="eastAsia" w:ascii="宋体" w:hAnsi="宋体" w:eastAsia="宋体" w:cs="宋体"/>
          <w:b/>
          <w:bCs/>
          <w:color w:val="auto"/>
          <w:spacing w:val="-5"/>
          <w:sz w:val="24"/>
          <w:szCs w:val="24"/>
          <w:highlight w:val="none"/>
          <w:lang w:val="en-US" w:eastAsia="zh-CN"/>
        </w:rPr>
      </w:pPr>
      <w:r>
        <w:rPr>
          <w:rFonts w:hint="eastAsia" w:ascii="宋体" w:hAnsi="宋体" w:eastAsia="宋体" w:cs="宋体"/>
          <w:b/>
          <w:bCs/>
          <w:color w:val="auto"/>
          <w:spacing w:val="-5"/>
          <w:sz w:val="24"/>
          <w:szCs w:val="24"/>
          <w:highlight w:val="none"/>
          <w:lang w:val="en-US" w:eastAsia="zh-CN"/>
        </w:rPr>
        <w:t>4.市级核查与省级核查工作</w:t>
      </w:r>
    </w:p>
    <w:p w14:paraId="05384FA1">
      <w:pPr>
        <w:keepNext w:val="0"/>
        <w:keepLines w:val="0"/>
        <w:pageBreakBefore w:val="0"/>
        <w:widowControl w:val="0"/>
        <w:kinsoku/>
        <w:wordWrap/>
        <w:overflowPunct/>
        <w:topLinePunct w:val="0"/>
        <w:autoSpaceDE/>
        <w:autoSpaceDN/>
        <w:bidi w:val="0"/>
        <w:adjustRightInd/>
        <w:snapToGrid/>
        <w:spacing w:line="460" w:lineRule="exact"/>
        <w:ind w:left="0" w:right="80" w:firstLine="472"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县级上报的调查成果经市级审核合格后报省级复核，对于市级审</w:t>
      </w:r>
      <w:r>
        <w:rPr>
          <w:rFonts w:hint="eastAsia" w:ascii="宋体" w:hAnsi="宋体" w:eastAsia="宋体" w:cs="宋体"/>
          <w:color w:val="auto"/>
          <w:spacing w:val="-3"/>
          <w:sz w:val="24"/>
          <w:szCs w:val="24"/>
          <w:highlight w:val="none"/>
        </w:rPr>
        <w:t>核和省级复核</w:t>
      </w:r>
      <w:r>
        <w:rPr>
          <w:rFonts w:hint="eastAsia" w:ascii="宋体" w:hAnsi="宋体" w:eastAsia="宋体" w:cs="宋体"/>
          <w:color w:val="auto"/>
          <w:spacing w:val="-2"/>
          <w:sz w:val="24"/>
          <w:szCs w:val="24"/>
          <w:highlight w:val="none"/>
        </w:rPr>
        <w:t>反馈的核查意见，应在省级和市级规定的时间内完成修改，涉及外业补充举证的要</w:t>
      </w:r>
      <w:r>
        <w:rPr>
          <w:rFonts w:hint="eastAsia" w:ascii="宋体" w:hAnsi="宋体" w:eastAsia="宋体" w:cs="宋体"/>
          <w:color w:val="auto"/>
          <w:spacing w:val="-1"/>
          <w:sz w:val="24"/>
          <w:szCs w:val="24"/>
          <w:highlight w:val="none"/>
        </w:rPr>
        <w:t>及时补充举证，直至市级和省级全部核查合格。</w:t>
      </w:r>
    </w:p>
    <w:p w14:paraId="2BA950BB">
      <w:pPr>
        <w:keepNext w:val="0"/>
        <w:keepLines w:val="0"/>
        <w:pageBreakBefore w:val="0"/>
        <w:widowControl w:val="0"/>
        <w:kinsoku/>
        <w:wordWrap/>
        <w:overflowPunct/>
        <w:topLinePunct w:val="0"/>
        <w:autoSpaceDE/>
        <w:autoSpaceDN/>
        <w:bidi w:val="0"/>
        <w:adjustRightInd/>
        <w:snapToGrid/>
        <w:spacing w:line="460" w:lineRule="exact"/>
        <w:jc w:val="left"/>
        <w:textAlignment w:val="auto"/>
        <w:outlineLvl w:val="9"/>
        <w:rPr>
          <w:rFonts w:hint="eastAsia" w:ascii="宋体" w:hAnsi="宋体" w:eastAsia="宋体" w:cs="宋体"/>
          <w:b/>
          <w:bCs/>
          <w:color w:val="auto"/>
          <w:spacing w:val="-5"/>
          <w:sz w:val="24"/>
          <w:szCs w:val="24"/>
          <w:highlight w:val="none"/>
        </w:rPr>
      </w:pPr>
      <w:bookmarkStart w:id="0" w:name="bookmark84"/>
      <w:bookmarkEnd w:id="0"/>
      <w:bookmarkStart w:id="1" w:name="bookmark83"/>
      <w:bookmarkEnd w:id="1"/>
      <w:r>
        <w:rPr>
          <w:rFonts w:hint="eastAsia" w:ascii="宋体" w:hAnsi="宋体" w:eastAsia="宋体" w:cs="宋体"/>
          <w:b/>
          <w:bCs/>
          <w:color w:val="auto"/>
          <w:spacing w:val="-5"/>
          <w:sz w:val="24"/>
          <w:szCs w:val="24"/>
          <w:highlight w:val="none"/>
          <w:lang w:val="en-US" w:eastAsia="zh-CN"/>
        </w:rPr>
        <w:t>3、</w:t>
      </w:r>
      <w:r>
        <w:rPr>
          <w:rFonts w:hint="eastAsia" w:ascii="宋体" w:hAnsi="宋体" w:eastAsia="宋体" w:cs="宋体"/>
          <w:b/>
          <w:bCs/>
          <w:color w:val="auto"/>
          <w:spacing w:val="-2"/>
          <w:sz w:val="24"/>
          <w:szCs w:val="24"/>
          <w:highlight w:val="none"/>
        </w:rPr>
        <w:t>主要</w:t>
      </w:r>
      <w:r>
        <w:rPr>
          <w:rFonts w:hint="eastAsia" w:ascii="宋体" w:hAnsi="宋体" w:eastAsia="宋体" w:cs="宋体"/>
          <w:b/>
          <w:bCs/>
          <w:color w:val="auto"/>
          <w:spacing w:val="-5"/>
          <w:sz w:val="24"/>
          <w:szCs w:val="24"/>
          <w:highlight w:val="none"/>
        </w:rPr>
        <w:t>成果</w:t>
      </w:r>
      <w:bookmarkStart w:id="2" w:name="bookmark86"/>
      <w:bookmarkEnd w:id="2"/>
      <w:bookmarkStart w:id="3" w:name="bookmark85"/>
      <w:bookmarkEnd w:id="3"/>
    </w:p>
    <w:p w14:paraId="12283D81">
      <w:pPr>
        <w:keepNext w:val="0"/>
        <w:keepLines w:val="0"/>
        <w:pageBreakBefore w:val="0"/>
        <w:widowControl w:val="0"/>
        <w:kinsoku/>
        <w:wordWrap/>
        <w:overflowPunct/>
        <w:topLinePunct w:val="0"/>
        <w:autoSpaceDE/>
        <w:autoSpaceDN/>
        <w:bidi w:val="0"/>
        <w:adjustRightInd/>
        <w:snapToGrid/>
        <w:spacing w:line="460" w:lineRule="exact"/>
        <w:ind w:left="0" w:right="80" w:firstLine="472" w:firstLineChars="200"/>
        <w:jc w:val="left"/>
        <w:textAlignment w:val="auto"/>
        <w:outlineLvl w:val="9"/>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主要成果包括调查数据、统计汇总表格和数据库等数据类成果，年度变更调查实施方案、技术要求及有关报告等文字类成果，以及资料收集、内业处理、外业调查、质量控制等工作过程中形成的各类过程性成果和资料。</w:t>
      </w:r>
    </w:p>
    <w:p w14:paraId="28892FE8">
      <w:pPr>
        <w:keepNext w:val="0"/>
        <w:keepLines w:val="0"/>
        <w:pageBreakBefore w:val="0"/>
        <w:widowControl w:val="0"/>
        <w:kinsoku/>
        <w:wordWrap/>
        <w:overflowPunct/>
        <w:topLinePunct w:val="0"/>
        <w:autoSpaceDE/>
        <w:autoSpaceDN/>
        <w:bidi w:val="0"/>
        <w:adjustRightInd/>
        <w:snapToGrid/>
        <w:spacing w:line="460" w:lineRule="exact"/>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b/>
          <w:bCs/>
          <w:color w:val="auto"/>
          <w:spacing w:val="-5"/>
          <w:sz w:val="24"/>
          <w:szCs w:val="24"/>
          <w:highlight w:val="none"/>
          <w:lang w:val="en-US" w:eastAsia="zh-CN"/>
        </w:rPr>
        <w:t>4、</w:t>
      </w:r>
      <w:r>
        <w:rPr>
          <w:rFonts w:hint="eastAsia" w:ascii="宋体" w:hAnsi="宋体" w:eastAsia="宋体" w:cs="宋体"/>
          <w:b/>
          <w:bCs/>
          <w:color w:val="auto"/>
          <w:spacing w:val="-5"/>
          <w:sz w:val="24"/>
          <w:szCs w:val="24"/>
          <w:highlight w:val="none"/>
        </w:rPr>
        <w:t>服务人员要求</w:t>
      </w:r>
    </w:p>
    <w:p w14:paraId="053BFE37">
      <w:pPr>
        <w:keepNext w:val="0"/>
        <w:keepLines w:val="0"/>
        <w:pageBreakBefore w:val="0"/>
        <w:widowControl w:val="0"/>
        <w:kinsoku/>
        <w:wordWrap/>
        <w:overflowPunct/>
        <w:topLinePunct w:val="0"/>
        <w:autoSpaceDE/>
        <w:autoSpaceDN/>
        <w:bidi w:val="0"/>
        <w:adjustRightInd/>
        <w:snapToGrid/>
        <w:spacing w:line="460" w:lineRule="exact"/>
        <w:ind w:left="0" w:firstLine="472" w:firstLineChars="200"/>
        <w:jc w:val="left"/>
        <w:textAlignment w:val="auto"/>
        <w:outlineLvl w:val="9"/>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rPr>
        <w:t>为保障</w:t>
      </w:r>
      <w:r>
        <w:rPr>
          <w:rFonts w:hint="eastAsia" w:ascii="宋体" w:hAnsi="宋体" w:eastAsia="宋体" w:cs="宋体"/>
          <w:color w:val="auto"/>
          <w:spacing w:val="-2"/>
          <w:sz w:val="24"/>
          <w:szCs w:val="24"/>
          <w:highlight w:val="none"/>
          <w:lang w:eastAsia="zh-CN"/>
        </w:rPr>
        <w:t>2026年</w:t>
      </w:r>
      <w:r>
        <w:rPr>
          <w:rFonts w:hint="eastAsia" w:ascii="宋体" w:hAnsi="宋体" w:eastAsia="宋体" w:cs="宋体"/>
          <w:color w:val="auto"/>
          <w:spacing w:val="-2"/>
          <w:sz w:val="24"/>
          <w:szCs w:val="24"/>
          <w:highlight w:val="none"/>
        </w:rPr>
        <w:t>度国土变更调查服务项目工作有序进行，供应商需为本项目提供稳定的技术服务团队</w:t>
      </w:r>
      <w:r>
        <w:rPr>
          <w:rFonts w:hint="eastAsia"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lang w:val="en-US" w:eastAsia="zh-CN"/>
        </w:rPr>
        <w:t>并指定项目总负责人、外业技术负责人、内业技术负责人各一位</w:t>
      </w:r>
      <w:r>
        <w:rPr>
          <w:rFonts w:hint="eastAsia"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lang w:val="en-US" w:eastAsia="zh-CN"/>
        </w:rPr>
        <w:t>成交</w:t>
      </w:r>
      <w:r>
        <w:rPr>
          <w:rFonts w:hint="eastAsia" w:ascii="宋体" w:hAnsi="宋体" w:eastAsia="宋体" w:cs="宋体"/>
          <w:color w:val="auto"/>
          <w:spacing w:val="-2"/>
          <w:sz w:val="24"/>
          <w:szCs w:val="24"/>
          <w:highlight w:val="none"/>
        </w:rPr>
        <w:t>供应商须安排</w:t>
      </w:r>
      <w:r>
        <w:rPr>
          <w:rFonts w:hint="eastAsia" w:ascii="宋体" w:hAnsi="宋体" w:eastAsia="宋体" w:cs="宋体"/>
          <w:color w:val="auto"/>
          <w:spacing w:val="-2"/>
          <w:sz w:val="24"/>
          <w:szCs w:val="24"/>
          <w:highlight w:val="none"/>
          <w:lang w:val="en-US" w:eastAsia="zh-CN"/>
        </w:rPr>
        <w:t>不少于3</w:t>
      </w:r>
      <w:r>
        <w:rPr>
          <w:rFonts w:hint="eastAsia" w:ascii="宋体" w:hAnsi="宋体" w:eastAsia="宋体" w:cs="宋体"/>
          <w:color w:val="auto"/>
          <w:spacing w:val="-2"/>
          <w:sz w:val="24"/>
          <w:szCs w:val="24"/>
          <w:highlight w:val="none"/>
        </w:rPr>
        <w:t>名具有相关国土变更调查内业建库工作经验的内业建库人员及10名外业技术人员专门负责该项工作，在该项工作启动后至数据库成果第一次上报自然资源部审查期间，</w:t>
      </w:r>
      <w:r>
        <w:rPr>
          <w:rFonts w:hint="eastAsia" w:ascii="宋体" w:hAnsi="宋体" w:eastAsia="宋体" w:cs="宋体"/>
          <w:color w:val="auto"/>
          <w:spacing w:val="-2"/>
          <w:sz w:val="24"/>
          <w:szCs w:val="24"/>
          <w:highlight w:val="none"/>
          <w:lang w:val="en-US" w:eastAsia="zh-CN"/>
        </w:rPr>
        <w:t>成交供应商</w:t>
      </w:r>
      <w:r>
        <w:rPr>
          <w:rFonts w:hint="eastAsia" w:ascii="宋体" w:hAnsi="宋体" w:eastAsia="宋体" w:cs="宋体"/>
          <w:color w:val="auto"/>
          <w:spacing w:val="-2"/>
          <w:sz w:val="24"/>
          <w:szCs w:val="24"/>
          <w:highlight w:val="none"/>
        </w:rPr>
        <w:t>须</w:t>
      </w:r>
      <w:r>
        <w:rPr>
          <w:rFonts w:hint="eastAsia" w:ascii="宋体" w:hAnsi="宋体" w:eastAsia="宋体" w:cs="宋体"/>
          <w:color w:val="auto"/>
          <w:spacing w:val="-2"/>
          <w:sz w:val="24"/>
          <w:szCs w:val="24"/>
          <w:highlight w:val="none"/>
          <w:lang w:val="en-US" w:eastAsia="zh-CN"/>
        </w:rPr>
        <w:t>按采购人的要求</w:t>
      </w:r>
      <w:r>
        <w:rPr>
          <w:rFonts w:hint="eastAsia" w:ascii="宋体" w:hAnsi="宋体" w:eastAsia="宋体" w:cs="宋体"/>
          <w:color w:val="auto"/>
          <w:spacing w:val="-2"/>
          <w:sz w:val="24"/>
          <w:szCs w:val="24"/>
          <w:highlight w:val="none"/>
        </w:rPr>
        <w:t>派驻3名内业人员常驻</w:t>
      </w:r>
      <w:r>
        <w:rPr>
          <w:rFonts w:hint="eastAsia" w:ascii="宋体" w:hAnsi="宋体" w:eastAsia="宋体" w:cs="宋体"/>
          <w:color w:val="auto"/>
          <w:spacing w:val="-2"/>
          <w:sz w:val="24"/>
          <w:szCs w:val="24"/>
          <w:highlight w:val="none"/>
          <w:lang w:val="en-US" w:eastAsia="zh-CN"/>
        </w:rPr>
        <w:t>采购人</w:t>
      </w:r>
      <w:r>
        <w:rPr>
          <w:rFonts w:hint="eastAsia" w:ascii="宋体" w:hAnsi="宋体" w:eastAsia="宋体" w:cs="宋体"/>
          <w:color w:val="auto"/>
          <w:spacing w:val="-2"/>
          <w:sz w:val="24"/>
          <w:szCs w:val="24"/>
          <w:highlight w:val="none"/>
        </w:rPr>
        <w:t>办公</w:t>
      </w:r>
      <w:r>
        <w:rPr>
          <w:rFonts w:hint="eastAsia" w:ascii="宋体" w:hAnsi="宋体" w:eastAsia="宋体" w:cs="宋体"/>
          <w:color w:val="auto"/>
          <w:spacing w:val="-2"/>
          <w:sz w:val="24"/>
          <w:szCs w:val="24"/>
          <w:highlight w:val="none"/>
          <w:lang w:val="en-US" w:eastAsia="zh-CN"/>
        </w:rPr>
        <w:t>场地办公</w:t>
      </w:r>
      <w:r>
        <w:rPr>
          <w:rFonts w:hint="eastAsia" w:ascii="宋体" w:hAnsi="宋体" w:eastAsia="宋体" w:cs="宋体"/>
          <w:color w:val="auto"/>
          <w:spacing w:val="-2"/>
          <w:sz w:val="24"/>
          <w:szCs w:val="24"/>
          <w:highlight w:val="none"/>
        </w:rPr>
        <w:t>、对接相关工作，未按</w:t>
      </w:r>
      <w:r>
        <w:rPr>
          <w:rFonts w:hint="eastAsia" w:ascii="宋体" w:hAnsi="宋体" w:eastAsia="宋体" w:cs="宋体"/>
          <w:color w:val="auto"/>
          <w:spacing w:val="-2"/>
          <w:sz w:val="24"/>
          <w:szCs w:val="24"/>
          <w:highlight w:val="none"/>
          <w:lang w:val="en-US" w:eastAsia="zh-CN"/>
        </w:rPr>
        <w:t>采购人</w:t>
      </w:r>
      <w:r>
        <w:rPr>
          <w:rFonts w:hint="eastAsia" w:ascii="宋体" w:hAnsi="宋体" w:eastAsia="宋体" w:cs="宋体"/>
          <w:color w:val="auto"/>
          <w:spacing w:val="-2"/>
          <w:sz w:val="24"/>
          <w:szCs w:val="24"/>
          <w:highlight w:val="none"/>
        </w:rPr>
        <w:t>要求派驻</w:t>
      </w:r>
      <w:r>
        <w:rPr>
          <w:rFonts w:hint="eastAsia" w:ascii="宋体" w:hAnsi="宋体" w:eastAsia="宋体" w:cs="宋体"/>
          <w:color w:val="auto"/>
          <w:spacing w:val="-2"/>
          <w:sz w:val="24"/>
          <w:szCs w:val="24"/>
          <w:highlight w:val="none"/>
          <w:lang w:val="en-US" w:eastAsia="zh-CN"/>
        </w:rPr>
        <w:t>人员</w:t>
      </w:r>
      <w:r>
        <w:rPr>
          <w:rFonts w:hint="eastAsia" w:ascii="宋体" w:hAnsi="宋体" w:eastAsia="宋体" w:cs="宋体"/>
          <w:color w:val="auto"/>
          <w:spacing w:val="-2"/>
          <w:sz w:val="24"/>
          <w:szCs w:val="24"/>
          <w:highlight w:val="none"/>
        </w:rPr>
        <w:t>的</w:t>
      </w:r>
      <w:r>
        <w:rPr>
          <w:rFonts w:hint="eastAsia" w:ascii="宋体" w:hAnsi="宋体" w:eastAsia="宋体" w:cs="宋体"/>
          <w:color w:val="auto"/>
          <w:spacing w:val="-2"/>
          <w:sz w:val="24"/>
          <w:szCs w:val="24"/>
          <w:highlight w:val="none"/>
          <w:lang w:val="en-US" w:eastAsia="zh-CN"/>
        </w:rPr>
        <w:t>及开展调查工作的</w:t>
      </w:r>
      <w:r>
        <w:rPr>
          <w:rFonts w:hint="eastAsia" w:ascii="宋体" w:hAnsi="宋体" w:eastAsia="宋体" w:cs="宋体"/>
          <w:color w:val="auto"/>
          <w:spacing w:val="-2"/>
          <w:sz w:val="24"/>
          <w:szCs w:val="24"/>
          <w:highlight w:val="none"/>
        </w:rPr>
        <w:t>，</w:t>
      </w:r>
      <w:r>
        <w:rPr>
          <w:rFonts w:hint="eastAsia" w:ascii="宋体" w:hAnsi="宋体" w:eastAsia="宋体" w:cs="宋体"/>
          <w:color w:val="auto"/>
          <w:spacing w:val="-2"/>
          <w:sz w:val="24"/>
          <w:szCs w:val="24"/>
          <w:highlight w:val="none"/>
          <w:lang w:val="en-US" w:eastAsia="zh-CN"/>
        </w:rPr>
        <w:t>采购人有权</w:t>
      </w:r>
      <w:r>
        <w:rPr>
          <w:rFonts w:hint="eastAsia" w:ascii="宋体" w:hAnsi="宋体" w:eastAsia="宋体" w:cs="宋体"/>
          <w:color w:val="auto"/>
          <w:spacing w:val="-2"/>
          <w:sz w:val="24"/>
          <w:szCs w:val="24"/>
          <w:highlight w:val="none"/>
        </w:rPr>
        <w:t>从</w:t>
      </w:r>
      <w:r>
        <w:rPr>
          <w:rFonts w:hint="eastAsia" w:ascii="宋体" w:hAnsi="宋体" w:eastAsia="宋体" w:cs="宋体"/>
          <w:color w:val="auto"/>
          <w:spacing w:val="-2"/>
          <w:sz w:val="24"/>
          <w:szCs w:val="24"/>
          <w:highlight w:val="none"/>
          <w:lang w:val="en-US" w:eastAsia="zh-CN"/>
        </w:rPr>
        <w:t>成交</w:t>
      </w:r>
      <w:r>
        <w:rPr>
          <w:rFonts w:hint="eastAsia" w:ascii="宋体" w:hAnsi="宋体" w:eastAsia="宋体" w:cs="宋体"/>
          <w:color w:val="auto"/>
          <w:spacing w:val="-2"/>
          <w:sz w:val="24"/>
          <w:szCs w:val="24"/>
          <w:highlight w:val="none"/>
        </w:rPr>
        <w:t>金额中扣减</w:t>
      </w:r>
      <w:r>
        <w:rPr>
          <w:rFonts w:hint="eastAsia" w:ascii="宋体" w:hAnsi="宋体" w:eastAsia="宋体" w:cs="宋体"/>
          <w:color w:val="auto"/>
          <w:spacing w:val="-2"/>
          <w:sz w:val="24"/>
          <w:szCs w:val="24"/>
          <w:highlight w:val="none"/>
          <w:lang w:val="en-US" w:eastAsia="zh-CN"/>
        </w:rPr>
        <w:t>最高4</w:t>
      </w:r>
      <w:r>
        <w:rPr>
          <w:rFonts w:hint="eastAsia" w:ascii="宋体" w:hAnsi="宋体" w:eastAsia="宋体" w:cs="宋体"/>
          <w:color w:val="auto"/>
          <w:spacing w:val="-2"/>
          <w:sz w:val="24"/>
          <w:szCs w:val="24"/>
          <w:highlight w:val="none"/>
        </w:rPr>
        <w:t>0%的</w:t>
      </w:r>
      <w:r>
        <w:rPr>
          <w:rFonts w:hint="eastAsia" w:ascii="宋体" w:hAnsi="宋体" w:eastAsia="宋体" w:cs="宋体"/>
          <w:color w:val="auto"/>
          <w:spacing w:val="-2"/>
          <w:sz w:val="24"/>
          <w:szCs w:val="24"/>
          <w:highlight w:val="none"/>
          <w:lang w:val="en-US" w:eastAsia="zh-CN"/>
        </w:rPr>
        <w:t>项目</w:t>
      </w:r>
      <w:r>
        <w:rPr>
          <w:rFonts w:hint="eastAsia" w:ascii="宋体" w:hAnsi="宋体" w:eastAsia="宋体" w:cs="宋体"/>
          <w:color w:val="auto"/>
          <w:spacing w:val="-2"/>
          <w:sz w:val="24"/>
          <w:szCs w:val="24"/>
          <w:highlight w:val="none"/>
        </w:rPr>
        <w:t>经费。</w:t>
      </w:r>
      <w:r>
        <w:rPr>
          <w:rFonts w:hint="eastAsia" w:ascii="宋体" w:hAnsi="宋体" w:eastAsia="宋体" w:cs="宋体"/>
          <w:color w:val="auto"/>
          <w:spacing w:val="-2"/>
          <w:sz w:val="24"/>
          <w:szCs w:val="24"/>
          <w:highlight w:val="none"/>
          <w:lang w:eastAsia="zh-CN"/>
        </w:rPr>
        <w:t>（</w:t>
      </w:r>
      <w:r>
        <w:rPr>
          <w:rFonts w:hint="eastAsia" w:ascii="宋体" w:hAnsi="宋体" w:eastAsia="宋体" w:cs="宋体"/>
          <w:b/>
          <w:bCs/>
          <w:color w:val="auto"/>
          <w:spacing w:val="-2"/>
          <w:sz w:val="24"/>
          <w:szCs w:val="24"/>
          <w:highlight w:val="none"/>
          <w:lang w:val="en-US" w:eastAsia="zh-CN"/>
        </w:rPr>
        <w:t>提供承诺函，格式自拟，如未提供或</w:t>
      </w:r>
      <w:r>
        <w:rPr>
          <w:rFonts w:hint="eastAsia" w:ascii="宋体" w:hAnsi="宋体" w:eastAsia="宋体" w:cs="宋体"/>
          <w:b/>
          <w:bCs/>
          <w:color w:val="auto"/>
          <w:spacing w:val="0"/>
          <w:position w:val="0"/>
          <w:sz w:val="24"/>
          <w:szCs w:val="24"/>
          <w:highlight w:val="none"/>
        </w:rPr>
        <w:t>不满足投标无效</w:t>
      </w:r>
      <w:r>
        <w:rPr>
          <w:rFonts w:hint="eastAsia" w:ascii="宋体" w:hAnsi="宋体" w:eastAsia="宋体" w:cs="宋体"/>
          <w:color w:val="auto"/>
          <w:spacing w:val="-2"/>
          <w:sz w:val="24"/>
          <w:szCs w:val="24"/>
          <w:highlight w:val="none"/>
          <w:lang w:eastAsia="zh-CN"/>
        </w:rPr>
        <w:t>）</w:t>
      </w:r>
    </w:p>
    <w:p w14:paraId="1326E8AD">
      <w:bookmarkStart w:id="4" w:name="_GoBack"/>
      <w:bookmarkEnd w:id="4"/>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5382B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2026-06-10T07:51:05Z</dcterms:created>
  <dc:creator>123</dc:creator>
  <cp:lastModifiedBy>123</cp:lastModifiedBy>
  <dcterms:modified xsi:type="dcterms:W3CDTF">2026-06-10T07:51:07Z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eyJoZGlkIjoiMDI4YmU5YWI2MDAyM2QyMmVmMDk3NTE1YmE4M2JlMzciLCJ1c2VySWQiOiIxMjM5NjA3NTM5In0=</vt:lpwstr>
  </property>
  <property fmtid="{D5CDD505-2E9C-101B-9397-08002B2CF9AE}" pid="4" name="ICV">
    <vt:lpwstr>0CBC89CB951F49F4B3951FA1412EF90B_12</vt:lpwstr>
  </property>
</Properties>
</file>