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97820A">
      <w:pPr>
        <w:pStyle w:val="2"/>
        <w:numPr>
          <w:ilvl w:val="0"/>
          <w:numId w:val="1"/>
        </w:numPr>
        <w:tabs>
          <w:tab w:val="left" w:pos="0"/>
        </w:tabs>
        <w:spacing w:before="500" w:after="140" w:line="400" w:lineRule="exact"/>
        <w:ind w:left="0" w:firstLine="0"/>
        <w:rPr>
          <w:rFonts w:ascii="微软雅黑" w:hAnsi="微软雅黑" w:eastAsia="微软雅黑"/>
          <w:sz w:val="36"/>
          <w:szCs w:val="36"/>
        </w:rPr>
      </w:pPr>
      <w:bookmarkStart w:id="0" w:name="_Toc144235678"/>
      <w:r>
        <w:rPr>
          <w:rFonts w:hint="eastAsia" w:ascii="微软雅黑" w:hAnsi="微软雅黑" w:eastAsia="微软雅黑"/>
          <w:sz w:val="36"/>
          <w:szCs w:val="36"/>
        </w:rPr>
        <w:t>技术标准和要求</w:t>
      </w:r>
      <w:bookmarkEnd w:id="0"/>
    </w:p>
    <w:p w14:paraId="66A8FD96">
      <w:pPr>
        <w:widowControl/>
        <w:kinsoku w:val="0"/>
        <w:autoSpaceDE w:val="0"/>
        <w:autoSpaceDN w:val="0"/>
        <w:adjustRightInd w:val="0"/>
        <w:snapToGrid w:val="0"/>
        <w:spacing w:line="500" w:lineRule="exact"/>
        <w:textAlignment w:val="baseline"/>
        <w:rPr>
          <w:rFonts w:hint="eastAsia" w:ascii="微软雅黑" w:hAnsi="微软雅黑" w:eastAsia="微软雅黑" w:cs="仿宋"/>
          <w:b/>
          <w:bCs/>
          <w:sz w:val="24"/>
        </w:rPr>
      </w:pPr>
      <w:r>
        <w:rPr>
          <w:rFonts w:hint="eastAsia" w:ascii="微软雅黑" w:hAnsi="微软雅黑" w:eastAsia="微软雅黑" w:cs="仿宋"/>
          <w:b/>
          <w:bCs/>
          <w:sz w:val="24"/>
        </w:rPr>
        <w:t>（1）工程需求</w:t>
      </w:r>
    </w:p>
    <w:p w14:paraId="6D73EA78">
      <w:pPr>
        <w:widowControl/>
        <w:kinsoku w:val="0"/>
        <w:autoSpaceDE w:val="0"/>
        <w:autoSpaceDN w:val="0"/>
        <w:adjustRightInd w:val="0"/>
        <w:snapToGrid w:val="0"/>
        <w:spacing w:line="440" w:lineRule="exact"/>
        <w:ind w:firstLine="240" w:firstLineChars="100"/>
        <w:textAlignment w:val="baseline"/>
        <w:rPr>
          <w:rFonts w:hint="eastAsia" w:ascii="微软雅黑" w:hAnsi="微软雅黑" w:eastAsia="微软雅黑" w:cs="仿宋"/>
          <w:b/>
          <w:bCs/>
          <w:sz w:val="24"/>
        </w:rPr>
      </w:pPr>
      <w:r>
        <w:rPr>
          <w:rFonts w:hint="eastAsia" w:ascii="微软雅黑" w:hAnsi="微软雅黑" w:eastAsia="微软雅黑" w:cs="仿宋"/>
          <w:b/>
          <w:bCs/>
          <w:sz w:val="24"/>
        </w:rPr>
        <w:t>1、项目概况：</w:t>
      </w:r>
    </w:p>
    <w:p w14:paraId="362C34E8">
      <w:pPr>
        <w:widowControl/>
        <w:kinsoku w:val="0"/>
        <w:autoSpaceDE w:val="0"/>
        <w:autoSpaceDN w:val="0"/>
        <w:adjustRightInd w:val="0"/>
        <w:snapToGrid w:val="0"/>
        <w:spacing w:line="440" w:lineRule="exact"/>
        <w:ind w:firstLine="480" w:firstLineChars="200"/>
        <w:textAlignment w:val="baseline"/>
        <w:rPr>
          <w:rFonts w:hint="eastAsia" w:ascii="微软雅黑" w:hAnsi="微软雅黑" w:eastAsia="微软雅黑" w:cs="仿宋"/>
          <w:sz w:val="24"/>
        </w:rPr>
      </w:pPr>
      <w:r>
        <w:rPr>
          <w:rFonts w:hint="eastAsia" w:ascii="微软雅黑" w:hAnsi="微软雅黑" w:eastAsia="微软雅黑" w:cs="仿宋"/>
          <w:sz w:val="24"/>
        </w:rPr>
        <w:t>工程名称：前湖校区</w:t>
      </w:r>
      <w:r>
        <w:rPr>
          <w:rFonts w:ascii="微软雅黑" w:hAnsi="微软雅黑" w:eastAsia="微软雅黑" w:cs="仿宋"/>
          <w:sz w:val="24"/>
        </w:rPr>
        <w:t>田径场维修工程</w:t>
      </w:r>
      <w:r>
        <w:rPr>
          <w:rFonts w:hint="eastAsia" w:ascii="微软雅黑" w:hAnsi="微软雅黑" w:eastAsia="微软雅黑" w:cs="仿宋"/>
          <w:sz w:val="24"/>
        </w:rPr>
        <w:t>采购项目；</w:t>
      </w:r>
    </w:p>
    <w:p w14:paraId="1A450AC4">
      <w:pPr>
        <w:widowControl/>
        <w:kinsoku w:val="0"/>
        <w:autoSpaceDE w:val="0"/>
        <w:autoSpaceDN w:val="0"/>
        <w:adjustRightInd w:val="0"/>
        <w:snapToGrid w:val="0"/>
        <w:spacing w:line="440" w:lineRule="exact"/>
        <w:ind w:firstLine="480" w:firstLineChars="200"/>
        <w:textAlignment w:val="baseline"/>
        <w:rPr>
          <w:rFonts w:hint="eastAsia" w:ascii="微软雅黑" w:hAnsi="微软雅黑" w:eastAsia="微软雅黑" w:cs="仿宋"/>
          <w:sz w:val="24"/>
        </w:rPr>
      </w:pPr>
      <w:r>
        <w:rPr>
          <w:rFonts w:hint="eastAsia" w:ascii="微软雅黑" w:hAnsi="微软雅黑" w:eastAsia="微软雅黑" w:cs="仿宋"/>
          <w:sz w:val="24"/>
        </w:rPr>
        <w:t>工程地点：本工程位于江西省南昌市；</w:t>
      </w:r>
    </w:p>
    <w:p w14:paraId="74E95610">
      <w:pPr>
        <w:widowControl/>
        <w:kinsoku w:val="0"/>
        <w:autoSpaceDE w:val="0"/>
        <w:autoSpaceDN w:val="0"/>
        <w:adjustRightInd w:val="0"/>
        <w:snapToGrid w:val="0"/>
        <w:spacing w:line="440" w:lineRule="exact"/>
        <w:ind w:firstLine="480" w:firstLineChars="200"/>
        <w:textAlignment w:val="baseline"/>
        <w:rPr>
          <w:rFonts w:hint="eastAsia" w:ascii="微软雅黑" w:hAnsi="微软雅黑" w:eastAsia="微软雅黑" w:cs="仿宋"/>
          <w:sz w:val="24"/>
        </w:rPr>
      </w:pPr>
      <w:r>
        <w:rPr>
          <w:rFonts w:hint="eastAsia" w:ascii="微软雅黑" w:hAnsi="微软雅黑" w:eastAsia="微软雅黑" w:cs="仿宋"/>
          <w:sz w:val="24"/>
        </w:rPr>
        <w:t>工程范围：</w:t>
      </w:r>
      <w:r>
        <w:rPr>
          <w:rFonts w:hint="eastAsia" w:ascii="微软雅黑" w:hAnsi="微软雅黑" w:eastAsia="微软雅黑" w:cs="仿宋"/>
          <w:kern w:val="0"/>
          <w:sz w:val="24"/>
        </w:rPr>
        <w:t>本项目为南昌航空大学前湖校区</w:t>
      </w:r>
      <w:r>
        <w:rPr>
          <w:rFonts w:ascii="微软雅黑" w:hAnsi="微软雅黑" w:eastAsia="微软雅黑" w:cs="仿宋"/>
          <w:kern w:val="0"/>
          <w:sz w:val="24"/>
        </w:rPr>
        <w:t>田径场维修工程</w:t>
      </w:r>
      <w:r>
        <w:rPr>
          <w:rFonts w:hint="eastAsia" w:ascii="微软雅黑" w:hAnsi="微软雅黑" w:eastAsia="微软雅黑" w:cs="仿宋"/>
          <w:kern w:val="0"/>
          <w:sz w:val="24"/>
        </w:rPr>
        <w:t>，施工内容主要为室外运动场铺装改造及南北围墙栏杆更换改造</w:t>
      </w:r>
      <w:r>
        <w:rPr>
          <w:rFonts w:ascii="微软雅黑" w:hAnsi="微软雅黑" w:eastAsia="微软雅黑" w:cs="仿宋"/>
          <w:kern w:val="0"/>
          <w:sz w:val="24"/>
        </w:rPr>
        <w:t>。</w:t>
      </w:r>
    </w:p>
    <w:p w14:paraId="0E423D98">
      <w:pPr>
        <w:widowControl/>
        <w:kinsoku w:val="0"/>
        <w:autoSpaceDE w:val="0"/>
        <w:autoSpaceDN w:val="0"/>
        <w:adjustRightInd w:val="0"/>
        <w:snapToGrid w:val="0"/>
        <w:spacing w:line="440" w:lineRule="exact"/>
        <w:ind w:firstLine="240" w:firstLineChars="100"/>
        <w:textAlignment w:val="baseline"/>
        <w:rPr>
          <w:rFonts w:hint="eastAsia" w:ascii="微软雅黑" w:hAnsi="微软雅黑" w:eastAsia="微软雅黑" w:cs="仿宋"/>
          <w:b/>
          <w:bCs/>
          <w:sz w:val="24"/>
        </w:rPr>
      </w:pPr>
      <w:r>
        <w:rPr>
          <w:rFonts w:hint="eastAsia" w:ascii="微软雅黑" w:hAnsi="微软雅黑" w:eastAsia="微软雅黑" w:cs="仿宋"/>
          <w:b/>
          <w:bCs/>
          <w:sz w:val="24"/>
        </w:rPr>
        <w:t>2、编制依据：</w:t>
      </w:r>
    </w:p>
    <w:p w14:paraId="0D98CD0D">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国家和地方政府有关工程建设和造价管理的法律、法规和方针政策；</w:t>
      </w:r>
    </w:p>
    <w:p w14:paraId="5CA3295A">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建设单位提供的有关其他资料；</w:t>
      </w:r>
    </w:p>
    <w:p w14:paraId="24EB89F4">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现行《建筑工程施工及验收规范》、设计文件及标准图集等；</w:t>
      </w:r>
    </w:p>
    <w:p w14:paraId="3A7BF186">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招标控制价的清单编制执行《建设工程工程量清单计价标准》(GB50500—2024)，参考《江西省建筑与装饰、通用安装、市政工程费用定额（2017年）》；</w:t>
      </w:r>
    </w:p>
    <w:p w14:paraId="35623D72">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主要材料价格采用《南昌市建设工程市场价格信息》（市区）和《江西省、相近地市造价信息》（正刊）（2026年3月），信息价缺项的材料按市场询价计入；</w:t>
      </w:r>
    </w:p>
    <w:p w14:paraId="2761937E">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ascii="微软雅黑" w:hAnsi="微软雅黑" w:eastAsia="微软雅黑" w:cs="仿宋"/>
          <w:kern w:val="0"/>
          <w:sz w:val="24"/>
        </w:rPr>
        <w:t>增值税：赣建价〔2019〕1号计取税金，市区县标准取费</w:t>
      </w:r>
      <w:r>
        <w:rPr>
          <w:rFonts w:hint="eastAsia" w:ascii="微软雅黑" w:hAnsi="微软雅黑" w:eastAsia="微软雅黑" w:cs="仿宋"/>
          <w:kern w:val="0"/>
          <w:sz w:val="24"/>
        </w:rPr>
        <w:t>。</w:t>
      </w:r>
    </w:p>
    <w:p w14:paraId="39926E83">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hint="eastAsia" w:ascii="微软雅黑" w:hAnsi="微软雅黑" w:eastAsia="微软雅黑" w:cs="仿宋"/>
          <w:kern w:val="0"/>
          <w:sz w:val="24"/>
        </w:rPr>
      </w:pPr>
      <w:r>
        <w:rPr>
          <w:rFonts w:hint="eastAsia" w:ascii="微软雅黑" w:hAnsi="微软雅黑" w:eastAsia="微软雅黑" w:cs="仿宋"/>
          <w:kern w:val="0"/>
          <w:sz w:val="24"/>
        </w:rPr>
        <w:t>土方开挖已综合考虑人机配合；</w:t>
      </w:r>
    </w:p>
    <w:p w14:paraId="15EC1E85">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hint="eastAsia" w:ascii="微软雅黑" w:hAnsi="微软雅黑" w:eastAsia="微软雅黑" w:cs="仿宋"/>
          <w:kern w:val="0"/>
          <w:sz w:val="24"/>
        </w:rPr>
      </w:pPr>
      <w:r>
        <w:rPr>
          <w:rFonts w:hint="eastAsia" w:ascii="微软雅黑" w:hAnsi="微软雅黑" w:eastAsia="微软雅黑" w:cs="仿宋"/>
          <w:kern w:val="0"/>
          <w:sz w:val="24"/>
        </w:rPr>
        <w:t>土方外运运距及堆弃点自行考虑；</w:t>
      </w:r>
    </w:p>
    <w:p w14:paraId="6A0ADB9B">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hint="eastAsia" w:ascii="微软雅黑" w:hAnsi="微软雅黑" w:eastAsia="微软雅黑" w:cs="仿宋"/>
          <w:kern w:val="0"/>
          <w:sz w:val="24"/>
        </w:rPr>
      </w:pPr>
      <w:r>
        <w:rPr>
          <w:rFonts w:hint="eastAsia" w:ascii="微软雅黑" w:hAnsi="微软雅黑" w:eastAsia="微软雅黑" w:cs="仿宋"/>
          <w:kern w:val="0"/>
          <w:sz w:val="24"/>
        </w:rPr>
        <w:t>现场土方回填利用原有土方，土方外购不予考虑；</w:t>
      </w:r>
    </w:p>
    <w:p w14:paraId="7069E431">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hint="eastAsia" w:ascii="微软雅黑" w:hAnsi="微软雅黑" w:eastAsia="微软雅黑" w:cs="仿宋"/>
          <w:kern w:val="0"/>
          <w:sz w:val="24"/>
        </w:rPr>
      </w:pPr>
      <w:r>
        <w:rPr>
          <w:rFonts w:hint="eastAsia" w:ascii="微软雅黑" w:hAnsi="微软雅黑" w:eastAsia="微软雅黑" w:cs="仿宋"/>
          <w:kern w:val="0"/>
          <w:sz w:val="24"/>
        </w:rPr>
        <w:t>现场混凝土及砂浆按预拌考虑，现场如与预算不一致，结算按实调整；</w:t>
      </w:r>
    </w:p>
    <w:p w14:paraId="42710704">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ascii="微软雅黑" w:hAnsi="微软雅黑" w:eastAsia="微软雅黑" w:cs="仿宋"/>
          <w:kern w:val="0"/>
          <w:sz w:val="24"/>
        </w:rPr>
      </w:pPr>
      <w:r>
        <w:rPr>
          <w:rFonts w:hint="eastAsia" w:ascii="微软雅黑" w:hAnsi="微软雅黑" w:eastAsia="微软雅黑" w:cs="仿宋"/>
          <w:kern w:val="0"/>
          <w:sz w:val="24"/>
        </w:rPr>
        <w:t>暂列金：</w:t>
      </w:r>
      <w:r>
        <w:rPr>
          <w:rFonts w:ascii="微软雅黑" w:hAnsi="微软雅黑" w:eastAsia="微软雅黑" w:cs="仿宋"/>
          <w:kern w:val="0"/>
          <w:sz w:val="24"/>
        </w:rPr>
        <w:t>12711.39元（不含税）</w:t>
      </w:r>
      <w:r>
        <w:rPr>
          <w:rFonts w:hint="eastAsia" w:ascii="微软雅黑" w:hAnsi="微软雅黑" w:eastAsia="微软雅黑" w:cs="仿宋"/>
          <w:kern w:val="0"/>
          <w:sz w:val="24"/>
        </w:rPr>
        <w:t>；</w:t>
      </w:r>
    </w:p>
    <w:p w14:paraId="51DB45B1">
      <w:pPr>
        <w:widowControl/>
        <w:numPr>
          <w:ilvl w:val="0"/>
          <w:numId w:val="2"/>
        </w:numPr>
        <w:kinsoku w:val="0"/>
        <w:autoSpaceDE w:val="0"/>
        <w:autoSpaceDN w:val="0"/>
        <w:adjustRightInd w:val="0"/>
        <w:snapToGrid w:val="0"/>
        <w:spacing w:line="440" w:lineRule="exact"/>
        <w:ind w:left="0" w:firstLine="480" w:firstLineChars="200"/>
        <w:jc w:val="left"/>
        <w:textAlignment w:val="baseline"/>
        <w:rPr>
          <w:rFonts w:hint="eastAsia" w:ascii="微软雅黑" w:hAnsi="微软雅黑" w:eastAsia="微软雅黑" w:cs="仿宋"/>
          <w:kern w:val="0"/>
          <w:sz w:val="24"/>
        </w:rPr>
      </w:pPr>
      <w:r>
        <w:rPr>
          <w:rFonts w:ascii="微软雅黑" w:hAnsi="微软雅黑" w:eastAsia="微软雅黑" w:cs="仿宋"/>
          <w:kern w:val="0"/>
          <w:sz w:val="24"/>
        </w:rPr>
        <w:t>排污费不计取，执行财税【2018】4号文：自2018年1月1日起，在全国范围内统一停征排污费和海洋工程污水排污费</w:t>
      </w:r>
      <w:r>
        <w:rPr>
          <w:rFonts w:hint="eastAsia" w:ascii="微软雅黑" w:hAnsi="微软雅黑" w:eastAsia="微软雅黑" w:cs="仿宋"/>
          <w:kern w:val="0"/>
          <w:sz w:val="24"/>
        </w:rPr>
        <w:t>。</w:t>
      </w:r>
    </w:p>
    <w:p w14:paraId="6E8DDD9E">
      <w:pPr>
        <w:widowControl/>
        <w:kinsoku w:val="0"/>
        <w:autoSpaceDE w:val="0"/>
        <w:autoSpaceDN w:val="0"/>
        <w:adjustRightInd w:val="0"/>
        <w:snapToGrid w:val="0"/>
        <w:spacing w:line="440" w:lineRule="exact"/>
        <w:ind w:firstLine="240" w:firstLineChars="100"/>
        <w:textAlignment w:val="baseline"/>
        <w:rPr>
          <w:rFonts w:ascii="微软雅黑" w:hAnsi="微软雅黑" w:eastAsia="微软雅黑" w:cs="仿宋"/>
          <w:b/>
          <w:bCs/>
          <w:sz w:val="24"/>
        </w:rPr>
      </w:pPr>
      <w:r>
        <w:rPr>
          <w:rFonts w:hint="eastAsia" w:ascii="微软雅黑" w:hAnsi="微软雅黑" w:eastAsia="微软雅黑" w:cs="仿宋"/>
          <w:b/>
          <w:bCs/>
          <w:sz w:val="24"/>
        </w:rPr>
        <w:t>3、预算主材计价品牌一览表</w:t>
      </w:r>
    </w:p>
    <w:tbl>
      <w:tblPr>
        <w:tblStyle w:val="6"/>
        <w:tblW w:w="82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2151"/>
        <w:gridCol w:w="5387"/>
      </w:tblGrid>
      <w:tr w14:paraId="0D069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91" w:type="dxa"/>
            <w:noWrap w:val="0"/>
            <w:vAlign w:val="center"/>
          </w:tcPr>
          <w:p w14:paraId="21201D17">
            <w:pPr>
              <w:widowControl/>
              <w:tabs>
                <w:tab w:val="left" w:pos="420"/>
              </w:tabs>
              <w:spacing w:line="440" w:lineRule="exact"/>
              <w:jc w:val="center"/>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序号</w:t>
            </w:r>
          </w:p>
        </w:tc>
        <w:tc>
          <w:tcPr>
            <w:tcW w:w="2151" w:type="dxa"/>
            <w:noWrap w:val="0"/>
            <w:vAlign w:val="center"/>
          </w:tcPr>
          <w:p w14:paraId="4D45D507">
            <w:pPr>
              <w:widowControl/>
              <w:spacing w:line="440" w:lineRule="exact"/>
              <w:jc w:val="center"/>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材料名称</w:t>
            </w:r>
          </w:p>
        </w:tc>
        <w:tc>
          <w:tcPr>
            <w:tcW w:w="5387" w:type="dxa"/>
            <w:noWrap w:val="0"/>
            <w:vAlign w:val="center"/>
          </w:tcPr>
          <w:p w14:paraId="62524E19">
            <w:pPr>
              <w:widowControl/>
              <w:spacing w:line="440" w:lineRule="exact"/>
              <w:jc w:val="center"/>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品牌型号</w:t>
            </w:r>
          </w:p>
        </w:tc>
      </w:tr>
      <w:tr w14:paraId="6B617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691" w:type="dxa"/>
            <w:noWrap w:val="0"/>
            <w:vAlign w:val="center"/>
          </w:tcPr>
          <w:p w14:paraId="4AE5019A">
            <w:pPr>
              <w:widowControl/>
              <w:snapToGrid w:val="0"/>
              <w:spacing w:line="440" w:lineRule="exact"/>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1</w:t>
            </w:r>
          </w:p>
        </w:tc>
        <w:tc>
          <w:tcPr>
            <w:tcW w:w="2151" w:type="dxa"/>
            <w:noWrap/>
            <w:vAlign w:val="center"/>
          </w:tcPr>
          <w:p w14:paraId="2A14F0BC">
            <w:pPr>
              <w:widowControl/>
              <w:snapToGrid w:val="0"/>
              <w:spacing w:line="440" w:lineRule="exact"/>
              <w:jc w:val="center"/>
              <w:rPr>
                <w:rFonts w:hint="eastAsia" w:ascii="微软雅黑" w:hAnsi="微软雅黑" w:eastAsia="微软雅黑" w:cs="仿宋"/>
                <w:kern w:val="0"/>
                <w:szCs w:val="21"/>
              </w:rPr>
            </w:pPr>
            <w:r>
              <w:rPr>
                <w:rFonts w:hint="eastAsia" w:ascii="微软雅黑" w:hAnsi="微软雅黑" w:eastAsia="微软雅黑" w:cs="仿宋"/>
                <w:kern w:val="0"/>
                <w:sz w:val="24"/>
              </w:rPr>
              <w:t>田径场塑胶跑道</w:t>
            </w:r>
          </w:p>
        </w:tc>
        <w:tc>
          <w:tcPr>
            <w:tcW w:w="5387" w:type="dxa"/>
            <w:noWrap w:val="0"/>
            <w:vAlign w:val="center"/>
          </w:tcPr>
          <w:p w14:paraId="2321D6F3">
            <w:pPr>
              <w:widowControl/>
              <w:snapToGrid w:val="0"/>
              <w:spacing w:line="440" w:lineRule="exact"/>
              <w:jc w:val="center"/>
              <w:rPr>
                <w:rFonts w:hint="eastAsia" w:ascii="微软雅黑" w:hAnsi="微软雅黑" w:eastAsia="微软雅黑" w:cs="仿宋"/>
                <w:kern w:val="0"/>
                <w:szCs w:val="21"/>
              </w:rPr>
            </w:pPr>
            <w:r>
              <w:rPr>
                <w:rFonts w:hint="eastAsia" w:ascii="微软雅黑" w:hAnsi="微软雅黑" w:eastAsia="微软雅黑" w:cs="仿宋"/>
                <w:kern w:val="0"/>
                <w:sz w:val="24"/>
              </w:rPr>
              <w:t>杰锐、帝森、长河或同等品牌</w:t>
            </w:r>
          </w:p>
        </w:tc>
      </w:tr>
    </w:tbl>
    <w:p w14:paraId="713E6BAC">
      <w:pPr>
        <w:pStyle w:val="9"/>
        <w:spacing w:line="440" w:lineRule="exact"/>
        <w:ind w:firstLine="480" w:firstLineChars="200"/>
        <w:jc w:val="left"/>
        <w:rPr>
          <w:rFonts w:ascii="微软雅黑" w:hAnsi="微软雅黑" w:eastAsia="微软雅黑" w:cs="仿宋"/>
          <w:b/>
          <w:bCs/>
          <w:sz w:val="24"/>
        </w:rPr>
      </w:pPr>
      <w:r>
        <w:rPr>
          <w:rFonts w:hint="eastAsia" w:ascii="微软雅黑" w:hAnsi="微软雅黑" w:eastAsia="微软雅黑" w:cs="仿宋"/>
          <w:b/>
          <w:bCs/>
          <w:sz w:val="24"/>
        </w:rPr>
        <w:t>（1）用于本工程的主要材料品质不得低于磋商文件及设计规定质量等级要求。供应商须承诺本项目拟采用的主材具体品牌（供应商每项主材只可填写一个品牌，不接受单项主材多个品牌），否则响应无效。评审依据：供应商在响应文件中提供承诺函（格式见下表“主材拟用品牌一览表”）并加盖供应商公章佐证，未提供或未按要求提供者响应无效。</w:t>
      </w:r>
    </w:p>
    <w:p w14:paraId="1E9A3246">
      <w:pPr>
        <w:spacing w:line="440" w:lineRule="exact"/>
        <w:ind w:firstLine="480" w:firstLineChars="200"/>
        <w:jc w:val="left"/>
        <w:rPr>
          <w:rFonts w:hint="eastAsia" w:ascii="微软雅黑" w:hAnsi="微软雅黑" w:eastAsia="微软雅黑" w:cs="仿宋"/>
          <w:b/>
          <w:bCs/>
          <w:kern w:val="0"/>
          <w:sz w:val="24"/>
          <w:u w:val="single"/>
        </w:rPr>
      </w:pPr>
      <w:r>
        <w:rPr>
          <w:rFonts w:hint="eastAsia" w:ascii="微软雅黑" w:hAnsi="微软雅黑" w:eastAsia="微软雅黑" w:cs="仿宋"/>
          <w:b/>
          <w:bCs/>
          <w:sz w:val="24"/>
        </w:rPr>
        <w:t>（2）</w:t>
      </w:r>
      <w:r>
        <w:rPr>
          <w:rFonts w:hint="eastAsia" w:ascii="微软雅黑" w:hAnsi="微软雅黑" w:eastAsia="微软雅黑" w:cs="仿宋"/>
          <w:b/>
          <w:bCs/>
          <w:kern w:val="0"/>
          <w:sz w:val="24"/>
        </w:rPr>
        <w:t>如供应商因不可抗力原因无法采购响应文件中承诺的品牌，经采购人许可，可采用</w:t>
      </w:r>
      <w:r>
        <w:rPr>
          <w:rFonts w:ascii="微软雅黑" w:hAnsi="微软雅黑" w:eastAsia="微软雅黑" w:cs="仿宋"/>
          <w:b/>
          <w:bCs/>
          <w:kern w:val="0"/>
          <w:sz w:val="24"/>
        </w:rPr>
        <w:t>不低于承诺品牌的同等档次</w:t>
      </w:r>
      <w:r>
        <w:rPr>
          <w:rFonts w:hint="eastAsia" w:ascii="微软雅黑" w:hAnsi="微软雅黑" w:eastAsia="微软雅黑" w:cs="仿宋"/>
          <w:b/>
          <w:bCs/>
          <w:kern w:val="0"/>
          <w:sz w:val="24"/>
        </w:rPr>
        <w:t>的品牌替代。评审依据：响应文件中提供承诺函（格式自拟）并加盖供应商公章佐证，未提供或未按要求提供者响应无效。</w:t>
      </w:r>
    </w:p>
    <w:p w14:paraId="747363E7">
      <w:pPr>
        <w:pStyle w:val="5"/>
        <w:jc w:val="center"/>
        <w:rPr>
          <w:rFonts w:hint="eastAsia" w:ascii="微软雅黑" w:hAnsi="微软雅黑" w:eastAsia="微软雅黑"/>
        </w:rPr>
      </w:pPr>
      <w:r>
        <w:rPr>
          <w:rFonts w:hint="eastAsia" w:ascii="微软雅黑" w:hAnsi="微软雅黑" w:eastAsia="微软雅黑" w:cs="仿宋"/>
          <w:b/>
          <w:bCs/>
          <w:sz w:val="24"/>
        </w:rPr>
        <w:t>格式：主材拟用品牌一览表</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2357"/>
        <w:gridCol w:w="5449"/>
      </w:tblGrid>
      <w:tr w14:paraId="1EF37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420" w:type="pct"/>
            <w:noWrap w:val="0"/>
            <w:vAlign w:val="center"/>
          </w:tcPr>
          <w:p w14:paraId="76D0F2EA">
            <w:pPr>
              <w:widowControl/>
              <w:tabs>
                <w:tab w:val="left" w:pos="420"/>
              </w:tabs>
              <w:ind w:right="-271" w:rightChars="-129"/>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序号</w:t>
            </w:r>
          </w:p>
        </w:tc>
        <w:tc>
          <w:tcPr>
            <w:tcW w:w="1383" w:type="pct"/>
            <w:noWrap w:val="0"/>
            <w:vAlign w:val="center"/>
          </w:tcPr>
          <w:p w14:paraId="630295BE">
            <w:pPr>
              <w:widowControl/>
              <w:jc w:val="center"/>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材料名称</w:t>
            </w:r>
          </w:p>
        </w:tc>
        <w:tc>
          <w:tcPr>
            <w:tcW w:w="3197" w:type="pct"/>
            <w:noWrap w:val="0"/>
            <w:vAlign w:val="center"/>
          </w:tcPr>
          <w:p w14:paraId="416DA896">
            <w:pPr>
              <w:widowControl/>
              <w:jc w:val="center"/>
              <w:rPr>
                <w:rFonts w:hint="eastAsia" w:ascii="微软雅黑" w:hAnsi="微软雅黑" w:eastAsia="微软雅黑" w:cs="仿宋"/>
                <w:b/>
                <w:bCs/>
                <w:kern w:val="0"/>
                <w:szCs w:val="21"/>
              </w:rPr>
            </w:pPr>
            <w:r>
              <w:rPr>
                <w:rFonts w:hint="eastAsia" w:ascii="微软雅黑" w:hAnsi="微软雅黑" w:eastAsia="微软雅黑" w:cs="仿宋"/>
                <w:b/>
                <w:bCs/>
                <w:kern w:val="0"/>
                <w:szCs w:val="21"/>
              </w:rPr>
              <w:t>品牌型号</w:t>
            </w:r>
          </w:p>
        </w:tc>
      </w:tr>
      <w:tr w14:paraId="264AA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420" w:type="pct"/>
            <w:noWrap w:val="0"/>
            <w:vAlign w:val="center"/>
          </w:tcPr>
          <w:p w14:paraId="5FC59E73">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1</w:t>
            </w:r>
          </w:p>
        </w:tc>
        <w:tc>
          <w:tcPr>
            <w:tcW w:w="1383" w:type="pct"/>
            <w:noWrap/>
            <w:vAlign w:val="center"/>
          </w:tcPr>
          <w:p w14:paraId="196A40F9">
            <w:pPr>
              <w:widowControl/>
              <w:snapToGrid w:val="0"/>
              <w:jc w:val="center"/>
              <w:rPr>
                <w:rFonts w:hint="eastAsia" w:ascii="微软雅黑" w:hAnsi="微软雅黑" w:eastAsia="微软雅黑" w:cs="仿宋"/>
                <w:kern w:val="0"/>
                <w:szCs w:val="21"/>
              </w:rPr>
            </w:pPr>
          </w:p>
        </w:tc>
        <w:tc>
          <w:tcPr>
            <w:tcW w:w="3197" w:type="pct"/>
            <w:noWrap w:val="0"/>
            <w:vAlign w:val="center"/>
          </w:tcPr>
          <w:p w14:paraId="364F265E">
            <w:pPr>
              <w:widowControl/>
              <w:snapToGrid w:val="0"/>
              <w:jc w:val="left"/>
              <w:rPr>
                <w:rFonts w:hint="eastAsia" w:ascii="微软雅黑" w:hAnsi="微软雅黑" w:eastAsia="微软雅黑" w:cs="仿宋"/>
                <w:kern w:val="0"/>
                <w:szCs w:val="21"/>
              </w:rPr>
            </w:pPr>
          </w:p>
        </w:tc>
      </w:tr>
      <w:tr w14:paraId="1AD20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20" w:type="pct"/>
            <w:noWrap w:val="0"/>
            <w:vAlign w:val="center"/>
          </w:tcPr>
          <w:p w14:paraId="37ECC5AE">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2</w:t>
            </w:r>
          </w:p>
        </w:tc>
        <w:tc>
          <w:tcPr>
            <w:tcW w:w="1383" w:type="pct"/>
            <w:noWrap w:val="0"/>
            <w:vAlign w:val="center"/>
          </w:tcPr>
          <w:p w14:paraId="2AA54154">
            <w:pPr>
              <w:widowControl/>
              <w:snapToGrid w:val="0"/>
              <w:jc w:val="center"/>
              <w:rPr>
                <w:rFonts w:hint="eastAsia" w:ascii="微软雅黑" w:hAnsi="微软雅黑" w:eastAsia="微软雅黑" w:cs="仿宋"/>
                <w:kern w:val="0"/>
                <w:szCs w:val="21"/>
              </w:rPr>
            </w:pPr>
          </w:p>
        </w:tc>
        <w:tc>
          <w:tcPr>
            <w:tcW w:w="3197" w:type="pct"/>
            <w:noWrap w:val="0"/>
            <w:vAlign w:val="center"/>
          </w:tcPr>
          <w:p w14:paraId="46CDAE99">
            <w:pPr>
              <w:widowControl/>
              <w:snapToGrid w:val="0"/>
              <w:jc w:val="left"/>
              <w:rPr>
                <w:rFonts w:hint="eastAsia" w:ascii="微软雅黑" w:hAnsi="微软雅黑" w:eastAsia="微软雅黑" w:cs="仿宋"/>
                <w:kern w:val="0"/>
                <w:szCs w:val="21"/>
              </w:rPr>
            </w:pPr>
          </w:p>
        </w:tc>
      </w:tr>
      <w:tr w14:paraId="2E6D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420" w:type="pct"/>
            <w:noWrap w:val="0"/>
            <w:vAlign w:val="center"/>
          </w:tcPr>
          <w:p w14:paraId="4A013C7E">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3</w:t>
            </w:r>
          </w:p>
        </w:tc>
        <w:tc>
          <w:tcPr>
            <w:tcW w:w="1383" w:type="pct"/>
            <w:noWrap w:val="0"/>
            <w:vAlign w:val="center"/>
          </w:tcPr>
          <w:p w14:paraId="02CB9C34">
            <w:pPr>
              <w:widowControl/>
              <w:snapToGrid w:val="0"/>
              <w:jc w:val="center"/>
              <w:rPr>
                <w:rFonts w:hint="eastAsia" w:ascii="微软雅黑" w:hAnsi="微软雅黑" w:eastAsia="微软雅黑" w:cs="仿宋"/>
                <w:kern w:val="0"/>
                <w:szCs w:val="21"/>
              </w:rPr>
            </w:pPr>
          </w:p>
        </w:tc>
        <w:tc>
          <w:tcPr>
            <w:tcW w:w="3197" w:type="pct"/>
            <w:noWrap w:val="0"/>
            <w:vAlign w:val="center"/>
          </w:tcPr>
          <w:p w14:paraId="1E5321D2">
            <w:pPr>
              <w:widowControl/>
              <w:snapToGrid w:val="0"/>
              <w:rPr>
                <w:rFonts w:hint="eastAsia" w:ascii="微软雅黑" w:hAnsi="微软雅黑" w:eastAsia="微软雅黑" w:cs="仿宋"/>
                <w:kern w:val="0"/>
                <w:szCs w:val="21"/>
              </w:rPr>
            </w:pPr>
          </w:p>
        </w:tc>
      </w:tr>
      <w:tr w14:paraId="6A2A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420" w:type="pct"/>
            <w:noWrap w:val="0"/>
            <w:vAlign w:val="center"/>
          </w:tcPr>
          <w:p w14:paraId="411F6F71">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4</w:t>
            </w:r>
          </w:p>
        </w:tc>
        <w:tc>
          <w:tcPr>
            <w:tcW w:w="1383" w:type="pct"/>
            <w:noWrap w:val="0"/>
            <w:vAlign w:val="center"/>
          </w:tcPr>
          <w:p w14:paraId="0ADAF3DB">
            <w:pPr>
              <w:widowControl/>
              <w:snapToGrid w:val="0"/>
              <w:jc w:val="center"/>
              <w:rPr>
                <w:rFonts w:hint="eastAsia" w:ascii="微软雅黑" w:hAnsi="微软雅黑" w:eastAsia="微软雅黑" w:cs="仿宋"/>
                <w:kern w:val="0"/>
                <w:szCs w:val="21"/>
              </w:rPr>
            </w:pPr>
          </w:p>
        </w:tc>
        <w:tc>
          <w:tcPr>
            <w:tcW w:w="3197" w:type="pct"/>
            <w:noWrap w:val="0"/>
            <w:vAlign w:val="center"/>
          </w:tcPr>
          <w:p w14:paraId="334732AD">
            <w:pPr>
              <w:widowControl/>
              <w:snapToGrid w:val="0"/>
              <w:rPr>
                <w:rFonts w:hint="eastAsia" w:ascii="微软雅黑" w:hAnsi="微软雅黑" w:eastAsia="微软雅黑" w:cs="仿宋"/>
                <w:kern w:val="0"/>
                <w:szCs w:val="21"/>
              </w:rPr>
            </w:pPr>
          </w:p>
        </w:tc>
      </w:tr>
      <w:tr w14:paraId="29DFF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20" w:type="pct"/>
            <w:noWrap w:val="0"/>
            <w:vAlign w:val="center"/>
          </w:tcPr>
          <w:p w14:paraId="3FC8021E">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5</w:t>
            </w:r>
          </w:p>
        </w:tc>
        <w:tc>
          <w:tcPr>
            <w:tcW w:w="1383" w:type="pct"/>
            <w:noWrap w:val="0"/>
            <w:vAlign w:val="center"/>
          </w:tcPr>
          <w:p w14:paraId="257D88C4">
            <w:pPr>
              <w:widowControl/>
              <w:snapToGrid w:val="0"/>
              <w:jc w:val="center"/>
              <w:rPr>
                <w:rFonts w:hint="eastAsia" w:ascii="微软雅黑" w:hAnsi="微软雅黑" w:eastAsia="微软雅黑" w:cs="仿宋"/>
                <w:kern w:val="0"/>
                <w:szCs w:val="21"/>
              </w:rPr>
            </w:pPr>
          </w:p>
        </w:tc>
        <w:tc>
          <w:tcPr>
            <w:tcW w:w="3197" w:type="pct"/>
            <w:noWrap w:val="0"/>
            <w:vAlign w:val="center"/>
          </w:tcPr>
          <w:p w14:paraId="0F499D72">
            <w:pPr>
              <w:widowControl/>
              <w:snapToGrid w:val="0"/>
              <w:rPr>
                <w:rFonts w:hint="eastAsia" w:ascii="微软雅黑" w:hAnsi="微软雅黑" w:eastAsia="微软雅黑" w:cs="仿宋"/>
                <w:kern w:val="0"/>
                <w:szCs w:val="21"/>
              </w:rPr>
            </w:pPr>
          </w:p>
        </w:tc>
      </w:tr>
      <w:tr w14:paraId="6AB56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420" w:type="pct"/>
            <w:noWrap w:val="0"/>
            <w:vAlign w:val="center"/>
          </w:tcPr>
          <w:p w14:paraId="2B3489AE">
            <w:pPr>
              <w:widowControl/>
              <w:snapToGrid w:val="0"/>
              <w:jc w:val="center"/>
              <w:rPr>
                <w:rFonts w:hint="eastAsia" w:ascii="微软雅黑" w:hAnsi="微软雅黑" w:eastAsia="微软雅黑" w:cs="仿宋"/>
                <w:kern w:val="0"/>
                <w:szCs w:val="21"/>
              </w:rPr>
            </w:pPr>
            <w:r>
              <w:rPr>
                <w:rFonts w:hint="eastAsia" w:ascii="微软雅黑" w:hAnsi="微软雅黑" w:eastAsia="微软雅黑" w:cs="仿宋"/>
                <w:kern w:val="0"/>
                <w:szCs w:val="21"/>
              </w:rPr>
              <w:t>6</w:t>
            </w:r>
          </w:p>
        </w:tc>
        <w:tc>
          <w:tcPr>
            <w:tcW w:w="1383" w:type="pct"/>
            <w:noWrap w:val="0"/>
            <w:vAlign w:val="center"/>
          </w:tcPr>
          <w:p w14:paraId="426BFF1B">
            <w:pPr>
              <w:widowControl/>
              <w:snapToGrid w:val="0"/>
              <w:jc w:val="center"/>
              <w:rPr>
                <w:rFonts w:hint="eastAsia" w:ascii="微软雅黑" w:hAnsi="微软雅黑" w:eastAsia="微软雅黑" w:cs="仿宋"/>
                <w:kern w:val="0"/>
                <w:szCs w:val="21"/>
              </w:rPr>
            </w:pPr>
          </w:p>
        </w:tc>
        <w:tc>
          <w:tcPr>
            <w:tcW w:w="3197" w:type="pct"/>
            <w:noWrap w:val="0"/>
            <w:vAlign w:val="center"/>
          </w:tcPr>
          <w:p w14:paraId="19667889">
            <w:pPr>
              <w:widowControl/>
              <w:snapToGrid w:val="0"/>
              <w:jc w:val="left"/>
              <w:rPr>
                <w:rFonts w:hint="eastAsia" w:ascii="微软雅黑" w:hAnsi="微软雅黑" w:eastAsia="微软雅黑" w:cs="仿宋"/>
                <w:kern w:val="0"/>
                <w:szCs w:val="21"/>
              </w:rPr>
            </w:pPr>
          </w:p>
        </w:tc>
      </w:tr>
    </w:tbl>
    <w:p w14:paraId="5636FAF9">
      <w:pPr>
        <w:adjustRightInd w:val="0"/>
        <w:spacing w:line="480" w:lineRule="exact"/>
        <w:ind w:firstLine="480" w:firstLineChars="200"/>
        <w:rPr>
          <w:rFonts w:hint="eastAsia" w:ascii="微软雅黑" w:hAnsi="微软雅黑" w:eastAsia="微软雅黑" w:cs="仿宋"/>
          <w:b/>
          <w:bCs/>
          <w:sz w:val="24"/>
        </w:rPr>
      </w:pPr>
      <w:r>
        <w:rPr>
          <w:rFonts w:hint="eastAsia" w:ascii="微软雅黑" w:hAnsi="微软雅黑" w:eastAsia="微软雅黑" w:cs="仿宋"/>
          <w:b/>
          <w:bCs/>
          <w:sz w:val="24"/>
        </w:rPr>
        <w:t>4、本项目</w:t>
      </w:r>
      <w:bookmarkStart w:id="1" w:name="_Hlk173421834"/>
      <w:r>
        <w:rPr>
          <w:rFonts w:hint="eastAsia" w:ascii="微软雅黑" w:hAnsi="微软雅黑" w:eastAsia="微软雅黑" w:cs="仿宋"/>
          <w:b/>
          <w:bCs/>
          <w:sz w:val="24"/>
        </w:rPr>
        <w:t>工程量清单</w:t>
      </w:r>
      <w:bookmarkEnd w:id="1"/>
      <w:r>
        <w:rPr>
          <w:rFonts w:hint="eastAsia" w:ascii="微软雅黑" w:hAnsi="微软雅黑" w:eastAsia="微软雅黑" w:cs="仿宋"/>
          <w:b/>
          <w:bCs/>
          <w:sz w:val="24"/>
        </w:rPr>
        <w:t>详见附件及图纸（以电子版形式提供，供应商自行下载）</w:t>
      </w:r>
    </w:p>
    <w:p w14:paraId="40B5377D">
      <w:pPr>
        <w:adjustRightInd w:val="0"/>
        <w:spacing w:line="480" w:lineRule="exact"/>
        <w:ind w:firstLine="480" w:firstLineChars="200"/>
        <w:rPr>
          <w:rFonts w:hint="eastAsia" w:ascii="微软雅黑" w:hAnsi="微软雅黑" w:eastAsia="微软雅黑" w:cs="仿宋"/>
          <w:b/>
          <w:bCs/>
          <w:sz w:val="24"/>
        </w:rPr>
      </w:pPr>
      <w:r>
        <w:rPr>
          <w:rFonts w:hint="eastAsia" w:ascii="微软雅黑" w:hAnsi="微软雅黑" w:eastAsia="微软雅黑" w:cs="仿宋"/>
          <w:b/>
          <w:bCs/>
          <w:sz w:val="24"/>
        </w:rPr>
        <w:t>5、工程要求</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6"/>
        <w:gridCol w:w="1575"/>
        <w:gridCol w:w="6151"/>
      </w:tblGrid>
      <w:tr w14:paraId="32B30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67" w:type="pct"/>
            <w:noWrap w:val="0"/>
            <w:vAlign w:val="center"/>
          </w:tcPr>
          <w:p w14:paraId="5708AA4F">
            <w:pPr>
              <w:spacing w:line="360" w:lineRule="auto"/>
              <w:jc w:val="center"/>
              <w:rPr>
                <w:rFonts w:ascii="微软雅黑" w:hAnsi="微软雅黑" w:eastAsia="微软雅黑" w:cs="仿宋"/>
                <w:b/>
                <w:sz w:val="24"/>
              </w:rPr>
            </w:pPr>
            <w:r>
              <w:rPr>
                <w:rFonts w:hint="eastAsia" w:ascii="微软雅黑" w:hAnsi="微软雅黑" w:eastAsia="微软雅黑" w:cs="仿宋"/>
                <w:b/>
                <w:sz w:val="24"/>
              </w:rPr>
              <w:t>序号</w:t>
            </w:r>
          </w:p>
        </w:tc>
        <w:tc>
          <w:tcPr>
            <w:tcW w:w="924" w:type="pct"/>
            <w:noWrap w:val="0"/>
            <w:vAlign w:val="center"/>
          </w:tcPr>
          <w:p w14:paraId="0987B016">
            <w:pPr>
              <w:spacing w:line="360" w:lineRule="auto"/>
              <w:jc w:val="center"/>
              <w:rPr>
                <w:rFonts w:ascii="微软雅黑" w:hAnsi="微软雅黑" w:eastAsia="微软雅黑" w:cs="仿宋"/>
                <w:b/>
                <w:sz w:val="24"/>
              </w:rPr>
            </w:pPr>
            <w:r>
              <w:rPr>
                <w:rFonts w:hint="eastAsia" w:ascii="微软雅黑" w:hAnsi="微软雅黑" w:eastAsia="微软雅黑" w:cs="仿宋"/>
                <w:b/>
                <w:sz w:val="24"/>
              </w:rPr>
              <w:t>项目明细</w:t>
            </w:r>
          </w:p>
        </w:tc>
        <w:tc>
          <w:tcPr>
            <w:tcW w:w="3607" w:type="pct"/>
            <w:noWrap w:val="0"/>
            <w:vAlign w:val="center"/>
          </w:tcPr>
          <w:p w14:paraId="59C1DBCD">
            <w:pPr>
              <w:spacing w:line="360" w:lineRule="auto"/>
              <w:jc w:val="center"/>
              <w:rPr>
                <w:rFonts w:ascii="微软雅黑" w:hAnsi="微软雅黑" w:eastAsia="微软雅黑" w:cs="仿宋"/>
                <w:b/>
                <w:sz w:val="24"/>
              </w:rPr>
            </w:pPr>
            <w:r>
              <w:rPr>
                <w:rFonts w:hint="eastAsia" w:ascii="微软雅黑" w:hAnsi="微软雅黑" w:eastAsia="微软雅黑" w:cs="仿宋"/>
                <w:b/>
                <w:sz w:val="24"/>
              </w:rPr>
              <w:t>主要技术参数</w:t>
            </w:r>
          </w:p>
        </w:tc>
      </w:tr>
      <w:tr w14:paraId="795F7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67" w:type="pct"/>
            <w:noWrap w:val="0"/>
            <w:vAlign w:val="center"/>
          </w:tcPr>
          <w:p w14:paraId="75AB74AE">
            <w:pPr>
              <w:spacing w:line="360" w:lineRule="auto"/>
              <w:jc w:val="center"/>
              <w:rPr>
                <w:rFonts w:ascii="微软雅黑" w:hAnsi="微软雅黑" w:eastAsia="微软雅黑" w:cs="仿宋"/>
                <w:sz w:val="24"/>
              </w:rPr>
            </w:pPr>
            <w:r>
              <w:rPr>
                <w:rFonts w:hint="eastAsia" w:ascii="微软雅黑" w:hAnsi="微软雅黑" w:eastAsia="微软雅黑" w:cs="仿宋"/>
                <w:sz w:val="24"/>
              </w:rPr>
              <w:t>1</w:t>
            </w:r>
          </w:p>
        </w:tc>
        <w:tc>
          <w:tcPr>
            <w:tcW w:w="924" w:type="pct"/>
            <w:noWrap w:val="0"/>
            <w:vAlign w:val="center"/>
          </w:tcPr>
          <w:p w14:paraId="1254F8AC">
            <w:pPr>
              <w:autoSpaceDE w:val="0"/>
              <w:autoSpaceDN w:val="0"/>
              <w:adjustRightInd w:val="0"/>
              <w:spacing w:line="360" w:lineRule="auto"/>
              <w:jc w:val="center"/>
              <w:rPr>
                <w:rFonts w:ascii="微软雅黑" w:hAnsi="微软雅黑" w:eastAsia="微软雅黑" w:cs="仿宋"/>
                <w:sz w:val="24"/>
              </w:rPr>
            </w:pPr>
            <w:r>
              <w:rPr>
                <w:rFonts w:hint="eastAsia" w:ascii="微软雅黑" w:hAnsi="微软雅黑" w:eastAsia="微软雅黑" w:cs="仿宋"/>
                <w:sz w:val="24"/>
              </w:rPr>
              <w:t>质量要求</w:t>
            </w:r>
          </w:p>
        </w:tc>
        <w:tc>
          <w:tcPr>
            <w:tcW w:w="3607" w:type="pct"/>
            <w:noWrap w:val="0"/>
            <w:vAlign w:val="top"/>
          </w:tcPr>
          <w:p w14:paraId="2C45E0EF">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1.质量标准：应符合国家工程质量验收标准，供应商应以现行的国家验收规范和质量评定标准、设计施工图纸、施工说明书、设备说明书等技术文件为依据进行施工。</w:t>
            </w:r>
          </w:p>
          <w:p w14:paraId="67CC7E09">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2施工要求：</w:t>
            </w:r>
          </w:p>
          <w:p w14:paraId="1048C6EC">
            <w:pPr>
              <w:pStyle w:val="10"/>
              <w:tabs>
                <w:tab w:val="left" w:pos="5217"/>
              </w:tabs>
              <w:spacing w:line="440" w:lineRule="exact"/>
              <w:ind w:firstLine="0"/>
              <w:rPr>
                <w:rFonts w:hint="eastAsia" w:ascii="微软雅黑" w:hAnsi="微软雅黑" w:eastAsia="微软雅黑" w:cs="仿宋"/>
                <w:kern w:val="0"/>
                <w:sz w:val="24"/>
                <w:lang w:val="en-US" w:eastAsia="zh-CN" w:bidi="ar-SA"/>
              </w:rPr>
            </w:pPr>
            <w:bookmarkStart w:id="2" w:name="bookmark17"/>
            <w:bookmarkEnd w:id="2"/>
            <w:r>
              <w:rPr>
                <w:rFonts w:hint="eastAsia" w:ascii="微软雅黑" w:hAnsi="微软雅黑" w:eastAsia="微软雅黑" w:cs="仿宋"/>
                <w:kern w:val="0"/>
                <w:sz w:val="24"/>
                <w:lang w:val="en-US" w:eastAsia="zh-CN" w:bidi="ar-SA"/>
              </w:rPr>
              <w:t>2.</w:t>
            </w:r>
            <w:r>
              <w:rPr>
                <w:rFonts w:ascii="微软雅黑" w:hAnsi="微软雅黑" w:eastAsia="微软雅黑" w:cs="仿宋"/>
                <w:kern w:val="0"/>
                <w:sz w:val="24"/>
                <w:lang w:val="en-US" w:eastAsia="zh-CN" w:bidi="ar-SA"/>
              </w:rPr>
              <w:t>1、工程质量必须符合国家现行验收规范及合同约定。因供应商原因导致质量不合格的，必须无偿返工直至合格；无法修复或返工后仍不合格的，采购人有权拒绝接收该部分工程，不予支付相应款项，并有权解除合同，由此造成的一切损失由供应商承担。</w:t>
            </w:r>
          </w:p>
          <w:p w14:paraId="28D10DA0">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2.2.供应商每道工序施工完成并自检合格后，应及时通知</w:t>
            </w:r>
            <w:r>
              <w:rPr>
                <w:rFonts w:hint="eastAsia" w:ascii="微软雅黑" w:hAnsi="微软雅黑" w:eastAsia="微软雅黑" w:cs="仿宋"/>
                <w:sz w:val="24"/>
                <w:szCs w:val="24"/>
                <w:lang w:val="en-US" w:eastAsia="zh-CN" w:bidi="ar-SA"/>
              </w:rPr>
              <w:t>监理单位（如有）</w:t>
            </w:r>
            <w:r>
              <w:rPr>
                <w:rFonts w:hint="eastAsia" w:ascii="微软雅黑" w:hAnsi="微软雅黑" w:eastAsia="微软雅黑" w:cs="仿宋"/>
                <w:kern w:val="0"/>
                <w:sz w:val="24"/>
                <w:lang w:val="en-US" w:eastAsia="zh-CN" w:bidi="ar-SA"/>
              </w:rPr>
              <w:t>及采购人现场验收，上道工序验收合格后方可进行下道工序施工。隐蔽工程必须严格执行前述验收流程</w:t>
            </w:r>
            <w:r>
              <w:rPr>
                <w:rFonts w:hint="eastAsia" w:ascii="微软雅黑" w:hAnsi="微软雅黑" w:eastAsia="微软雅黑" w:cs="仿宋"/>
                <w:sz w:val="24"/>
                <w:szCs w:val="24"/>
                <w:lang w:val="en-US" w:eastAsia="zh-CN" w:bidi="ar-SA"/>
              </w:rPr>
              <w:t>（隐蔽工程图片应附带水印、日期、地点）</w:t>
            </w:r>
            <w:r>
              <w:rPr>
                <w:rFonts w:hint="eastAsia" w:ascii="微软雅黑" w:hAnsi="微软雅黑" w:eastAsia="微软雅黑" w:cs="仿宋"/>
                <w:kern w:val="0"/>
                <w:sz w:val="24"/>
                <w:lang w:val="en-US" w:eastAsia="zh-CN" w:bidi="ar-SA"/>
              </w:rPr>
              <w:t>，严禁未验先隐蔽、未签字擅自施工，凡未按规定履行隐蔽验收程序的，一律不计入工程结算范围。</w:t>
            </w:r>
          </w:p>
          <w:p w14:paraId="7565D7D0">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2.3供应商如果出现质量事故，必须在第一时间上报采购人，同时按照国家有关规定进行处理。因供应商原因造成的质量事故责任由供应商负责，由此产生的材料损失及工程重做、返修、返工等一切费用均由供应商承担，并应向采购人赔偿损失，赔偿数额据实计算。</w:t>
            </w:r>
          </w:p>
          <w:p w14:paraId="5EB17840">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2.4</w:t>
            </w:r>
            <w:r>
              <w:rPr>
                <w:rFonts w:ascii="微软雅黑" w:hAnsi="微软雅黑" w:eastAsia="微软雅黑" w:cs="仿宋"/>
                <w:kern w:val="0"/>
                <w:sz w:val="24"/>
                <w:lang w:val="en-US" w:eastAsia="zh-CN" w:bidi="ar-SA"/>
              </w:rPr>
              <w:t>施工中供应商不得擅自对工程设计进行变更。因供应商擅自变更设计、偷工减料或施工不当引起的设计变更及返工，所发生的全部费用由供应商承担，延误的工期不予顺延；造成质量事故的，供应商还应承担相应的法律责任及赔偿责任。</w:t>
            </w:r>
          </w:p>
          <w:p w14:paraId="3F5C2CD1">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2.5</w:t>
            </w:r>
            <w:r>
              <w:rPr>
                <w:rFonts w:ascii="微软雅黑" w:hAnsi="微软雅黑" w:eastAsia="微软雅黑" w:cs="仿宋"/>
                <w:kern w:val="0"/>
                <w:sz w:val="24"/>
                <w:lang w:val="en-US" w:eastAsia="zh-CN" w:bidi="ar-SA"/>
              </w:rPr>
              <w:t>本工程严格执行工程质量终身责任制。供应商的项目负责人对工程质量承担终身责任。本工程缺陷责任期为 24 个月，自竣工验收合格之日起计算。在缺陷责任期内，成交供应商应按合同约定承担保修责任。</w:t>
            </w:r>
          </w:p>
        </w:tc>
      </w:tr>
      <w:tr w14:paraId="4B4E9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 w:type="pct"/>
            <w:noWrap w:val="0"/>
            <w:vAlign w:val="center"/>
          </w:tcPr>
          <w:p w14:paraId="32377BF3">
            <w:pPr>
              <w:spacing w:line="360" w:lineRule="auto"/>
              <w:jc w:val="center"/>
              <w:rPr>
                <w:rFonts w:ascii="微软雅黑" w:hAnsi="微软雅黑" w:eastAsia="微软雅黑" w:cs="仿宋"/>
                <w:sz w:val="24"/>
              </w:rPr>
            </w:pPr>
            <w:r>
              <w:rPr>
                <w:rFonts w:hint="eastAsia" w:ascii="微软雅黑" w:hAnsi="微软雅黑" w:eastAsia="微软雅黑" w:cs="仿宋"/>
                <w:sz w:val="24"/>
              </w:rPr>
              <w:t>2</w:t>
            </w:r>
          </w:p>
        </w:tc>
        <w:tc>
          <w:tcPr>
            <w:tcW w:w="924" w:type="pct"/>
            <w:noWrap w:val="0"/>
            <w:vAlign w:val="center"/>
          </w:tcPr>
          <w:p w14:paraId="255F374A">
            <w:pPr>
              <w:autoSpaceDE w:val="0"/>
              <w:autoSpaceDN w:val="0"/>
              <w:adjustRightInd w:val="0"/>
              <w:spacing w:line="360" w:lineRule="auto"/>
              <w:jc w:val="center"/>
              <w:rPr>
                <w:rFonts w:ascii="微软雅黑" w:hAnsi="微软雅黑" w:eastAsia="微软雅黑" w:cs="仿宋"/>
                <w:sz w:val="24"/>
              </w:rPr>
            </w:pPr>
            <w:r>
              <w:rPr>
                <w:rFonts w:hint="eastAsia" w:ascii="微软雅黑" w:hAnsi="微软雅黑" w:eastAsia="微软雅黑" w:cs="仿宋"/>
                <w:sz w:val="24"/>
              </w:rPr>
              <w:t>人员要求</w:t>
            </w:r>
          </w:p>
        </w:tc>
        <w:tc>
          <w:tcPr>
            <w:tcW w:w="0" w:type="auto"/>
            <w:noWrap w:val="0"/>
            <w:vAlign w:val="center"/>
          </w:tcPr>
          <w:p w14:paraId="26446AA3">
            <w:pPr>
              <w:pStyle w:val="11"/>
              <w:autoSpaceDE w:val="0"/>
              <w:autoSpaceDN w:val="0"/>
              <w:adjustRightInd w:val="0"/>
              <w:spacing w:line="440" w:lineRule="exact"/>
              <w:ind w:firstLine="0" w:firstLineChars="0"/>
              <w:rPr>
                <w:rFonts w:hint="eastAsia" w:ascii="微软雅黑" w:hAnsi="微软雅黑" w:eastAsia="微软雅黑" w:cs="仿宋"/>
                <w:b/>
                <w:bCs/>
                <w:kern w:val="0"/>
                <w:sz w:val="24"/>
              </w:rPr>
            </w:pPr>
            <w:r>
              <w:rPr>
                <w:rFonts w:hint="eastAsia" w:ascii="微软雅黑" w:hAnsi="微软雅黑" w:eastAsia="微软雅黑" w:cs="仿宋"/>
                <w:b/>
                <w:bCs/>
                <w:kern w:val="0"/>
                <w:sz w:val="24"/>
              </w:rPr>
              <w:t>1、工程预计在6月份开工，供应商须派管理人员、施工班组开工建设，管理人员须包含施工员、质量员（或质检员）、专职安全生产管理员，以上人员须为本单位在职人员。</w:t>
            </w:r>
          </w:p>
          <w:p w14:paraId="3236BEF9">
            <w:pPr>
              <w:autoSpaceDE w:val="0"/>
              <w:autoSpaceDN w:val="0"/>
              <w:adjustRightInd w:val="0"/>
              <w:spacing w:line="440" w:lineRule="exact"/>
              <w:rPr>
                <w:rFonts w:hint="eastAsia" w:ascii="微软雅黑" w:hAnsi="微软雅黑" w:eastAsia="微软雅黑" w:cs="仿宋"/>
                <w:kern w:val="0"/>
                <w:sz w:val="24"/>
              </w:rPr>
            </w:pPr>
            <w:r>
              <w:rPr>
                <w:rFonts w:hint="eastAsia" w:ascii="微软雅黑" w:hAnsi="微软雅黑" w:eastAsia="微软雅黑" w:cs="仿宋"/>
                <w:b/>
                <w:bCs/>
                <w:kern w:val="0"/>
                <w:sz w:val="24"/>
              </w:rPr>
              <w:t>评审依据：响应文件中提供①拟派本项目的人员清单②施工员、质量员（或质检员）、专职安全生产管理员均须持有效的岗位证书或培训证书，专职安全生产管理员可提供建设行政主管部门核发的经年检合格有效的安全生产考核合格证书 C 证替代岗位证书（证书上的单位名称须与供应商名称一致），③以上人员须提供磋商前6个月内任意1个月供应商为其缴纳的社保缴纳证明材料，否则响应无效。</w:t>
            </w:r>
          </w:p>
          <w:p w14:paraId="07BBD10D">
            <w:pPr>
              <w:pStyle w:val="10"/>
              <w:tabs>
                <w:tab w:val="left" w:pos="5217"/>
              </w:tabs>
              <w:spacing w:line="440" w:lineRule="exact"/>
              <w:ind w:firstLine="480" w:firstLineChars="20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本项目为田径场修缮类工程，施工涉及体育类产品等作业内容，供应商应配备相应技能水平的作业人员。</w:t>
            </w:r>
          </w:p>
          <w:p w14:paraId="058BCC3D">
            <w:pPr>
              <w:pStyle w:val="10"/>
              <w:tabs>
                <w:tab w:val="left" w:pos="5217"/>
              </w:tabs>
              <w:spacing w:line="440" w:lineRule="exact"/>
              <w:ind w:firstLine="0"/>
              <w:rPr>
                <w:rFonts w:hint="eastAsia" w:ascii="微软雅黑" w:hAnsi="微软雅黑" w:eastAsia="微软雅黑" w:cs="仿宋"/>
                <w:kern w:val="0"/>
                <w:sz w:val="24"/>
                <w:lang w:val="en-US" w:eastAsia="zh-CN" w:bidi="ar-SA"/>
              </w:rPr>
            </w:pPr>
            <w:r>
              <w:rPr>
                <w:rFonts w:hint="eastAsia" w:ascii="微软雅黑" w:hAnsi="微软雅黑" w:eastAsia="微软雅黑" w:cs="仿宋"/>
                <w:kern w:val="0"/>
                <w:sz w:val="24"/>
                <w:lang w:val="en-US" w:eastAsia="zh-CN" w:bidi="ar-SA"/>
              </w:rPr>
              <w:t>2、在项目施工过程中，</w:t>
            </w:r>
            <w:r>
              <w:rPr>
                <w:rFonts w:ascii="微软雅黑" w:hAnsi="微软雅黑" w:eastAsia="微软雅黑" w:cs="仿宋"/>
                <w:kern w:val="0"/>
                <w:sz w:val="24"/>
                <w:lang w:val="en-US" w:eastAsia="zh-CN" w:bidi="ar-SA"/>
              </w:rPr>
              <w:t>供应商项目经理为项目第一负责人和工地代表，不得更换。在现场的时间不低于22天/月；每天不少于8小时。如果供应商违反上述约定，则按每天1000元人民币向采购人支付违约金；若供应商的项目经理无故不到岗，则按每天</w:t>
            </w:r>
            <w:r>
              <w:rPr>
                <w:rFonts w:ascii="微软雅黑" w:hAnsi="微软雅黑" w:eastAsia="微软雅黑" w:cs="仿宋"/>
                <w:kern w:val="0"/>
                <w:sz w:val="24"/>
                <w:u w:val="single"/>
                <w:lang w:val="en-US" w:eastAsia="zh-CN" w:bidi="ar-SA"/>
              </w:rPr>
              <w:t>3000</w:t>
            </w:r>
            <w:r>
              <w:rPr>
                <w:rFonts w:ascii="微软雅黑" w:hAnsi="微软雅黑" w:eastAsia="微软雅黑" w:cs="仿宋"/>
                <w:kern w:val="0"/>
                <w:sz w:val="24"/>
                <w:lang w:val="en-US" w:eastAsia="zh-CN" w:bidi="ar-SA"/>
              </w:rPr>
              <w:t>元人民币向采购人支付违约金。累计违约金额达到履约保证金总额的</w:t>
            </w:r>
            <w:r>
              <w:rPr>
                <w:rFonts w:ascii="微软雅黑" w:hAnsi="微软雅黑" w:eastAsia="微软雅黑" w:cs="仿宋"/>
                <w:kern w:val="0"/>
                <w:sz w:val="24"/>
                <w:u w:val="single"/>
                <w:lang w:val="en-US" w:eastAsia="zh-CN" w:bidi="ar-SA"/>
              </w:rPr>
              <w:t>30%</w:t>
            </w:r>
            <w:r>
              <w:rPr>
                <w:rFonts w:ascii="微软雅黑" w:hAnsi="微软雅黑" w:eastAsia="微软雅黑" w:cs="仿宋"/>
                <w:kern w:val="0"/>
                <w:sz w:val="24"/>
                <w:lang w:val="en-US" w:eastAsia="zh-CN" w:bidi="ar-SA"/>
              </w:rPr>
              <w:t>，或情节严重的，采购人有权解除合同，并扣除相应履约保证金以弥补损失</w:t>
            </w:r>
            <w:r>
              <w:rPr>
                <w:rFonts w:hint="eastAsia" w:ascii="微软雅黑" w:hAnsi="微软雅黑" w:eastAsia="微软雅黑" w:cs="仿宋"/>
                <w:kern w:val="0"/>
                <w:sz w:val="24"/>
                <w:lang w:val="en-US" w:eastAsia="zh-CN" w:bidi="ar-SA"/>
              </w:rPr>
              <w:t>。</w:t>
            </w:r>
          </w:p>
          <w:p w14:paraId="56F037BE">
            <w:pPr>
              <w:pStyle w:val="10"/>
              <w:tabs>
                <w:tab w:val="left" w:pos="5217"/>
              </w:tabs>
              <w:spacing w:line="440" w:lineRule="exact"/>
              <w:ind w:firstLine="0"/>
              <w:rPr>
                <w:rFonts w:ascii="微软雅黑" w:hAnsi="微软雅黑" w:eastAsia="微软雅黑" w:cs="仿宋"/>
                <w:kern w:val="0"/>
                <w:sz w:val="24"/>
                <w:szCs w:val="24"/>
                <w:lang w:val="en-US" w:eastAsia="zh-CN" w:bidi="ar-SA"/>
              </w:rPr>
            </w:pPr>
            <w:r>
              <w:rPr>
                <w:rFonts w:hint="eastAsia" w:ascii="微软雅黑" w:hAnsi="微软雅黑" w:eastAsia="微软雅黑" w:cs="仿宋"/>
                <w:kern w:val="0"/>
                <w:sz w:val="24"/>
                <w:lang w:val="en-US" w:eastAsia="zh-CN" w:bidi="ar-SA"/>
              </w:rPr>
              <w:t>3、</w:t>
            </w:r>
            <w:r>
              <w:rPr>
                <w:rFonts w:ascii="微软雅黑" w:hAnsi="微软雅黑" w:eastAsia="微软雅黑" w:cs="仿宋"/>
                <w:kern w:val="0"/>
                <w:sz w:val="24"/>
                <w:lang w:val="en-US" w:eastAsia="zh-CN" w:bidi="ar-SA"/>
              </w:rPr>
              <w:t>项目经理、质量安全负责人、特殊工种等人员须持证上岗，无证人员不得上岗。采购人认为不称职的项目经理或其他主要施工管理人员，供应商需积极配合更换</w:t>
            </w:r>
            <w:r>
              <w:rPr>
                <w:rFonts w:hint="eastAsia" w:ascii="微软雅黑" w:hAnsi="微软雅黑" w:eastAsia="微软雅黑" w:cs="仿宋"/>
                <w:kern w:val="0"/>
                <w:sz w:val="24"/>
                <w:lang w:val="en-US" w:eastAsia="zh-CN" w:bidi="ar-SA"/>
              </w:rPr>
              <w:t>。</w:t>
            </w:r>
          </w:p>
        </w:tc>
      </w:tr>
      <w:tr w14:paraId="17B12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467" w:type="pct"/>
            <w:noWrap w:val="0"/>
            <w:vAlign w:val="center"/>
          </w:tcPr>
          <w:p w14:paraId="152336AD">
            <w:pPr>
              <w:spacing w:line="360" w:lineRule="auto"/>
              <w:jc w:val="center"/>
              <w:rPr>
                <w:rFonts w:ascii="微软雅黑" w:hAnsi="微软雅黑" w:eastAsia="微软雅黑" w:cs="仿宋"/>
                <w:sz w:val="24"/>
              </w:rPr>
            </w:pPr>
            <w:r>
              <w:rPr>
                <w:rFonts w:hint="eastAsia" w:ascii="微软雅黑" w:hAnsi="微软雅黑" w:eastAsia="微软雅黑" w:cs="仿宋"/>
                <w:sz w:val="24"/>
              </w:rPr>
              <w:t>3</w:t>
            </w:r>
          </w:p>
        </w:tc>
        <w:tc>
          <w:tcPr>
            <w:tcW w:w="924" w:type="pct"/>
            <w:noWrap w:val="0"/>
            <w:vAlign w:val="center"/>
          </w:tcPr>
          <w:p w14:paraId="1F54E184">
            <w:pPr>
              <w:autoSpaceDE w:val="0"/>
              <w:autoSpaceDN w:val="0"/>
              <w:adjustRightInd w:val="0"/>
              <w:spacing w:line="360" w:lineRule="auto"/>
              <w:jc w:val="center"/>
              <w:rPr>
                <w:rFonts w:ascii="微软雅黑" w:hAnsi="微软雅黑" w:eastAsia="微软雅黑" w:cs="仿宋"/>
                <w:sz w:val="24"/>
              </w:rPr>
            </w:pPr>
            <w:r>
              <w:rPr>
                <w:rFonts w:hint="eastAsia" w:ascii="微软雅黑" w:hAnsi="微软雅黑" w:eastAsia="微软雅黑" w:cs="仿宋"/>
                <w:sz w:val="24"/>
              </w:rPr>
              <w:t>材料及环保要求</w:t>
            </w:r>
          </w:p>
        </w:tc>
        <w:tc>
          <w:tcPr>
            <w:tcW w:w="0" w:type="auto"/>
            <w:noWrap w:val="0"/>
            <w:vAlign w:val="top"/>
          </w:tcPr>
          <w:p w14:paraId="5FE5128D">
            <w:pPr>
              <w:pStyle w:val="10"/>
              <w:tabs>
                <w:tab w:val="left" w:pos="5217"/>
              </w:tabs>
              <w:spacing w:line="440" w:lineRule="exact"/>
              <w:ind w:firstLine="460"/>
              <w:rPr>
                <w:rFonts w:ascii="微软雅黑" w:hAnsi="微软雅黑" w:eastAsia="微软雅黑" w:cs="仿宋"/>
                <w:kern w:val="0"/>
                <w:sz w:val="24"/>
              </w:rPr>
            </w:pPr>
            <w:r>
              <w:rPr>
                <w:rFonts w:hint="eastAsia" w:ascii="微软雅黑" w:hAnsi="微软雅黑" w:eastAsia="微软雅黑" w:cs="仿宋"/>
                <w:kern w:val="0"/>
                <w:sz w:val="24"/>
              </w:rPr>
              <w:t>1、</w:t>
            </w:r>
            <w:r>
              <w:rPr>
                <w:rFonts w:hint="eastAsia" w:ascii="微软雅黑" w:hAnsi="微软雅黑" w:eastAsia="微软雅黑" w:cs="仿宋"/>
                <w:kern w:val="0"/>
                <w:sz w:val="24"/>
                <w:lang w:val="en-US" w:eastAsia="zh-CN" w:bidi="ar"/>
              </w:rPr>
              <w:t>为本工程提供的所有装饰、装修材料必须满足国家环保标准及相关消防要求。</w:t>
            </w:r>
            <w:r>
              <w:rPr>
                <w:rFonts w:hint="eastAsia" w:ascii="微软雅黑" w:hAnsi="微软雅黑" w:eastAsia="微软雅黑" w:cs="仿宋"/>
                <w:kern w:val="0"/>
                <w:sz w:val="24"/>
                <w:lang w:val="en-US" w:eastAsia="zh-CN"/>
              </w:rPr>
              <w:t>成交供应商</w:t>
            </w:r>
            <w:r>
              <w:rPr>
                <w:rFonts w:hint="eastAsia" w:ascii="微软雅黑" w:hAnsi="微软雅黑" w:eastAsia="微软雅黑" w:cs="仿宋"/>
                <w:kern w:val="0"/>
                <w:sz w:val="24"/>
              </w:rPr>
              <w:t>需按照图纸设计规格、清单要求和供应商响应的品牌进行采购，进场材料均需提供材料三证（出厂证、合格证、材料检测报告）。订货前供应商应提供样品、合格证和材料检测报告，经采购人确认，符合采购文件要求，方可开始材料订购。各种材料的厚度或质量要求不允许负偏差。塑胶跑道具体参数要求见：附-产品技术参数。</w:t>
            </w:r>
          </w:p>
          <w:p w14:paraId="3AD6C217">
            <w:pPr>
              <w:pStyle w:val="10"/>
              <w:tabs>
                <w:tab w:val="left" w:pos="5217"/>
              </w:tabs>
              <w:spacing w:line="440" w:lineRule="exact"/>
              <w:ind w:firstLine="460"/>
              <w:rPr>
                <w:rFonts w:ascii="微软雅黑" w:hAnsi="微软雅黑" w:eastAsia="微软雅黑" w:cs="仿宋"/>
                <w:kern w:val="0"/>
                <w:sz w:val="24"/>
              </w:rPr>
            </w:pPr>
            <w:r>
              <w:rPr>
                <w:rFonts w:hint="eastAsia" w:ascii="微软雅黑" w:hAnsi="微软雅黑" w:eastAsia="微软雅黑" w:cs="仿宋"/>
                <w:kern w:val="0"/>
                <w:sz w:val="24"/>
              </w:rPr>
              <w:t>2、采购人有权将供应商在本项目</w:t>
            </w:r>
            <w:r>
              <w:rPr>
                <w:rFonts w:hint="eastAsia" w:ascii="微软雅黑" w:hAnsi="微软雅黑" w:eastAsia="微软雅黑" w:cs="仿宋"/>
                <w:kern w:val="0"/>
                <w:sz w:val="24"/>
                <w:szCs w:val="24"/>
                <w:lang w:val="en-US" w:eastAsia="zh-CN" w:bidi="ar-SA"/>
              </w:rPr>
              <w:t>现场所提供的材料送第三方检测机构检测，如检测数据表明材料不合格，供应商须在3日内提供合格材料，若成交供应商执意使用不合格材料，则该项工作不计入结算，且采购人有权单方面终止合同，并不退回其履约保证金，检测费用由成交供应商承担。</w:t>
            </w:r>
          </w:p>
        </w:tc>
      </w:tr>
      <w:tr w14:paraId="3F34D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467" w:type="pct"/>
            <w:noWrap w:val="0"/>
            <w:vAlign w:val="center"/>
          </w:tcPr>
          <w:p w14:paraId="51B367B2">
            <w:pPr>
              <w:spacing w:line="360" w:lineRule="auto"/>
              <w:jc w:val="center"/>
              <w:rPr>
                <w:rFonts w:hint="eastAsia" w:ascii="微软雅黑" w:hAnsi="微软雅黑" w:eastAsia="微软雅黑" w:cs="仿宋"/>
                <w:sz w:val="24"/>
              </w:rPr>
            </w:pPr>
            <w:r>
              <w:rPr>
                <w:rFonts w:hint="eastAsia" w:ascii="微软雅黑" w:hAnsi="微软雅黑" w:eastAsia="微软雅黑" w:cs="仿宋"/>
                <w:sz w:val="24"/>
              </w:rPr>
              <w:t>4</w:t>
            </w:r>
          </w:p>
        </w:tc>
        <w:tc>
          <w:tcPr>
            <w:tcW w:w="924" w:type="pct"/>
            <w:noWrap w:val="0"/>
            <w:vAlign w:val="center"/>
          </w:tcPr>
          <w:p w14:paraId="4A262DDD">
            <w:pPr>
              <w:autoSpaceDE w:val="0"/>
              <w:autoSpaceDN w:val="0"/>
              <w:adjustRightInd w:val="0"/>
              <w:spacing w:line="360" w:lineRule="auto"/>
              <w:jc w:val="center"/>
              <w:rPr>
                <w:rFonts w:ascii="微软雅黑" w:hAnsi="微软雅黑" w:eastAsia="微软雅黑" w:cs="仿宋"/>
                <w:sz w:val="24"/>
              </w:rPr>
            </w:pPr>
            <w:r>
              <w:rPr>
                <w:rFonts w:hint="eastAsia" w:ascii="微软雅黑" w:hAnsi="微软雅黑" w:eastAsia="微软雅黑" w:cs="仿宋"/>
                <w:sz w:val="24"/>
              </w:rPr>
              <w:t>安全文明施工</w:t>
            </w:r>
          </w:p>
        </w:tc>
        <w:tc>
          <w:tcPr>
            <w:tcW w:w="0" w:type="auto"/>
            <w:noWrap w:val="0"/>
            <w:vAlign w:val="top"/>
          </w:tcPr>
          <w:p w14:paraId="37D3E2C3">
            <w:pPr>
              <w:autoSpaceDE w:val="0"/>
              <w:autoSpaceDN w:val="0"/>
              <w:adjustRightInd w:val="0"/>
              <w:spacing w:line="440" w:lineRule="exact"/>
              <w:ind w:firstLine="480" w:firstLineChars="200"/>
              <w:rPr>
                <w:rFonts w:hint="eastAsia" w:ascii="微软雅黑" w:hAnsi="微软雅黑" w:eastAsia="微软雅黑" w:cs="仿宋"/>
                <w:kern w:val="0"/>
                <w:sz w:val="24"/>
              </w:rPr>
            </w:pPr>
            <w:r>
              <w:rPr>
                <w:rFonts w:hint="eastAsia" w:ascii="微软雅黑" w:hAnsi="微软雅黑" w:eastAsia="微软雅黑" w:cs="仿宋"/>
                <w:kern w:val="0"/>
                <w:sz w:val="24"/>
              </w:rPr>
              <w:t>1、安全施工</w:t>
            </w:r>
          </w:p>
          <w:p w14:paraId="519E4B23">
            <w:pPr>
              <w:autoSpaceDE w:val="0"/>
              <w:autoSpaceDN w:val="0"/>
              <w:adjustRightInd w:val="0"/>
              <w:spacing w:line="440" w:lineRule="exact"/>
              <w:ind w:firstLine="480" w:firstLineChars="200"/>
              <w:rPr>
                <w:rFonts w:hint="eastAsia" w:ascii="微软雅黑" w:hAnsi="微软雅黑" w:eastAsia="微软雅黑" w:cs="仿宋"/>
                <w:kern w:val="0"/>
                <w:sz w:val="24"/>
              </w:rPr>
            </w:pPr>
            <w:r>
              <w:rPr>
                <w:rFonts w:ascii="微软雅黑" w:hAnsi="微软雅黑" w:eastAsia="微软雅黑" w:cs="仿宋"/>
                <w:kern w:val="0"/>
                <w:sz w:val="24"/>
              </w:rPr>
              <w:t>供应商对本工程安全负全责，必须配备专职安全管理人员、设置安全防护设施等，保障施工现场的安全，必须为施工人员购买包括但不限于国家规定的各种保险，供应商承担相应费用</w:t>
            </w:r>
            <w:r>
              <w:rPr>
                <w:rFonts w:hint="eastAsia" w:ascii="微软雅黑" w:hAnsi="微软雅黑" w:eastAsia="微软雅黑" w:cs="仿宋"/>
                <w:kern w:val="0"/>
                <w:sz w:val="24"/>
              </w:rPr>
              <w:t>。</w:t>
            </w:r>
          </w:p>
          <w:p w14:paraId="4B456EAC">
            <w:pPr>
              <w:autoSpaceDE w:val="0"/>
              <w:autoSpaceDN w:val="0"/>
              <w:adjustRightInd w:val="0"/>
              <w:spacing w:line="440" w:lineRule="exact"/>
              <w:ind w:firstLine="480" w:firstLineChars="200"/>
              <w:rPr>
                <w:rFonts w:hint="eastAsia" w:ascii="微软雅黑" w:hAnsi="微软雅黑" w:eastAsia="微软雅黑" w:cs="仿宋"/>
                <w:kern w:val="0"/>
                <w:sz w:val="24"/>
              </w:rPr>
            </w:pPr>
            <w:r>
              <w:rPr>
                <w:rFonts w:hint="eastAsia" w:ascii="微软雅黑" w:hAnsi="微软雅黑" w:eastAsia="微软雅黑" w:cs="仿宋"/>
                <w:kern w:val="0"/>
                <w:sz w:val="24"/>
              </w:rPr>
              <w:t>2.文明施工</w:t>
            </w:r>
          </w:p>
          <w:p w14:paraId="5C5B3693">
            <w:pPr>
              <w:autoSpaceDE w:val="0"/>
              <w:autoSpaceDN w:val="0"/>
              <w:adjustRightInd w:val="0"/>
              <w:spacing w:line="440" w:lineRule="exact"/>
              <w:ind w:firstLine="480" w:firstLineChars="200"/>
              <w:rPr>
                <w:rFonts w:ascii="微软雅黑" w:hAnsi="微软雅黑" w:eastAsia="微软雅黑" w:cs="仿宋"/>
                <w:kern w:val="0"/>
                <w:sz w:val="24"/>
              </w:rPr>
            </w:pPr>
            <w:r>
              <w:rPr>
                <w:rFonts w:hint="eastAsia" w:ascii="微软雅黑" w:hAnsi="微软雅黑" w:eastAsia="微软雅黑" w:cs="仿宋"/>
                <w:kern w:val="0"/>
                <w:sz w:val="24"/>
              </w:rPr>
              <w:t>2.1</w:t>
            </w:r>
            <w:r>
              <w:rPr>
                <w:rFonts w:ascii="微软雅黑" w:hAnsi="微软雅黑" w:eastAsia="微软雅黑" w:cs="仿宋"/>
                <w:kern w:val="0"/>
                <w:sz w:val="24"/>
              </w:rPr>
              <w:t>1.供应商按规定落实文明施工措施，包括设置围挡、制作安全标识标牌、做好卫生保洁、采取防尘防噪措施等，未落实文明施工措施的，采购人有权委托第三方代为实施，所产生的费用及因此造成的工期延误损失由供应商承担，采购人可直接从工程款中扣除。</w:t>
            </w:r>
          </w:p>
          <w:p w14:paraId="07338CBC">
            <w:pPr>
              <w:autoSpaceDE w:val="0"/>
              <w:autoSpaceDN w:val="0"/>
              <w:adjustRightInd w:val="0"/>
              <w:spacing w:line="440" w:lineRule="exact"/>
              <w:ind w:firstLine="480" w:firstLineChars="200"/>
              <w:rPr>
                <w:rFonts w:ascii="微软雅黑" w:hAnsi="微软雅黑" w:eastAsia="微软雅黑" w:cs="仿宋"/>
                <w:kern w:val="0"/>
                <w:sz w:val="24"/>
              </w:rPr>
            </w:pPr>
            <w:r>
              <w:rPr>
                <w:rFonts w:ascii="微软雅黑" w:hAnsi="微软雅黑" w:eastAsia="微软雅黑" w:cs="仿宋"/>
                <w:kern w:val="0"/>
                <w:sz w:val="24"/>
              </w:rPr>
              <w:t>2.所有拆除垃圾必须装袋运下楼，及时外运至政府指定的垃圾堆放点，禁止从高空直接抛撒、倾倒建筑垃圾。</w:t>
            </w:r>
          </w:p>
          <w:p w14:paraId="642B2934">
            <w:pPr>
              <w:autoSpaceDE w:val="0"/>
              <w:autoSpaceDN w:val="0"/>
              <w:adjustRightInd w:val="0"/>
              <w:spacing w:line="440" w:lineRule="exact"/>
              <w:ind w:firstLine="480" w:firstLineChars="200"/>
              <w:rPr>
                <w:rFonts w:ascii="微软雅黑" w:hAnsi="微软雅黑" w:eastAsia="微软雅黑" w:cs="仿宋"/>
                <w:kern w:val="0"/>
                <w:sz w:val="24"/>
              </w:rPr>
            </w:pPr>
            <w:r>
              <w:rPr>
                <w:rFonts w:ascii="微软雅黑" w:hAnsi="微软雅黑" w:eastAsia="微软雅黑" w:cs="仿宋"/>
                <w:kern w:val="0"/>
                <w:sz w:val="24"/>
              </w:rPr>
              <w:t>3.运输工程材料的车辆在校园内应限速通行，尽量避开学生上下课和用餐人流高峰。</w:t>
            </w:r>
          </w:p>
          <w:p w14:paraId="09261FC5">
            <w:pPr>
              <w:autoSpaceDE w:val="0"/>
              <w:autoSpaceDN w:val="0"/>
              <w:adjustRightInd w:val="0"/>
              <w:spacing w:line="440" w:lineRule="exact"/>
              <w:ind w:firstLine="480" w:firstLineChars="200"/>
              <w:rPr>
                <w:rFonts w:ascii="微软雅黑" w:hAnsi="微软雅黑" w:eastAsia="微软雅黑" w:cs="仿宋"/>
                <w:kern w:val="0"/>
                <w:sz w:val="24"/>
              </w:rPr>
            </w:pPr>
            <w:r>
              <w:rPr>
                <w:rFonts w:ascii="微软雅黑" w:hAnsi="微软雅黑" w:eastAsia="微软雅黑" w:cs="仿宋"/>
                <w:kern w:val="0"/>
                <w:sz w:val="24"/>
              </w:rPr>
              <w:t>4.供应商须保持好施工范围及相关场地的环境卫生，施工车辆应进行除尘清洗，如有破坏财物、污染环境的情况，供应商须无条件及时修复。若供应商逾期未整改修复，采购人有权安排队伍修复，所产生的一切费用均由供应商承担，采购人直接在工程结算款、履约保证金或工程质保金中扣除。</w:t>
            </w:r>
          </w:p>
          <w:p w14:paraId="6BED527B">
            <w:pPr>
              <w:autoSpaceDE w:val="0"/>
              <w:autoSpaceDN w:val="0"/>
              <w:adjustRightInd w:val="0"/>
              <w:spacing w:line="440" w:lineRule="exact"/>
              <w:ind w:firstLine="480" w:firstLineChars="200"/>
              <w:rPr>
                <w:rFonts w:hint="eastAsia" w:ascii="微软雅黑" w:hAnsi="微软雅黑" w:eastAsia="微软雅黑" w:cs="仿宋"/>
                <w:kern w:val="0"/>
                <w:sz w:val="24"/>
              </w:rPr>
            </w:pPr>
            <w:r>
              <w:rPr>
                <w:rFonts w:ascii="微软雅黑" w:hAnsi="微软雅黑" w:eastAsia="微软雅黑" w:cs="仿宋"/>
                <w:kern w:val="0"/>
                <w:sz w:val="24"/>
              </w:rPr>
              <w:t>5.若供应商存在不文明施工行为，应按合同约定向采购人支付违约金，标准为5000元/次。该违约金可直接从工程进度款或结算款中扣除</w:t>
            </w:r>
            <w:r>
              <w:rPr>
                <w:rFonts w:hint="eastAsia" w:ascii="微软雅黑" w:hAnsi="微软雅黑" w:eastAsia="微软雅黑" w:cs="仿宋"/>
                <w:kern w:val="0"/>
                <w:sz w:val="24"/>
              </w:rPr>
              <w:t>。</w:t>
            </w:r>
          </w:p>
        </w:tc>
      </w:tr>
      <w:tr w14:paraId="36A44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467" w:type="pct"/>
            <w:noWrap w:val="0"/>
            <w:vAlign w:val="center"/>
          </w:tcPr>
          <w:p w14:paraId="318993B1">
            <w:pPr>
              <w:spacing w:line="360" w:lineRule="auto"/>
              <w:jc w:val="center"/>
              <w:rPr>
                <w:rFonts w:hint="eastAsia" w:ascii="微软雅黑" w:hAnsi="微软雅黑" w:eastAsia="微软雅黑" w:cs="仿宋"/>
                <w:sz w:val="24"/>
              </w:rPr>
            </w:pPr>
            <w:r>
              <w:rPr>
                <w:rFonts w:hint="eastAsia" w:ascii="微软雅黑" w:hAnsi="微软雅黑" w:eastAsia="微软雅黑" w:cs="仿宋"/>
                <w:sz w:val="24"/>
              </w:rPr>
              <w:t>5</w:t>
            </w:r>
          </w:p>
        </w:tc>
        <w:tc>
          <w:tcPr>
            <w:tcW w:w="924" w:type="pct"/>
            <w:noWrap w:val="0"/>
            <w:vAlign w:val="center"/>
          </w:tcPr>
          <w:p w14:paraId="2FB0B7EE">
            <w:pPr>
              <w:autoSpaceDE w:val="0"/>
              <w:autoSpaceDN w:val="0"/>
              <w:adjustRightInd w:val="0"/>
              <w:spacing w:line="360" w:lineRule="auto"/>
              <w:jc w:val="center"/>
              <w:rPr>
                <w:rFonts w:ascii="微软雅黑" w:hAnsi="微软雅黑" w:eastAsia="微软雅黑" w:cs="仿宋"/>
                <w:kern w:val="0"/>
                <w:sz w:val="24"/>
              </w:rPr>
            </w:pPr>
            <w:r>
              <w:rPr>
                <w:rFonts w:hint="eastAsia" w:ascii="微软雅黑" w:hAnsi="微软雅黑" w:eastAsia="微软雅黑" w:cs="仿宋"/>
                <w:sz w:val="24"/>
              </w:rPr>
              <w:t>其他要求</w:t>
            </w:r>
          </w:p>
        </w:tc>
        <w:tc>
          <w:tcPr>
            <w:tcW w:w="0" w:type="auto"/>
            <w:noWrap w:val="0"/>
            <w:vAlign w:val="top"/>
          </w:tcPr>
          <w:p w14:paraId="5AD3A296">
            <w:pPr>
              <w:autoSpaceDE w:val="0"/>
              <w:autoSpaceDN w:val="0"/>
              <w:adjustRightInd w:val="0"/>
              <w:spacing w:line="440" w:lineRule="exact"/>
              <w:ind w:firstLine="480" w:firstLineChars="200"/>
              <w:rPr>
                <w:rFonts w:hint="eastAsia" w:ascii="微软雅黑" w:hAnsi="微软雅黑" w:eastAsia="微软雅黑" w:cs="仿宋"/>
                <w:kern w:val="0"/>
                <w:sz w:val="24"/>
              </w:rPr>
            </w:pPr>
            <w:r>
              <w:rPr>
                <w:rFonts w:hint="eastAsia" w:ascii="微软雅黑" w:hAnsi="微软雅黑" w:eastAsia="微软雅黑" w:cs="仿宋"/>
                <w:kern w:val="0"/>
                <w:sz w:val="24"/>
              </w:rPr>
              <w:t>1、</w:t>
            </w:r>
            <w:r>
              <w:rPr>
                <w:rFonts w:ascii="微软雅黑" w:hAnsi="微软雅黑" w:eastAsia="微软雅黑" w:cs="仿宋"/>
                <w:kern w:val="0"/>
                <w:sz w:val="24"/>
              </w:rPr>
              <w:t>本</w:t>
            </w:r>
            <w:r>
              <w:rPr>
                <w:rFonts w:hint="eastAsia" w:ascii="微软雅黑" w:hAnsi="微软雅黑" w:eastAsia="微软雅黑" w:cs="仿宋"/>
                <w:kern w:val="0"/>
                <w:sz w:val="24"/>
              </w:rPr>
              <w:t>项目</w:t>
            </w:r>
            <w:r>
              <w:rPr>
                <w:rFonts w:ascii="微软雅黑" w:hAnsi="微软雅黑" w:eastAsia="微软雅黑" w:cs="仿宋"/>
                <w:kern w:val="0"/>
                <w:sz w:val="24"/>
              </w:rPr>
              <w:t>采用固定单价合同计价模式，材料不调差，合同单价为综合单价，已包含人工、材料、机械、安装、检测、验收及配套全部费用，除工程量清单另有明确约定外，项目总价已涵盖供应商为完成本合同工程，需承担的合同明示、隐含的全部责任、义务及常规风险等一切相关费用</w:t>
            </w:r>
            <w:r>
              <w:rPr>
                <w:rFonts w:hint="eastAsia" w:ascii="微软雅黑" w:hAnsi="微软雅黑" w:eastAsia="微软雅黑" w:cs="仿宋"/>
                <w:kern w:val="0"/>
                <w:sz w:val="24"/>
              </w:rPr>
              <w:t>。</w:t>
            </w:r>
          </w:p>
          <w:p w14:paraId="16CFAAC2">
            <w:pPr>
              <w:autoSpaceDE w:val="0"/>
              <w:autoSpaceDN w:val="0"/>
              <w:adjustRightInd w:val="0"/>
              <w:spacing w:line="440" w:lineRule="exact"/>
              <w:ind w:firstLine="480" w:firstLineChars="200"/>
              <w:rPr>
                <w:rFonts w:ascii="微软雅黑" w:hAnsi="微软雅黑" w:eastAsia="微软雅黑" w:cs="仿宋"/>
                <w:kern w:val="0"/>
                <w:sz w:val="24"/>
              </w:rPr>
            </w:pPr>
            <w:r>
              <w:rPr>
                <w:rFonts w:hint="eastAsia" w:ascii="微软雅黑" w:hAnsi="微软雅黑" w:eastAsia="微软雅黑" w:cs="宋体"/>
                <w:sz w:val="24"/>
              </w:rPr>
              <w:t>2、</w:t>
            </w:r>
            <w:r>
              <w:rPr>
                <w:rFonts w:hint="eastAsia" w:ascii="微软雅黑" w:hAnsi="微软雅黑" w:eastAsia="微软雅黑" w:cs="仿宋"/>
                <w:kern w:val="0"/>
                <w:sz w:val="24"/>
              </w:rPr>
              <w:t>采购人如发现成交供应商以他人的名义响应、串通投标、以行贿手段谋取成交或者以其他弄虚作假方式骗取成交的以及所提供的资料有虚假的，由此造成的一切损失由成交供应商自行承担，同时磋商保证金或履约保证金不再返还,未付合同价款不再支付,并按《政府采购法》相关规定上报本级财政监管部门依法处理。</w:t>
            </w:r>
          </w:p>
        </w:tc>
      </w:tr>
    </w:tbl>
    <w:p w14:paraId="331341D5">
      <w:pPr>
        <w:adjustRightInd w:val="0"/>
        <w:spacing w:line="360" w:lineRule="auto"/>
        <w:ind w:firstLine="240" w:firstLineChars="100"/>
        <w:jc w:val="left"/>
        <w:rPr>
          <w:rFonts w:hint="eastAsia" w:ascii="微软雅黑" w:hAnsi="微软雅黑" w:eastAsia="微软雅黑" w:cs="仿宋"/>
          <w:b/>
          <w:bCs/>
          <w:sz w:val="24"/>
        </w:rPr>
      </w:pPr>
      <w:r>
        <w:rPr>
          <w:rFonts w:hint="eastAsia" w:ascii="微软雅黑" w:hAnsi="微软雅黑" w:eastAsia="微软雅黑" w:cs="仿宋"/>
          <w:b/>
          <w:bCs/>
          <w:sz w:val="24"/>
        </w:rPr>
        <w:t>附：产品技术参数（执行标准）：</w:t>
      </w:r>
    </w:p>
    <w:p w14:paraId="28E09691">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（1）混合型跑道主要参数：</w:t>
      </w:r>
    </w:p>
    <w:p w14:paraId="630C006A">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1、产品描述:材质要求为EPDM和聚氨酯PU材料。塑胶跑道采用全无硫净味体系产品，总厚度13mm。其中底层10mm厚混合弹性层(红色2-4mm无硫净味EPDM颗粒，高聚物含量不低于20%;综合胶粘物不含硫化物); 耐磨面层3mm厚喷颗粒 (红色1-2.5mmEPDM颗粒，每平方用量为1-1.2kg，高聚物含量不低于20%，喷面综合料每平米用量不低于1.2公斤);划标准跑道标线及相关功能线，符合中国田径协会二类场地要求。</w:t>
      </w:r>
      <w:r>
        <w:rPr>
          <w:rStyle w:val="8"/>
          <w:rFonts w:hint="eastAsia" w:ascii="微软雅黑" w:hAnsi="微软雅黑" w:eastAsia="微软雅黑" w:cs="仿宋"/>
          <w:bCs/>
          <w:kern w:val="0"/>
          <w:sz w:val="24"/>
          <w:szCs w:val="24"/>
        </w:rPr>
        <w:t>使用寿命至少</w:t>
      </w:r>
      <w:r>
        <w:rPr>
          <w:rStyle w:val="8"/>
          <w:rFonts w:ascii="微软雅黑" w:hAnsi="微软雅黑" w:eastAsia="微软雅黑" w:cs="仿宋"/>
          <w:bCs/>
          <w:kern w:val="0"/>
          <w:sz w:val="24"/>
          <w:szCs w:val="24"/>
        </w:rPr>
        <w:t>8</w:t>
      </w:r>
      <w:r>
        <w:rPr>
          <w:rStyle w:val="8"/>
          <w:rFonts w:hint="eastAsia" w:ascii="微软雅黑" w:hAnsi="微软雅黑" w:eastAsia="微软雅黑" w:cs="仿宋"/>
          <w:bCs/>
          <w:kern w:val="0"/>
          <w:sz w:val="24"/>
          <w:szCs w:val="24"/>
        </w:rPr>
        <w:t>年及以上。</w:t>
      </w:r>
    </w:p>
    <w:p w14:paraId="554C736C">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2.跑道满足高水平运动员使用，满足钉鞋使用。</w:t>
      </w:r>
    </w:p>
    <w:p w14:paraId="5B2EB8D0">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3. EPDM颗粒须满足GB/T 43564-2023规定的要求。</w:t>
      </w:r>
    </w:p>
    <w:p w14:paraId="77901406">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4.外观：面层摊铺均匀、色泽一致、表面无明显接缝修补痕迹、脱层及明显凹凸现象，无裂纹变形或其他外观上的不合格现象。</w:t>
      </w:r>
    </w:p>
    <w:p w14:paraId="59EAC7F9">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5.标志线：按照规范要求划线，标志线应清晰、不反光，无明显虚边，与面层粘合牢固。</w:t>
      </w:r>
    </w:p>
    <w:p w14:paraId="7693ED0C">
      <w:pPr>
        <w:widowControl/>
        <w:spacing w:line="440" w:lineRule="exact"/>
        <w:ind w:firstLine="560"/>
        <w:rPr>
          <w:rFonts w:ascii="微软雅黑" w:hAnsi="微软雅黑" w:eastAsia="微软雅黑" w:cs="宋体"/>
          <w:color w:val="000000"/>
          <w:szCs w:val="28"/>
        </w:rPr>
      </w:pPr>
      <w:r>
        <w:rPr>
          <w:rFonts w:hint="eastAsia" w:ascii="微软雅黑" w:hAnsi="微软雅黑" w:eastAsia="微软雅黑" w:cs="仿宋"/>
          <w:b/>
          <w:kern w:val="0"/>
          <w:sz w:val="24"/>
        </w:rPr>
        <w:t>（2）</w:t>
      </w:r>
      <w:r>
        <w:rPr>
          <w:rFonts w:ascii="微软雅黑" w:hAnsi="微软雅黑" w:eastAsia="微软雅黑" w:cs="仿宋"/>
          <w:b/>
          <w:kern w:val="0"/>
          <w:sz w:val="24"/>
        </w:rPr>
        <w:t>非固体原料</w:t>
      </w:r>
      <w:r>
        <w:rPr>
          <w:rFonts w:hint="eastAsia" w:ascii="微软雅黑" w:hAnsi="微软雅黑" w:eastAsia="微软雅黑" w:cs="仿宋"/>
          <w:b/>
          <w:kern w:val="0"/>
          <w:sz w:val="24"/>
        </w:rPr>
        <w:t>符合GB36246-2018《中小学合成材料面层运动场地》标准非固体原料中有害物质限量要求。</w:t>
      </w:r>
    </w:p>
    <w:tbl>
      <w:tblPr>
        <w:tblStyle w:val="6"/>
        <w:tblW w:w="47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1"/>
        <w:gridCol w:w="5360"/>
        <w:gridCol w:w="1993"/>
      </w:tblGrid>
      <w:tr w14:paraId="249E1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491" w:type="pct"/>
            <w:noWrap w:val="0"/>
            <w:vAlign w:val="center"/>
          </w:tcPr>
          <w:p w14:paraId="5E6511B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序号</w:t>
            </w:r>
          </w:p>
        </w:tc>
        <w:tc>
          <w:tcPr>
            <w:tcW w:w="3287" w:type="pct"/>
            <w:noWrap w:val="0"/>
            <w:vAlign w:val="center"/>
          </w:tcPr>
          <w:p w14:paraId="576435C9">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检测项目</w:t>
            </w:r>
          </w:p>
        </w:tc>
        <w:tc>
          <w:tcPr>
            <w:tcW w:w="1222" w:type="pct"/>
            <w:noWrap w:val="0"/>
            <w:vAlign w:val="center"/>
          </w:tcPr>
          <w:p w14:paraId="7B28BD71">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标准指标</w:t>
            </w:r>
          </w:p>
        </w:tc>
      </w:tr>
      <w:tr w14:paraId="40B3D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91" w:type="pct"/>
            <w:noWrap w:val="0"/>
            <w:vAlign w:val="center"/>
          </w:tcPr>
          <w:p w14:paraId="26AFFD48">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1</w:t>
            </w:r>
          </w:p>
        </w:tc>
        <w:tc>
          <w:tcPr>
            <w:tcW w:w="3287" w:type="pct"/>
            <w:noWrap w:val="0"/>
            <w:vAlign w:val="center"/>
          </w:tcPr>
          <w:p w14:paraId="4472FFBC">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3种邻苯二甲酸酯类</w:t>
            </w:r>
          </w:p>
          <w:p w14:paraId="228A8CC8">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（DBP、BBP、DEHP）总和/（g/kg）</w:t>
            </w:r>
          </w:p>
        </w:tc>
        <w:tc>
          <w:tcPr>
            <w:tcW w:w="1222" w:type="pct"/>
            <w:noWrap w:val="0"/>
            <w:vAlign w:val="center"/>
          </w:tcPr>
          <w:p w14:paraId="20B98E56">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≤1.0</w:t>
            </w:r>
          </w:p>
        </w:tc>
      </w:tr>
      <w:tr w14:paraId="3094E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491" w:type="pct"/>
            <w:noWrap w:val="0"/>
            <w:vAlign w:val="center"/>
          </w:tcPr>
          <w:p w14:paraId="597AE0CB">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2</w:t>
            </w:r>
          </w:p>
        </w:tc>
        <w:tc>
          <w:tcPr>
            <w:tcW w:w="3287" w:type="pct"/>
            <w:noWrap w:val="0"/>
            <w:vAlign w:val="center"/>
          </w:tcPr>
          <w:p w14:paraId="6AC3AF3C">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3种邻苯二甲酸酯类</w:t>
            </w:r>
          </w:p>
          <w:p w14:paraId="120AF724">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（DNOP、DINP、DIDP）总和/（g/kg）</w:t>
            </w:r>
          </w:p>
        </w:tc>
        <w:tc>
          <w:tcPr>
            <w:tcW w:w="1222" w:type="pct"/>
            <w:noWrap w:val="0"/>
            <w:vAlign w:val="center"/>
          </w:tcPr>
          <w:p w14:paraId="50828425">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≤1.0</w:t>
            </w:r>
          </w:p>
        </w:tc>
      </w:tr>
      <w:tr w14:paraId="3A5BE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491" w:type="pct"/>
            <w:noWrap w:val="0"/>
            <w:vAlign w:val="center"/>
          </w:tcPr>
          <w:p w14:paraId="6276B4DF">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3</w:t>
            </w:r>
          </w:p>
        </w:tc>
        <w:tc>
          <w:tcPr>
            <w:tcW w:w="3287" w:type="pct"/>
            <w:noWrap w:val="0"/>
            <w:vAlign w:val="center"/>
          </w:tcPr>
          <w:p w14:paraId="6B8EBB9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短链氯化石蜡（C</w:t>
            </w:r>
            <w:r>
              <w:rPr>
                <w:rFonts w:hint="eastAsia" w:ascii="微软雅黑" w:hAnsi="微软雅黑" w:eastAsia="微软雅黑" w:cs="宋体"/>
                <w:color w:val="000000"/>
                <w:sz w:val="24"/>
                <w:vertAlign w:val="subscript"/>
              </w:rPr>
              <w:t>10</w:t>
            </w:r>
            <w:r>
              <w:rPr>
                <w:rFonts w:hint="eastAsia" w:ascii="微软雅黑" w:hAnsi="微软雅黑" w:eastAsia="微软雅黑" w:cs="宋体"/>
                <w:color w:val="000000"/>
                <w:sz w:val="24"/>
              </w:rPr>
              <w:t>-C</w:t>
            </w:r>
            <w:r>
              <w:rPr>
                <w:rFonts w:hint="eastAsia" w:ascii="微软雅黑" w:hAnsi="微软雅黑" w:eastAsia="微软雅黑" w:cs="宋体"/>
                <w:color w:val="000000"/>
                <w:sz w:val="24"/>
                <w:vertAlign w:val="subscript"/>
              </w:rPr>
              <w:t>13</w:t>
            </w:r>
            <w:r>
              <w:rPr>
                <w:rFonts w:hint="eastAsia" w:ascii="微软雅黑" w:hAnsi="微软雅黑" w:eastAsia="微软雅黑" w:cs="宋体"/>
                <w:color w:val="000000"/>
                <w:sz w:val="24"/>
              </w:rPr>
              <w:t>）/（g/kg）</w:t>
            </w:r>
          </w:p>
        </w:tc>
        <w:tc>
          <w:tcPr>
            <w:tcW w:w="1222" w:type="pct"/>
            <w:noWrap w:val="0"/>
            <w:vAlign w:val="center"/>
          </w:tcPr>
          <w:p w14:paraId="62E47654">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≤1.5</w:t>
            </w:r>
          </w:p>
        </w:tc>
      </w:tr>
      <w:tr w14:paraId="7037B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491" w:type="pct"/>
            <w:noWrap w:val="0"/>
            <w:vAlign w:val="center"/>
          </w:tcPr>
          <w:p w14:paraId="4E62E14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4</w:t>
            </w:r>
          </w:p>
        </w:tc>
        <w:tc>
          <w:tcPr>
            <w:tcW w:w="3287" w:type="pct"/>
            <w:noWrap w:val="0"/>
            <w:vAlign w:val="center"/>
          </w:tcPr>
          <w:p w14:paraId="107F2D5D">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游离甲苯二异氰酸酯（TDI）和游离六亚甲基二异氰酸酯（HDI）总和/（g/kg）</w:t>
            </w:r>
          </w:p>
        </w:tc>
        <w:tc>
          <w:tcPr>
            <w:tcW w:w="1222" w:type="pct"/>
            <w:noWrap w:val="0"/>
            <w:vAlign w:val="center"/>
          </w:tcPr>
          <w:p w14:paraId="3BB3C1F8">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≤10</w:t>
            </w:r>
          </w:p>
        </w:tc>
      </w:tr>
      <w:tr w14:paraId="0884C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491" w:type="pct"/>
            <w:noWrap w:val="0"/>
            <w:vAlign w:val="center"/>
          </w:tcPr>
          <w:p w14:paraId="64AF7F51">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5</w:t>
            </w:r>
          </w:p>
        </w:tc>
        <w:tc>
          <w:tcPr>
            <w:tcW w:w="3287" w:type="pct"/>
            <w:noWrap w:val="0"/>
            <w:vAlign w:val="center"/>
          </w:tcPr>
          <w:p w14:paraId="043A183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挥发性有机化合物/（g/L）</w:t>
            </w:r>
          </w:p>
        </w:tc>
        <w:tc>
          <w:tcPr>
            <w:tcW w:w="1222" w:type="pct"/>
            <w:noWrap w:val="0"/>
            <w:vAlign w:val="center"/>
          </w:tcPr>
          <w:p w14:paraId="23976B6C">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≤50</w:t>
            </w:r>
          </w:p>
        </w:tc>
      </w:tr>
      <w:tr w14:paraId="3287E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491" w:type="pct"/>
            <w:noWrap w:val="0"/>
            <w:vAlign w:val="center"/>
          </w:tcPr>
          <w:p w14:paraId="5E8ABDA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6</w:t>
            </w:r>
          </w:p>
        </w:tc>
        <w:tc>
          <w:tcPr>
            <w:tcW w:w="3287" w:type="pct"/>
            <w:noWrap w:val="0"/>
            <w:vAlign w:val="center"/>
          </w:tcPr>
          <w:p w14:paraId="0C63ECB5">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游离甲醛/（g/kg）</w:t>
            </w:r>
          </w:p>
        </w:tc>
        <w:tc>
          <w:tcPr>
            <w:tcW w:w="1222" w:type="pct"/>
            <w:noWrap w:val="0"/>
            <w:vAlign w:val="center"/>
          </w:tcPr>
          <w:p w14:paraId="1C8223DD">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≤0.50</w:t>
            </w:r>
          </w:p>
        </w:tc>
      </w:tr>
      <w:tr w14:paraId="58978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0" w:hRule="atLeast"/>
          <w:jc w:val="center"/>
        </w:trPr>
        <w:tc>
          <w:tcPr>
            <w:tcW w:w="491" w:type="pct"/>
            <w:noWrap w:val="0"/>
            <w:vAlign w:val="center"/>
          </w:tcPr>
          <w:p w14:paraId="1AA769B4">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7</w:t>
            </w:r>
          </w:p>
        </w:tc>
        <w:tc>
          <w:tcPr>
            <w:tcW w:w="3287" w:type="pct"/>
            <w:noWrap w:val="0"/>
            <w:vAlign w:val="center"/>
          </w:tcPr>
          <w:p w14:paraId="301C6429">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苯/（g/kg）</w:t>
            </w:r>
          </w:p>
        </w:tc>
        <w:tc>
          <w:tcPr>
            <w:tcW w:w="1222" w:type="pct"/>
            <w:noWrap w:val="0"/>
            <w:vAlign w:val="center"/>
          </w:tcPr>
          <w:p w14:paraId="7784492C">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≤0.05</w:t>
            </w:r>
          </w:p>
        </w:tc>
      </w:tr>
      <w:tr w14:paraId="76C69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491" w:type="pct"/>
            <w:noWrap w:val="0"/>
            <w:vAlign w:val="center"/>
          </w:tcPr>
          <w:p w14:paraId="2618866A">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8</w:t>
            </w:r>
          </w:p>
        </w:tc>
        <w:tc>
          <w:tcPr>
            <w:tcW w:w="3287" w:type="pct"/>
            <w:noWrap w:val="0"/>
            <w:vAlign w:val="center"/>
          </w:tcPr>
          <w:p w14:paraId="5097467A">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甲苯、二甲苯和乙苯总和/（g/kg）</w:t>
            </w:r>
          </w:p>
        </w:tc>
        <w:tc>
          <w:tcPr>
            <w:tcW w:w="1222" w:type="pct"/>
            <w:noWrap w:val="0"/>
            <w:vAlign w:val="center"/>
          </w:tcPr>
          <w:p w14:paraId="172C6393">
            <w:pPr>
              <w:adjustRightInd w:val="0"/>
              <w:snapToGrid w:val="0"/>
              <w:jc w:val="center"/>
              <w:rPr>
                <w:rFonts w:ascii="微软雅黑" w:hAnsi="微软雅黑" w:eastAsia="微软雅黑" w:cs="宋体"/>
                <w:color w:val="000000"/>
                <w:sz w:val="24"/>
              </w:rPr>
            </w:pPr>
            <w:r>
              <w:rPr>
                <w:rFonts w:hint="eastAsia" w:ascii="微软雅黑" w:hAnsi="微软雅黑" w:eastAsia="微软雅黑" w:cs="仿宋"/>
                <w:bCs/>
                <w:kern w:val="0"/>
                <w:sz w:val="24"/>
              </w:rPr>
              <w:t>≤1.0</w:t>
            </w:r>
          </w:p>
        </w:tc>
      </w:tr>
      <w:tr w14:paraId="4519F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491" w:type="pct"/>
            <w:noWrap w:val="0"/>
            <w:vAlign w:val="center"/>
          </w:tcPr>
          <w:p w14:paraId="03061575">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9</w:t>
            </w:r>
          </w:p>
        </w:tc>
        <w:tc>
          <w:tcPr>
            <w:tcW w:w="3287" w:type="pct"/>
            <w:noWrap w:val="0"/>
            <w:vAlign w:val="center"/>
          </w:tcPr>
          <w:p w14:paraId="2D33D995">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可溶性铅 /(mg/kg)</w:t>
            </w:r>
          </w:p>
        </w:tc>
        <w:tc>
          <w:tcPr>
            <w:tcW w:w="1222" w:type="pct"/>
            <w:noWrap w:val="0"/>
            <w:vAlign w:val="center"/>
          </w:tcPr>
          <w:p w14:paraId="1E062423">
            <w:pPr>
              <w:widowControl/>
              <w:spacing w:line="440" w:lineRule="exact"/>
              <w:jc w:val="center"/>
              <w:rPr>
                <w:rFonts w:hint="eastAsia" w:ascii="微软雅黑" w:hAnsi="微软雅黑" w:eastAsia="微软雅黑" w:cs="宋体"/>
                <w:color w:val="000000"/>
                <w:sz w:val="24"/>
              </w:rPr>
            </w:pPr>
            <w:r>
              <w:rPr>
                <w:rFonts w:hint="eastAsia" w:ascii="微软雅黑" w:hAnsi="微软雅黑" w:eastAsia="微软雅黑" w:cs="宋体"/>
                <w:color w:val="000000"/>
                <w:sz w:val="24"/>
              </w:rPr>
              <w:t>≤</w:t>
            </w:r>
            <w:r>
              <w:rPr>
                <w:rFonts w:ascii="微软雅黑" w:hAnsi="微软雅黑" w:eastAsia="微软雅黑" w:cs="宋体"/>
                <w:color w:val="000000"/>
                <w:sz w:val="24"/>
              </w:rPr>
              <w:t>50</w:t>
            </w:r>
          </w:p>
        </w:tc>
      </w:tr>
      <w:tr w14:paraId="7A3B1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491" w:type="pct"/>
            <w:noWrap w:val="0"/>
            <w:vAlign w:val="center"/>
          </w:tcPr>
          <w:p w14:paraId="0B68E44C">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10</w:t>
            </w:r>
          </w:p>
        </w:tc>
        <w:tc>
          <w:tcPr>
            <w:tcW w:w="3287" w:type="pct"/>
            <w:noWrap w:val="0"/>
            <w:vAlign w:val="center"/>
          </w:tcPr>
          <w:p w14:paraId="6609DDD4">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可溶性镉 /(mg/kg)</w:t>
            </w:r>
          </w:p>
        </w:tc>
        <w:tc>
          <w:tcPr>
            <w:tcW w:w="1222" w:type="pct"/>
            <w:noWrap w:val="0"/>
            <w:vAlign w:val="center"/>
          </w:tcPr>
          <w:p w14:paraId="4A321912">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w:t>
            </w:r>
            <w:r>
              <w:rPr>
                <w:rFonts w:ascii="微软雅黑" w:hAnsi="微软雅黑" w:eastAsia="微软雅黑" w:cs="宋体"/>
                <w:color w:val="000000"/>
                <w:sz w:val="24"/>
              </w:rPr>
              <w:t>10</w:t>
            </w:r>
          </w:p>
        </w:tc>
      </w:tr>
      <w:tr w14:paraId="47475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491" w:type="pct"/>
            <w:noWrap w:val="0"/>
            <w:vAlign w:val="center"/>
          </w:tcPr>
          <w:p w14:paraId="4DA8D307">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11</w:t>
            </w:r>
          </w:p>
        </w:tc>
        <w:tc>
          <w:tcPr>
            <w:tcW w:w="3287" w:type="pct"/>
            <w:noWrap w:val="0"/>
            <w:vAlign w:val="center"/>
          </w:tcPr>
          <w:p w14:paraId="5BF33E08">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可溶性铬 /(mg/kg)</w:t>
            </w:r>
          </w:p>
        </w:tc>
        <w:tc>
          <w:tcPr>
            <w:tcW w:w="1222" w:type="pct"/>
            <w:noWrap w:val="0"/>
            <w:vAlign w:val="center"/>
          </w:tcPr>
          <w:p w14:paraId="4308A85E">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w:t>
            </w:r>
            <w:r>
              <w:rPr>
                <w:rFonts w:ascii="微软雅黑" w:hAnsi="微软雅黑" w:eastAsia="微软雅黑" w:cs="宋体"/>
                <w:color w:val="000000"/>
                <w:sz w:val="24"/>
              </w:rPr>
              <w:t>10</w:t>
            </w:r>
          </w:p>
        </w:tc>
      </w:tr>
      <w:tr w14:paraId="51771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491" w:type="pct"/>
            <w:noWrap w:val="0"/>
            <w:vAlign w:val="center"/>
          </w:tcPr>
          <w:p w14:paraId="20C8A5EE">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12</w:t>
            </w:r>
          </w:p>
        </w:tc>
        <w:tc>
          <w:tcPr>
            <w:tcW w:w="3287" w:type="pct"/>
            <w:noWrap w:val="0"/>
            <w:vAlign w:val="center"/>
          </w:tcPr>
          <w:p w14:paraId="7F6B27E6">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可溶性汞 /(mg/kg)</w:t>
            </w:r>
          </w:p>
        </w:tc>
        <w:tc>
          <w:tcPr>
            <w:tcW w:w="1222" w:type="pct"/>
            <w:noWrap w:val="0"/>
            <w:vAlign w:val="center"/>
          </w:tcPr>
          <w:p w14:paraId="003DB402">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仿宋"/>
                <w:bCs/>
                <w:kern w:val="0"/>
                <w:sz w:val="24"/>
              </w:rPr>
              <w:t>≤2</w:t>
            </w:r>
          </w:p>
        </w:tc>
      </w:tr>
    </w:tbl>
    <w:p w14:paraId="45E1A992">
      <w:pPr>
        <w:widowControl/>
        <w:spacing w:line="440" w:lineRule="exact"/>
        <w:ind w:firstLine="561"/>
        <w:rPr>
          <w:rFonts w:ascii="微软雅黑" w:hAnsi="微软雅黑" w:eastAsia="微软雅黑" w:cs="宋体"/>
          <w:color w:val="000000"/>
          <w:szCs w:val="28"/>
        </w:rPr>
      </w:pPr>
      <w:r>
        <w:rPr>
          <w:rFonts w:hint="eastAsia" w:ascii="微软雅黑" w:hAnsi="微软雅黑" w:eastAsia="微软雅黑" w:cs="仿宋"/>
          <w:b/>
          <w:kern w:val="0"/>
          <w:sz w:val="24"/>
        </w:rPr>
        <w:t>（3）现浇</w:t>
      </w:r>
      <w:r>
        <w:rPr>
          <w:rFonts w:hint="eastAsia" w:ascii="微软雅黑" w:hAnsi="微软雅黑" w:eastAsia="微软雅黑" w:cs="宋体"/>
          <w:b/>
          <w:bCs/>
          <w:color w:val="000000"/>
          <w:sz w:val="24"/>
        </w:rPr>
        <w:t>塑胶跑道成品符合GB36246-2018《中小学合成材料面层运动场地》标准面层成品中有害物质限量、气味及无机填料含量要求。</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6"/>
        <w:gridCol w:w="568"/>
        <w:gridCol w:w="5388"/>
        <w:gridCol w:w="1750"/>
      </w:tblGrid>
      <w:tr w14:paraId="56EEC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3973" w:type="pct"/>
            <w:gridSpan w:val="3"/>
            <w:noWrap w:val="0"/>
            <w:vAlign w:val="center"/>
          </w:tcPr>
          <w:p w14:paraId="01017C8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检测项目</w:t>
            </w:r>
          </w:p>
        </w:tc>
        <w:tc>
          <w:tcPr>
            <w:tcW w:w="1027" w:type="pct"/>
            <w:noWrap w:val="0"/>
            <w:vAlign w:val="center"/>
          </w:tcPr>
          <w:p w14:paraId="7C5DE8B6">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标准指标</w:t>
            </w:r>
          </w:p>
        </w:tc>
      </w:tr>
      <w:tr w14:paraId="69931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479" w:type="pct"/>
            <w:vMerge w:val="restart"/>
            <w:noWrap w:val="0"/>
            <w:vAlign w:val="center"/>
          </w:tcPr>
          <w:p w14:paraId="0B3B5FF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有害物质含量</w:t>
            </w:r>
          </w:p>
        </w:tc>
        <w:tc>
          <w:tcPr>
            <w:tcW w:w="333" w:type="pct"/>
            <w:noWrap w:val="0"/>
            <w:vAlign w:val="center"/>
          </w:tcPr>
          <w:p w14:paraId="1038EBB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w:t>
            </w:r>
          </w:p>
        </w:tc>
        <w:tc>
          <w:tcPr>
            <w:tcW w:w="3161" w:type="pct"/>
            <w:noWrap w:val="0"/>
            <w:vAlign w:val="center"/>
          </w:tcPr>
          <w:p w14:paraId="3148215B">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z w:val="24"/>
              </w:rPr>
              <w:t>3</w:t>
            </w:r>
            <w:r>
              <w:rPr>
                <w:rFonts w:hint="eastAsia" w:ascii="微软雅黑" w:hAnsi="微软雅黑" w:eastAsia="微软雅黑" w:cs="宋体"/>
                <w:color w:val="000000"/>
                <w:spacing w:val="-54"/>
                <w:sz w:val="24"/>
              </w:rPr>
              <w:t xml:space="preserve"> </w:t>
            </w:r>
            <w:r>
              <w:rPr>
                <w:rFonts w:hint="eastAsia" w:ascii="微软雅黑" w:hAnsi="微软雅黑" w:eastAsia="微软雅黑" w:cs="宋体"/>
                <w:color w:val="000000"/>
                <w:sz w:val="24"/>
              </w:rPr>
              <w:t>种</w:t>
            </w:r>
            <w:r>
              <w:rPr>
                <w:rFonts w:hint="eastAsia" w:ascii="微软雅黑" w:hAnsi="微软雅黑" w:eastAsia="微软雅黑" w:cs="宋体"/>
                <w:color w:val="000000"/>
                <w:spacing w:val="-2"/>
                <w:sz w:val="24"/>
              </w:rPr>
              <w:t>邻</w:t>
            </w:r>
            <w:r>
              <w:rPr>
                <w:rFonts w:hint="eastAsia" w:ascii="微软雅黑" w:hAnsi="微软雅黑" w:eastAsia="微软雅黑" w:cs="宋体"/>
                <w:color w:val="000000"/>
                <w:sz w:val="24"/>
              </w:rPr>
              <w:t>苯</w:t>
            </w:r>
            <w:r>
              <w:rPr>
                <w:rFonts w:hint="eastAsia" w:ascii="微软雅黑" w:hAnsi="微软雅黑" w:eastAsia="微软雅黑" w:cs="宋体"/>
                <w:color w:val="000000"/>
                <w:spacing w:val="-2"/>
                <w:sz w:val="24"/>
              </w:rPr>
              <w:t>二</w:t>
            </w:r>
            <w:r>
              <w:rPr>
                <w:rFonts w:hint="eastAsia" w:ascii="微软雅黑" w:hAnsi="微软雅黑" w:eastAsia="微软雅黑" w:cs="宋体"/>
                <w:color w:val="000000"/>
                <w:sz w:val="24"/>
              </w:rPr>
              <w:t>甲</w:t>
            </w:r>
            <w:r>
              <w:rPr>
                <w:rFonts w:hint="eastAsia" w:ascii="微软雅黑" w:hAnsi="微软雅黑" w:eastAsia="微软雅黑" w:cs="宋体"/>
                <w:color w:val="000000"/>
                <w:spacing w:val="-2"/>
                <w:sz w:val="24"/>
              </w:rPr>
              <w:t>酸</w:t>
            </w:r>
            <w:r>
              <w:rPr>
                <w:rFonts w:hint="eastAsia" w:ascii="微软雅黑" w:hAnsi="微软雅黑" w:eastAsia="微软雅黑" w:cs="宋体"/>
                <w:color w:val="000000"/>
                <w:sz w:val="24"/>
              </w:rPr>
              <w:t>酯</w:t>
            </w:r>
            <w:r>
              <w:rPr>
                <w:rFonts w:hint="eastAsia" w:ascii="微软雅黑" w:hAnsi="微软雅黑" w:eastAsia="微软雅黑" w:cs="宋体"/>
                <w:color w:val="000000"/>
                <w:spacing w:val="-2"/>
                <w:sz w:val="24"/>
              </w:rPr>
              <w:t>类</w:t>
            </w:r>
            <w:r>
              <w:rPr>
                <w:rFonts w:hint="eastAsia" w:ascii="微软雅黑" w:hAnsi="微软雅黑" w:eastAsia="微软雅黑" w:cs="宋体"/>
                <w:color w:val="000000"/>
                <w:sz w:val="24"/>
              </w:rPr>
              <w:t>化合物（DBP、BBP、DEHP）总和/（g/kg）</w:t>
            </w:r>
          </w:p>
        </w:tc>
        <w:tc>
          <w:tcPr>
            <w:tcW w:w="1027" w:type="pct"/>
            <w:noWrap w:val="0"/>
            <w:vAlign w:val="center"/>
          </w:tcPr>
          <w:p w14:paraId="41A13C04">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18C65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79" w:type="pct"/>
            <w:vMerge w:val="continue"/>
            <w:noWrap w:val="0"/>
            <w:vAlign w:val="center"/>
          </w:tcPr>
          <w:p w14:paraId="653B9005">
            <w:pPr>
              <w:widowControl/>
              <w:spacing w:line="440" w:lineRule="exact"/>
              <w:jc w:val="center"/>
              <w:rPr>
                <w:rFonts w:ascii="微软雅黑" w:hAnsi="微软雅黑" w:eastAsia="微软雅黑" w:cs="宋体"/>
                <w:color w:val="000000"/>
                <w:sz w:val="24"/>
              </w:rPr>
            </w:pPr>
          </w:p>
        </w:tc>
        <w:tc>
          <w:tcPr>
            <w:tcW w:w="333" w:type="pct"/>
            <w:noWrap w:val="0"/>
            <w:vAlign w:val="center"/>
          </w:tcPr>
          <w:p w14:paraId="334E75B4">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2</w:t>
            </w:r>
          </w:p>
        </w:tc>
        <w:tc>
          <w:tcPr>
            <w:tcW w:w="3161" w:type="pct"/>
            <w:noWrap w:val="0"/>
            <w:vAlign w:val="center"/>
          </w:tcPr>
          <w:p w14:paraId="280A8EB4">
            <w:pPr>
              <w:widowControl/>
              <w:spacing w:line="440" w:lineRule="exact"/>
              <w:jc w:val="center"/>
              <w:rPr>
                <w:rFonts w:ascii="微软雅黑" w:hAnsi="微软雅黑" w:eastAsia="微软雅黑" w:cs="宋体"/>
                <w:color w:val="000000"/>
                <w:spacing w:val="-84"/>
                <w:sz w:val="24"/>
              </w:rPr>
            </w:pPr>
            <w:r>
              <w:rPr>
                <w:rFonts w:hint="eastAsia" w:ascii="微软雅黑" w:hAnsi="微软雅黑" w:eastAsia="微软雅黑" w:cs="宋体"/>
                <w:color w:val="000000"/>
                <w:sz w:val="24"/>
              </w:rPr>
              <w:t>3</w:t>
            </w:r>
            <w:r>
              <w:rPr>
                <w:rFonts w:hint="eastAsia" w:ascii="微软雅黑" w:hAnsi="微软雅黑" w:eastAsia="微软雅黑" w:cs="宋体"/>
                <w:color w:val="000000"/>
                <w:spacing w:val="-54"/>
                <w:sz w:val="24"/>
              </w:rPr>
              <w:t xml:space="preserve"> </w:t>
            </w:r>
            <w:r>
              <w:rPr>
                <w:rFonts w:hint="eastAsia" w:ascii="微软雅黑" w:hAnsi="微软雅黑" w:eastAsia="微软雅黑" w:cs="宋体"/>
                <w:color w:val="000000"/>
                <w:sz w:val="24"/>
              </w:rPr>
              <w:t>种</w:t>
            </w:r>
            <w:r>
              <w:rPr>
                <w:rFonts w:hint="eastAsia" w:ascii="微软雅黑" w:hAnsi="微软雅黑" w:eastAsia="微软雅黑" w:cs="宋体"/>
                <w:color w:val="000000"/>
                <w:spacing w:val="-2"/>
                <w:sz w:val="24"/>
              </w:rPr>
              <w:t>邻</w:t>
            </w:r>
            <w:r>
              <w:rPr>
                <w:rFonts w:hint="eastAsia" w:ascii="微软雅黑" w:hAnsi="微软雅黑" w:eastAsia="微软雅黑" w:cs="宋体"/>
                <w:color w:val="000000"/>
                <w:sz w:val="24"/>
              </w:rPr>
              <w:t>苯</w:t>
            </w:r>
            <w:r>
              <w:rPr>
                <w:rFonts w:hint="eastAsia" w:ascii="微软雅黑" w:hAnsi="微软雅黑" w:eastAsia="微软雅黑" w:cs="宋体"/>
                <w:color w:val="000000"/>
                <w:spacing w:val="-2"/>
                <w:sz w:val="24"/>
              </w:rPr>
              <w:t>二</w:t>
            </w:r>
            <w:r>
              <w:rPr>
                <w:rFonts w:hint="eastAsia" w:ascii="微软雅黑" w:hAnsi="微软雅黑" w:eastAsia="微软雅黑" w:cs="宋体"/>
                <w:color w:val="000000"/>
                <w:sz w:val="24"/>
              </w:rPr>
              <w:t>甲</w:t>
            </w:r>
            <w:r>
              <w:rPr>
                <w:rFonts w:hint="eastAsia" w:ascii="微软雅黑" w:hAnsi="微软雅黑" w:eastAsia="微软雅黑" w:cs="宋体"/>
                <w:color w:val="000000"/>
                <w:spacing w:val="-2"/>
                <w:sz w:val="24"/>
              </w:rPr>
              <w:t>酸</w:t>
            </w:r>
            <w:r>
              <w:rPr>
                <w:rFonts w:hint="eastAsia" w:ascii="微软雅黑" w:hAnsi="微软雅黑" w:eastAsia="微软雅黑" w:cs="宋体"/>
                <w:color w:val="000000"/>
                <w:sz w:val="24"/>
              </w:rPr>
              <w:t>酯</w:t>
            </w:r>
            <w:r>
              <w:rPr>
                <w:rFonts w:hint="eastAsia" w:ascii="微软雅黑" w:hAnsi="微软雅黑" w:eastAsia="微软雅黑" w:cs="宋体"/>
                <w:color w:val="000000"/>
                <w:spacing w:val="-2"/>
                <w:sz w:val="24"/>
              </w:rPr>
              <w:t>类</w:t>
            </w:r>
          </w:p>
          <w:p w14:paraId="6DE63B09">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z w:val="24"/>
              </w:rPr>
              <w:t>（DNOP、DINP、DIDP）总</w:t>
            </w:r>
            <w:r>
              <w:rPr>
                <w:rFonts w:hint="eastAsia" w:ascii="微软雅黑" w:hAnsi="微软雅黑" w:eastAsia="微软雅黑" w:cs="宋体"/>
                <w:color w:val="000000"/>
                <w:spacing w:val="1"/>
                <w:sz w:val="24"/>
              </w:rPr>
              <w:t>和</w:t>
            </w:r>
            <w:r>
              <w:rPr>
                <w:rFonts w:hint="eastAsia" w:ascii="微软雅黑" w:hAnsi="微软雅黑" w:eastAsia="微软雅黑" w:cs="宋体"/>
                <w:color w:val="000000"/>
                <w:spacing w:val="-84"/>
                <w:sz w:val="24"/>
              </w:rPr>
              <w:t>/</w:t>
            </w:r>
            <w:r>
              <w:rPr>
                <w:rFonts w:hint="eastAsia" w:ascii="微软雅黑" w:hAnsi="微软雅黑" w:eastAsia="微软雅黑" w:cs="宋体"/>
                <w:color w:val="000000"/>
                <w:sz w:val="24"/>
              </w:rPr>
              <w:t>（</w:t>
            </w:r>
            <w:r>
              <w:rPr>
                <w:rFonts w:hint="eastAsia" w:ascii="微软雅黑" w:hAnsi="微软雅黑" w:eastAsia="微软雅黑" w:cs="宋体"/>
                <w:color w:val="000000"/>
                <w:spacing w:val="-2"/>
                <w:sz w:val="24"/>
              </w:rPr>
              <w:t>g</w:t>
            </w:r>
            <w:r>
              <w:rPr>
                <w:rFonts w:hint="eastAsia" w:ascii="微软雅黑" w:hAnsi="微软雅黑" w:eastAsia="微软雅黑" w:cs="宋体"/>
                <w:color w:val="000000"/>
                <w:sz w:val="24"/>
              </w:rPr>
              <w:t>/kg）</w:t>
            </w:r>
          </w:p>
        </w:tc>
        <w:tc>
          <w:tcPr>
            <w:tcW w:w="1027" w:type="pct"/>
            <w:noWrap w:val="0"/>
            <w:vAlign w:val="center"/>
          </w:tcPr>
          <w:p w14:paraId="0D68FF5E">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00E1B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79" w:type="pct"/>
            <w:vMerge w:val="continue"/>
            <w:noWrap w:val="0"/>
            <w:vAlign w:val="center"/>
          </w:tcPr>
          <w:p w14:paraId="5E39E753">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1F380BA6">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3</w:t>
            </w:r>
          </w:p>
        </w:tc>
        <w:tc>
          <w:tcPr>
            <w:tcW w:w="3161" w:type="pct"/>
            <w:noWrap w:val="0"/>
            <w:vAlign w:val="center"/>
          </w:tcPr>
          <w:p w14:paraId="3E1FFEF0">
            <w:pPr>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z w:val="24"/>
              </w:rPr>
              <w:t>18</w:t>
            </w:r>
            <w:r>
              <w:rPr>
                <w:rFonts w:hint="eastAsia" w:ascii="微软雅黑" w:hAnsi="微软雅黑" w:eastAsia="微软雅黑" w:cs="宋体"/>
                <w:color w:val="000000"/>
                <w:spacing w:val="-54"/>
                <w:sz w:val="24"/>
              </w:rPr>
              <w:t xml:space="preserve"> </w:t>
            </w:r>
            <w:r>
              <w:rPr>
                <w:rFonts w:hint="eastAsia" w:ascii="微软雅黑" w:hAnsi="微软雅黑" w:eastAsia="微软雅黑" w:cs="宋体"/>
                <w:color w:val="000000"/>
                <w:sz w:val="24"/>
              </w:rPr>
              <w:t>种</w:t>
            </w:r>
            <w:r>
              <w:rPr>
                <w:rFonts w:hint="eastAsia" w:ascii="微软雅黑" w:hAnsi="微软雅黑" w:eastAsia="微软雅黑" w:cs="宋体"/>
                <w:color w:val="000000"/>
                <w:spacing w:val="-2"/>
                <w:sz w:val="24"/>
              </w:rPr>
              <w:t>多</w:t>
            </w:r>
            <w:r>
              <w:rPr>
                <w:rFonts w:hint="eastAsia" w:ascii="微软雅黑" w:hAnsi="微软雅黑" w:eastAsia="微软雅黑" w:cs="宋体"/>
                <w:color w:val="000000"/>
                <w:sz w:val="24"/>
              </w:rPr>
              <w:t>环</w:t>
            </w:r>
            <w:r>
              <w:rPr>
                <w:rFonts w:hint="eastAsia" w:ascii="微软雅黑" w:hAnsi="微软雅黑" w:eastAsia="微软雅黑" w:cs="宋体"/>
                <w:color w:val="000000"/>
                <w:spacing w:val="-2"/>
                <w:sz w:val="24"/>
              </w:rPr>
              <w:t>芳</w:t>
            </w:r>
            <w:r>
              <w:rPr>
                <w:rFonts w:hint="eastAsia" w:ascii="微软雅黑" w:hAnsi="微软雅黑" w:eastAsia="微软雅黑" w:cs="宋体"/>
                <w:color w:val="000000"/>
                <w:sz w:val="24"/>
              </w:rPr>
              <w:t>烃</w:t>
            </w:r>
            <w:r>
              <w:rPr>
                <w:rFonts w:hint="eastAsia" w:ascii="微软雅黑" w:hAnsi="微软雅黑" w:eastAsia="微软雅黑" w:cs="宋体"/>
                <w:color w:val="000000"/>
                <w:spacing w:val="-2"/>
                <w:sz w:val="24"/>
              </w:rPr>
              <w:t>总</w:t>
            </w:r>
            <w:r>
              <w:rPr>
                <w:rFonts w:hint="eastAsia" w:ascii="微软雅黑" w:hAnsi="微软雅黑" w:eastAsia="微软雅黑" w:cs="宋体"/>
                <w:color w:val="000000"/>
                <w:sz w:val="24"/>
              </w:rPr>
              <w:t>和/(m</w:t>
            </w:r>
            <w:r>
              <w:rPr>
                <w:rFonts w:hint="eastAsia" w:ascii="微软雅黑" w:hAnsi="微软雅黑" w:eastAsia="微软雅黑" w:cs="宋体"/>
                <w:color w:val="000000"/>
                <w:spacing w:val="-2"/>
                <w:sz w:val="24"/>
              </w:rPr>
              <w:t>g/</w:t>
            </w:r>
            <w:r>
              <w:rPr>
                <w:rFonts w:hint="eastAsia" w:ascii="微软雅黑" w:hAnsi="微软雅黑" w:eastAsia="微软雅黑" w:cs="宋体"/>
                <w:color w:val="000000"/>
                <w:sz w:val="24"/>
              </w:rPr>
              <w:t>kg)</w:t>
            </w:r>
          </w:p>
        </w:tc>
        <w:tc>
          <w:tcPr>
            <w:tcW w:w="1027" w:type="pct"/>
            <w:noWrap w:val="0"/>
            <w:vAlign w:val="center"/>
          </w:tcPr>
          <w:p w14:paraId="7CCD7C00">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≤50</w:t>
            </w:r>
          </w:p>
        </w:tc>
      </w:tr>
      <w:tr w14:paraId="31141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79" w:type="pct"/>
            <w:vMerge w:val="continue"/>
            <w:noWrap w:val="0"/>
            <w:vAlign w:val="center"/>
          </w:tcPr>
          <w:p w14:paraId="6DEB3115">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34B161D2">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4</w:t>
            </w:r>
          </w:p>
        </w:tc>
        <w:tc>
          <w:tcPr>
            <w:tcW w:w="3161" w:type="pct"/>
            <w:noWrap w:val="0"/>
            <w:vAlign w:val="center"/>
          </w:tcPr>
          <w:p w14:paraId="71F4BCD1">
            <w:pPr>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18</w:t>
            </w:r>
            <w:r>
              <w:rPr>
                <w:rFonts w:hint="eastAsia" w:ascii="微软雅黑" w:hAnsi="微软雅黑" w:eastAsia="微软雅黑" w:cs="宋体"/>
                <w:color w:val="000000"/>
                <w:spacing w:val="-54"/>
                <w:sz w:val="24"/>
              </w:rPr>
              <w:t xml:space="preserve"> </w:t>
            </w:r>
            <w:r>
              <w:rPr>
                <w:rFonts w:hint="eastAsia" w:ascii="微软雅黑" w:hAnsi="微软雅黑" w:eastAsia="微软雅黑" w:cs="宋体"/>
                <w:color w:val="000000"/>
                <w:sz w:val="24"/>
              </w:rPr>
              <w:t>种</w:t>
            </w:r>
            <w:r>
              <w:rPr>
                <w:rFonts w:hint="eastAsia" w:ascii="微软雅黑" w:hAnsi="微软雅黑" w:eastAsia="微软雅黑" w:cs="宋体"/>
                <w:color w:val="000000"/>
                <w:spacing w:val="-2"/>
                <w:sz w:val="24"/>
              </w:rPr>
              <w:t>多</w:t>
            </w:r>
            <w:r>
              <w:rPr>
                <w:rFonts w:hint="eastAsia" w:ascii="微软雅黑" w:hAnsi="微软雅黑" w:eastAsia="微软雅黑" w:cs="宋体"/>
                <w:color w:val="000000"/>
                <w:sz w:val="24"/>
              </w:rPr>
              <w:t>环</w:t>
            </w:r>
            <w:r>
              <w:rPr>
                <w:rFonts w:hint="eastAsia" w:ascii="微软雅黑" w:hAnsi="微软雅黑" w:eastAsia="微软雅黑" w:cs="宋体"/>
                <w:color w:val="000000"/>
                <w:spacing w:val="-2"/>
                <w:sz w:val="24"/>
              </w:rPr>
              <w:t>芳</w:t>
            </w:r>
            <w:r>
              <w:rPr>
                <w:rFonts w:hint="eastAsia" w:ascii="微软雅黑" w:hAnsi="微软雅黑" w:eastAsia="微软雅黑" w:cs="宋体"/>
                <w:color w:val="000000"/>
                <w:sz w:val="24"/>
              </w:rPr>
              <w:t>烃</w:t>
            </w:r>
            <w:r>
              <w:rPr>
                <w:rFonts w:hint="eastAsia" w:ascii="微软雅黑" w:hAnsi="微软雅黑" w:eastAsia="微软雅黑" w:cs="宋体"/>
                <w:color w:val="000000"/>
                <w:spacing w:val="-2"/>
                <w:sz w:val="24"/>
              </w:rPr>
              <w:t>总</w:t>
            </w:r>
            <w:r>
              <w:rPr>
                <w:rFonts w:hint="eastAsia" w:ascii="微软雅黑" w:hAnsi="微软雅黑" w:eastAsia="微软雅黑" w:cs="宋体"/>
                <w:color w:val="000000"/>
                <w:sz w:val="24"/>
              </w:rPr>
              <w:t>和/(m</w:t>
            </w:r>
            <w:r>
              <w:rPr>
                <w:rFonts w:hint="eastAsia" w:ascii="微软雅黑" w:hAnsi="微软雅黑" w:eastAsia="微软雅黑" w:cs="宋体"/>
                <w:color w:val="000000"/>
                <w:spacing w:val="-2"/>
                <w:sz w:val="24"/>
              </w:rPr>
              <w:t>g/</w:t>
            </w:r>
            <w:r>
              <w:rPr>
                <w:rFonts w:hint="eastAsia" w:ascii="微软雅黑" w:hAnsi="微软雅黑" w:eastAsia="微软雅黑" w:cs="宋体"/>
                <w:color w:val="000000"/>
                <w:sz w:val="24"/>
              </w:rPr>
              <w:t>kg)</w:t>
            </w:r>
          </w:p>
          <w:p w14:paraId="64BA2E42">
            <w:pPr>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取合</w:t>
            </w:r>
            <w:r>
              <w:rPr>
                <w:rFonts w:hint="eastAsia" w:ascii="微软雅黑" w:hAnsi="微软雅黑" w:eastAsia="微软雅黑" w:cs="宋体"/>
                <w:color w:val="000000"/>
                <w:spacing w:val="-2"/>
                <w:sz w:val="24"/>
              </w:rPr>
              <w:t>成</w:t>
            </w:r>
            <w:r>
              <w:rPr>
                <w:rFonts w:hint="eastAsia" w:ascii="微软雅黑" w:hAnsi="微软雅黑" w:eastAsia="微软雅黑" w:cs="宋体"/>
                <w:color w:val="000000"/>
                <w:sz w:val="24"/>
              </w:rPr>
              <w:t>材</w:t>
            </w:r>
            <w:r>
              <w:rPr>
                <w:rFonts w:hint="eastAsia" w:ascii="微软雅黑" w:hAnsi="微软雅黑" w:eastAsia="微软雅黑" w:cs="宋体"/>
                <w:color w:val="000000"/>
                <w:spacing w:val="-2"/>
                <w:sz w:val="24"/>
              </w:rPr>
              <w:t>料面</w:t>
            </w:r>
            <w:r>
              <w:rPr>
                <w:rFonts w:hint="eastAsia" w:ascii="微软雅黑" w:hAnsi="微软雅黑" w:eastAsia="微软雅黑" w:cs="宋体"/>
                <w:color w:val="000000"/>
                <w:sz w:val="24"/>
              </w:rPr>
              <w:t>层上</w:t>
            </w:r>
            <w:r>
              <w:rPr>
                <w:rFonts w:hint="eastAsia" w:ascii="微软雅黑" w:hAnsi="微软雅黑" w:eastAsia="微软雅黑" w:cs="宋体"/>
                <w:color w:val="000000"/>
                <w:spacing w:val="-2"/>
                <w:sz w:val="24"/>
              </w:rPr>
              <w:t>表</w:t>
            </w:r>
            <w:r>
              <w:rPr>
                <w:rFonts w:hint="eastAsia" w:ascii="微软雅黑" w:hAnsi="微软雅黑" w:eastAsia="微软雅黑" w:cs="宋体"/>
                <w:color w:val="000000"/>
                <w:sz w:val="24"/>
              </w:rPr>
              <w:t>面5mm</w:t>
            </w:r>
            <w:r>
              <w:rPr>
                <w:rFonts w:hint="eastAsia" w:ascii="微软雅黑" w:hAnsi="微软雅黑" w:eastAsia="微软雅黑" w:cs="宋体"/>
                <w:color w:val="000000"/>
                <w:spacing w:val="-52"/>
                <w:sz w:val="24"/>
              </w:rPr>
              <w:t xml:space="preserve"> </w:t>
            </w:r>
            <w:r>
              <w:rPr>
                <w:rFonts w:hint="eastAsia" w:ascii="微软雅黑" w:hAnsi="微软雅黑" w:eastAsia="微软雅黑" w:cs="宋体"/>
                <w:color w:val="000000"/>
                <w:spacing w:val="-2"/>
                <w:sz w:val="24"/>
              </w:rPr>
              <w:t>以</w:t>
            </w:r>
            <w:r>
              <w:rPr>
                <w:rFonts w:hint="eastAsia" w:ascii="微软雅黑" w:hAnsi="微软雅黑" w:eastAsia="微软雅黑" w:cs="宋体"/>
                <w:color w:val="000000"/>
                <w:sz w:val="24"/>
              </w:rPr>
              <w:t>内部</w:t>
            </w:r>
            <w:r>
              <w:rPr>
                <w:rFonts w:hint="eastAsia" w:ascii="微软雅黑" w:hAnsi="微软雅黑" w:eastAsia="微软雅黑" w:cs="宋体"/>
                <w:color w:val="000000"/>
                <w:spacing w:val="-2"/>
                <w:sz w:val="24"/>
              </w:rPr>
              <w:t>分</w:t>
            </w:r>
            <w:r>
              <w:rPr>
                <w:rFonts w:hint="eastAsia" w:ascii="微软雅黑" w:hAnsi="微软雅黑" w:eastAsia="微软雅黑" w:cs="宋体"/>
                <w:color w:val="000000"/>
                <w:sz w:val="24"/>
              </w:rPr>
              <w:t>测</w:t>
            </w:r>
            <w:r>
              <w:rPr>
                <w:rFonts w:hint="eastAsia" w:ascii="微软雅黑" w:hAnsi="微软雅黑" w:eastAsia="微软雅黑" w:cs="宋体"/>
                <w:color w:val="000000"/>
                <w:spacing w:val="-2"/>
                <w:sz w:val="24"/>
              </w:rPr>
              <w:t>试)</w:t>
            </w:r>
          </w:p>
        </w:tc>
        <w:tc>
          <w:tcPr>
            <w:tcW w:w="1027" w:type="pct"/>
            <w:noWrap w:val="0"/>
            <w:vAlign w:val="center"/>
          </w:tcPr>
          <w:p w14:paraId="6AAC611A">
            <w:pPr>
              <w:adjustRightInd w:val="0"/>
              <w:snapToGrid w:val="0"/>
              <w:spacing w:line="440" w:lineRule="exact"/>
              <w:jc w:val="center"/>
              <w:rPr>
                <w:rFonts w:ascii="微软雅黑" w:hAnsi="微软雅黑" w:eastAsia="微软雅黑" w:cs="宋体"/>
                <w:color w:val="000000"/>
                <w:spacing w:val="-2"/>
                <w:sz w:val="24"/>
              </w:rPr>
            </w:pPr>
            <w:r>
              <w:rPr>
                <w:rFonts w:hint="eastAsia" w:ascii="微软雅黑" w:hAnsi="微软雅黑" w:eastAsia="微软雅黑" w:cs="仿宋"/>
                <w:bCs/>
                <w:kern w:val="0"/>
                <w:sz w:val="24"/>
              </w:rPr>
              <w:t>≤20</w:t>
            </w:r>
          </w:p>
        </w:tc>
      </w:tr>
      <w:tr w14:paraId="53888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479" w:type="pct"/>
            <w:vMerge w:val="continue"/>
            <w:noWrap w:val="0"/>
            <w:vAlign w:val="center"/>
          </w:tcPr>
          <w:p w14:paraId="12945987">
            <w:pPr>
              <w:widowControl/>
              <w:spacing w:line="440" w:lineRule="exact"/>
              <w:jc w:val="center"/>
              <w:rPr>
                <w:rFonts w:ascii="微软雅黑" w:hAnsi="微软雅黑" w:eastAsia="微软雅黑" w:cs="宋体"/>
                <w:color w:val="000000"/>
                <w:sz w:val="24"/>
              </w:rPr>
            </w:pPr>
          </w:p>
        </w:tc>
        <w:tc>
          <w:tcPr>
            <w:tcW w:w="333" w:type="pct"/>
            <w:noWrap w:val="0"/>
            <w:vAlign w:val="center"/>
          </w:tcPr>
          <w:p w14:paraId="36FDC11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5</w:t>
            </w:r>
          </w:p>
        </w:tc>
        <w:tc>
          <w:tcPr>
            <w:tcW w:w="3161" w:type="pct"/>
            <w:noWrap w:val="0"/>
            <w:vAlign w:val="center"/>
          </w:tcPr>
          <w:p w14:paraId="7E976B8B">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苯</w:t>
            </w:r>
            <w:r>
              <w:rPr>
                <w:rFonts w:hint="eastAsia" w:ascii="微软雅黑" w:hAnsi="微软雅黑" w:eastAsia="微软雅黑" w:cs="宋体"/>
                <w:color w:val="000000"/>
                <w:sz w:val="24"/>
              </w:rPr>
              <w:t>并</w:t>
            </w:r>
            <w:r>
              <w:rPr>
                <w:rFonts w:hint="eastAsia" w:ascii="微软雅黑" w:hAnsi="微软雅黑" w:eastAsia="微软雅黑" w:cs="宋体"/>
                <w:color w:val="000000"/>
                <w:spacing w:val="1"/>
                <w:sz w:val="24"/>
              </w:rPr>
              <w:t>［</w:t>
            </w:r>
            <w:r>
              <w:rPr>
                <w:rFonts w:hint="eastAsia" w:ascii="微软雅黑" w:hAnsi="微软雅黑" w:eastAsia="微软雅黑" w:cs="宋体"/>
                <w:color w:val="000000"/>
                <w:spacing w:val="-2"/>
                <w:sz w:val="24"/>
              </w:rPr>
              <w:t>a</w:t>
            </w:r>
            <w:r>
              <w:rPr>
                <w:rFonts w:hint="eastAsia" w:ascii="微软雅黑" w:hAnsi="微软雅黑" w:eastAsia="微软雅黑" w:cs="宋体"/>
                <w:color w:val="000000"/>
                <w:sz w:val="24"/>
              </w:rPr>
              <w:t>］</w:t>
            </w:r>
            <w:r>
              <w:rPr>
                <w:rFonts w:hint="eastAsia" w:ascii="微软雅黑" w:hAnsi="微软雅黑" w:eastAsia="微软雅黑" w:cs="宋体"/>
                <w:color w:val="000000"/>
                <w:spacing w:val="-2"/>
                <w:sz w:val="24"/>
              </w:rPr>
              <w:t>芘</w:t>
            </w:r>
            <w:r>
              <w:rPr>
                <w:rFonts w:hint="eastAsia" w:ascii="微软雅黑" w:hAnsi="微软雅黑" w:eastAsia="微软雅黑" w:cs="宋体"/>
                <w:color w:val="000000"/>
                <w:sz w:val="24"/>
              </w:rPr>
              <w:t>/（</w:t>
            </w:r>
            <w:r>
              <w:rPr>
                <w:rFonts w:hint="eastAsia" w:ascii="微软雅黑" w:hAnsi="微软雅黑" w:eastAsia="微软雅黑" w:cs="宋体"/>
                <w:color w:val="000000"/>
                <w:spacing w:val="-2"/>
                <w:sz w:val="24"/>
              </w:rPr>
              <w:t>m</w:t>
            </w:r>
            <w:r>
              <w:rPr>
                <w:rFonts w:hint="eastAsia" w:ascii="微软雅黑" w:hAnsi="微软雅黑" w:eastAsia="微软雅黑" w:cs="宋体"/>
                <w:color w:val="000000"/>
                <w:sz w:val="24"/>
              </w:rPr>
              <w:t>g/k</w:t>
            </w:r>
            <w:r>
              <w:rPr>
                <w:rFonts w:hint="eastAsia" w:ascii="微软雅黑" w:hAnsi="微软雅黑" w:eastAsia="微软雅黑" w:cs="宋体"/>
                <w:color w:val="000000"/>
                <w:spacing w:val="-2"/>
                <w:sz w:val="24"/>
              </w:rPr>
              <w:t>g</w:t>
            </w:r>
            <w:r>
              <w:rPr>
                <w:rFonts w:hint="eastAsia" w:ascii="微软雅黑" w:hAnsi="微软雅黑" w:eastAsia="微软雅黑" w:cs="宋体"/>
                <w:color w:val="000000"/>
                <w:sz w:val="24"/>
              </w:rPr>
              <w:t>）</w:t>
            </w:r>
          </w:p>
        </w:tc>
        <w:tc>
          <w:tcPr>
            <w:tcW w:w="1027" w:type="pct"/>
            <w:noWrap w:val="0"/>
            <w:vAlign w:val="center"/>
          </w:tcPr>
          <w:p w14:paraId="1E33F99B">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3CEF7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vMerge w:val="continue"/>
            <w:noWrap w:val="0"/>
            <w:vAlign w:val="center"/>
          </w:tcPr>
          <w:p w14:paraId="2FE0E387">
            <w:pPr>
              <w:widowControl/>
              <w:spacing w:line="440" w:lineRule="exact"/>
              <w:jc w:val="center"/>
              <w:rPr>
                <w:rFonts w:ascii="微软雅黑" w:hAnsi="微软雅黑" w:eastAsia="微软雅黑" w:cs="宋体"/>
                <w:color w:val="000000"/>
                <w:sz w:val="24"/>
              </w:rPr>
            </w:pPr>
          </w:p>
        </w:tc>
        <w:tc>
          <w:tcPr>
            <w:tcW w:w="333" w:type="pct"/>
            <w:noWrap w:val="0"/>
            <w:vAlign w:val="center"/>
          </w:tcPr>
          <w:p w14:paraId="2785CE46">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6</w:t>
            </w:r>
          </w:p>
        </w:tc>
        <w:tc>
          <w:tcPr>
            <w:tcW w:w="3161" w:type="pct"/>
            <w:noWrap w:val="0"/>
            <w:vAlign w:val="center"/>
          </w:tcPr>
          <w:p w14:paraId="21AA965E">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短</w:t>
            </w:r>
            <w:r>
              <w:rPr>
                <w:rFonts w:hint="eastAsia" w:ascii="微软雅黑" w:hAnsi="微软雅黑" w:eastAsia="微软雅黑" w:cs="宋体"/>
                <w:color w:val="000000"/>
                <w:sz w:val="24"/>
              </w:rPr>
              <w:t>链</w:t>
            </w:r>
            <w:r>
              <w:rPr>
                <w:rFonts w:hint="eastAsia" w:ascii="微软雅黑" w:hAnsi="微软雅黑" w:eastAsia="微软雅黑" w:cs="宋体"/>
                <w:color w:val="000000"/>
                <w:spacing w:val="-2"/>
                <w:sz w:val="24"/>
              </w:rPr>
              <w:t>氯</w:t>
            </w:r>
            <w:r>
              <w:rPr>
                <w:rFonts w:hint="eastAsia" w:ascii="微软雅黑" w:hAnsi="微软雅黑" w:eastAsia="微软雅黑" w:cs="宋体"/>
                <w:color w:val="000000"/>
                <w:sz w:val="24"/>
              </w:rPr>
              <w:t>化</w:t>
            </w:r>
            <w:r>
              <w:rPr>
                <w:rFonts w:hint="eastAsia" w:ascii="微软雅黑" w:hAnsi="微软雅黑" w:eastAsia="微软雅黑" w:cs="宋体"/>
                <w:color w:val="000000"/>
                <w:spacing w:val="-2"/>
                <w:sz w:val="24"/>
              </w:rPr>
              <w:t>石</w:t>
            </w:r>
            <w:r>
              <w:rPr>
                <w:rFonts w:hint="eastAsia" w:ascii="微软雅黑" w:hAnsi="微软雅黑" w:eastAsia="微软雅黑" w:cs="宋体"/>
                <w:color w:val="000000"/>
                <w:sz w:val="24"/>
              </w:rPr>
              <w:t>蜡（C</w:t>
            </w:r>
            <w:r>
              <w:rPr>
                <w:rFonts w:hint="eastAsia" w:ascii="微软雅黑" w:hAnsi="微软雅黑" w:eastAsia="微软雅黑" w:cs="宋体"/>
                <w:color w:val="000000"/>
                <w:sz w:val="24"/>
                <w:vertAlign w:val="subscript"/>
              </w:rPr>
              <w:t>10</w:t>
            </w:r>
            <w:r>
              <w:rPr>
                <w:rFonts w:hint="eastAsia" w:ascii="微软雅黑" w:hAnsi="微软雅黑" w:eastAsia="微软雅黑" w:cs="宋体"/>
                <w:color w:val="000000"/>
                <w:sz w:val="24"/>
              </w:rPr>
              <w:t>-C</w:t>
            </w:r>
            <w:r>
              <w:rPr>
                <w:rFonts w:hint="eastAsia" w:ascii="微软雅黑" w:hAnsi="微软雅黑" w:eastAsia="微软雅黑" w:cs="宋体"/>
                <w:color w:val="000000"/>
                <w:sz w:val="24"/>
                <w:vertAlign w:val="subscript"/>
              </w:rPr>
              <w:t>13</w:t>
            </w:r>
            <w:r>
              <w:rPr>
                <w:rFonts w:hint="eastAsia" w:ascii="微软雅黑" w:hAnsi="微软雅黑" w:eastAsia="微软雅黑" w:cs="宋体"/>
                <w:color w:val="000000"/>
                <w:sz w:val="24"/>
              </w:rPr>
              <w:t>）/（</w:t>
            </w:r>
            <w:r>
              <w:rPr>
                <w:rFonts w:hint="eastAsia" w:ascii="微软雅黑" w:hAnsi="微软雅黑" w:eastAsia="微软雅黑" w:cs="宋体"/>
                <w:color w:val="000000"/>
                <w:spacing w:val="-2"/>
                <w:sz w:val="24"/>
              </w:rPr>
              <w:t>g</w:t>
            </w:r>
            <w:r>
              <w:rPr>
                <w:rFonts w:hint="eastAsia" w:ascii="微软雅黑" w:hAnsi="微软雅黑" w:eastAsia="微软雅黑" w:cs="宋体"/>
                <w:color w:val="000000"/>
                <w:sz w:val="24"/>
              </w:rPr>
              <w:t>/k</w:t>
            </w:r>
            <w:r>
              <w:rPr>
                <w:rFonts w:hint="eastAsia" w:ascii="微软雅黑" w:hAnsi="微软雅黑" w:eastAsia="微软雅黑" w:cs="宋体"/>
                <w:color w:val="000000"/>
                <w:spacing w:val="-2"/>
                <w:sz w:val="24"/>
              </w:rPr>
              <w:t>g）</w:t>
            </w:r>
          </w:p>
        </w:tc>
        <w:tc>
          <w:tcPr>
            <w:tcW w:w="1027" w:type="pct"/>
            <w:noWrap w:val="0"/>
            <w:vAlign w:val="center"/>
          </w:tcPr>
          <w:p w14:paraId="6FA397E6">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≤1.5</w:t>
            </w:r>
          </w:p>
        </w:tc>
      </w:tr>
      <w:tr w14:paraId="0C720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79" w:type="pct"/>
            <w:vMerge w:val="continue"/>
            <w:noWrap w:val="0"/>
            <w:vAlign w:val="center"/>
          </w:tcPr>
          <w:p w14:paraId="4D7661E8">
            <w:pPr>
              <w:spacing w:line="440" w:lineRule="exact"/>
              <w:jc w:val="center"/>
              <w:rPr>
                <w:rFonts w:ascii="微软雅黑" w:hAnsi="微软雅黑" w:eastAsia="微软雅黑" w:cs="宋体"/>
                <w:color w:val="000000"/>
                <w:spacing w:val="-24"/>
                <w:sz w:val="24"/>
              </w:rPr>
            </w:pPr>
          </w:p>
        </w:tc>
        <w:tc>
          <w:tcPr>
            <w:tcW w:w="333" w:type="pct"/>
            <w:noWrap w:val="0"/>
            <w:vAlign w:val="center"/>
          </w:tcPr>
          <w:p w14:paraId="00E5090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7</w:t>
            </w:r>
          </w:p>
        </w:tc>
        <w:tc>
          <w:tcPr>
            <w:tcW w:w="3161" w:type="pct"/>
            <w:noWrap w:val="0"/>
            <w:vAlign w:val="center"/>
          </w:tcPr>
          <w:p w14:paraId="1E313D01">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z w:val="24"/>
              </w:rPr>
              <w:t>4,4′－二氨基一 3,3′－二氯二苯甲烷（MOCA）/（g/kg）</w:t>
            </w:r>
          </w:p>
        </w:tc>
        <w:tc>
          <w:tcPr>
            <w:tcW w:w="1027" w:type="pct"/>
            <w:noWrap w:val="0"/>
            <w:vAlign w:val="center"/>
          </w:tcPr>
          <w:p w14:paraId="137E70D6">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3C405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479" w:type="pct"/>
            <w:vMerge w:val="continue"/>
            <w:noWrap w:val="0"/>
            <w:vAlign w:val="center"/>
          </w:tcPr>
          <w:p w14:paraId="13B7A01C">
            <w:pPr>
              <w:widowControl/>
              <w:spacing w:line="440" w:lineRule="exact"/>
              <w:jc w:val="center"/>
              <w:rPr>
                <w:rFonts w:ascii="微软雅黑" w:hAnsi="微软雅黑" w:eastAsia="微软雅黑" w:cs="宋体"/>
                <w:color w:val="000000"/>
                <w:sz w:val="24"/>
              </w:rPr>
            </w:pPr>
          </w:p>
        </w:tc>
        <w:tc>
          <w:tcPr>
            <w:tcW w:w="333" w:type="pct"/>
            <w:noWrap w:val="0"/>
            <w:vAlign w:val="center"/>
          </w:tcPr>
          <w:p w14:paraId="0833F8AF">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8</w:t>
            </w:r>
          </w:p>
        </w:tc>
        <w:tc>
          <w:tcPr>
            <w:tcW w:w="3161" w:type="pct"/>
            <w:noWrap w:val="0"/>
            <w:vAlign w:val="center"/>
          </w:tcPr>
          <w:p w14:paraId="5E50449B">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z w:val="24"/>
              </w:rPr>
              <w:t>游离甲苯二异氰酸酯（TDI）和游离六亚甲基二异氰酸酯（HDI）总和/（g/kg）</w:t>
            </w:r>
          </w:p>
        </w:tc>
        <w:tc>
          <w:tcPr>
            <w:tcW w:w="1027" w:type="pct"/>
            <w:noWrap w:val="0"/>
            <w:vAlign w:val="center"/>
          </w:tcPr>
          <w:p w14:paraId="3234D0BD">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≤0.2</w:t>
            </w:r>
          </w:p>
        </w:tc>
      </w:tr>
      <w:tr w14:paraId="257FD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79" w:type="pct"/>
            <w:vMerge w:val="continue"/>
            <w:noWrap w:val="0"/>
            <w:vAlign w:val="center"/>
          </w:tcPr>
          <w:p w14:paraId="6948B803">
            <w:pPr>
              <w:widowControl/>
              <w:spacing w:line="440" w:lineRule="exact"/>
              <w:jc w:val="center"/>
              <w:rPr>
                <w:rFonts w:ascii="微软雅黑" w:hAnsi="微软雅黑" w:eastAsia="微软雅黑" w:cs="宋体"/>
                <w:color w:val="000000"/>
                <w:sz w:val="24"/>
              </w:rPr>
            </w:pPr>
          </w:p>
        </w:tc>
        <w:tc>
          <w:tcPr>
            <w:tcW w:w="333" w:type="pct"/>
            <w:noWrap w:val="0"/>
            <w:vAlign w:val="center"/>
          </w:tcPr>
          <w:p w14:paraId="435D300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9</w:t>
            </w:r>
          </w:p>
        </w:tc>
        <w:tc>
          <w:tcPr>
            <w:tcW w:w="3161" w:type="pct"/>
            <w:noWrap w:val="0"/>
            <w:vAlign w:val="center"/>
          </w:tcPr>
          <w:p w14:paraId="772FD604">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游</w:t>
            </w:r>
            <w:r>
              <w:rPr>
                <w:rFonts w:hint="eastAsia" w:ascii="微软雅黑" w:hAnsi="微软雅黑" w:eastAsia="微软雅黑" w:cs="宋体"/>
                <w:color w:val="000000"/>
                <w:sz w:val="24"/>
              </w:rPr>
              <w:t>离</w:t>
            </w:r>
            <w:r>
              <w:rPr>
                <w:rFonts w:hint="eastAsia" w:ascii="微软雅黑" w:hAnsi="微软雅黑" w:eastAsia="微软雅黑" w:cs="宋体"/>
                <w:color w:val="000000"/>
                <w:spacing w:val="-2"/>
                <w:sz w:val="24"/>
              </w:rPr>
              <w:t>二</w:t>
            </w:r>
            <w:r>
              <w:rPr>
                <w:rFonts w:hint="eastAsia" w:ascii="微软雅黑" w:hAnsi="微软雅黑" w:eastAsia="微软雅黑" w:cs="宋体"/>
                <w:color w:val="000000"/>
                <w:sz w:val="24"/>
              </w:rPr>
              <w:t>苯</w:t>
            </w:r>
            <w:r>
              <w:rPr>
                <w:rFonts w:hint="eastAsia" w:ascii="微软雅黑" w:hAnsi="微软雅黑" w:eastAsia="微软雅黑" w:cs="宋体"/>
                <w:color w:val="000000"/>
                <w:spacing w:val="-2"/>
                <w:sz w:val="24"/>
              </w:rPr>
              <w:t>基</w:t>
            </w:r>
            <w:r>
              <w:rPr>
                <w:rFonts w:hint="eastAsia" w:ascii="微软雅黑" w:hAnsi="微软雅黑" w:eastAsia="微软雅黑" w:cs="宋体"/>
                <w:color w:val="000000"/>
                <w:sz w:val="24"/>
              </w:rPr>
              <w:t>甲</w:t>
            </w:r>
            <w:r>
              <w:rPr>
                <w:rFonts w:hint="eastAsia" w:ascii="微软雅黑" w:hAnsi="微软雅黑" w:eastAsia="微软雅黑" w:cs="宋体"/>
                <w:color w:val="000000"/>
                <w:spacing w:val="-2"/>
                <w:sz w:val="24"/>
              </w:rPr>
              <w:t>烷</w:t>
            </w:r>
            <w:r>
              <w:rPr>
                <w:rFonts w:hint="eastAsia" w:ascii="微软雅黑" w:hAnsi="微软雅黑" w:eastAsia="微软雅黑" w:cs="宋体"/>
                <w:color w:val="000000"/>
                <w:sz w:val="24"/>
              </w:rPr>
              <w:t>二</w:t>
            </w:r>
            <w:r>
              <w:rPr>
                <w:rFonts w:hint="eastAsia" w:ascii="微软雅黑" w:hAnsi="微软雅黑" w:eastAsia="微软雅黑" w:cs="宋体"/>
                <w:color w:val="000000"/>
                <w:spacing w:val="-2"/>
                <w:sz w:val="24"/>
              </w:rPr>
              <w:t>异氰</w:t>
            </w:r>
            <w:r>
              <w:rPr>
                <w:rFonts w:hint="eastAsia" w:ascii="微软雅黑" w:hAnsi="微软雅黑" w:eastAsia="微软雅黑" w:cs="宋体"/>
                <w:color w:val="000000"/>
                <w:sz w:val="24"/>
              </w:rPr>
              <w:t>酸酯</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MD</w:t>
            </w:r>
            <w:r>
              <w:rPr>
                <w:rFonts w:hint="eastAsia" w:ascii="微软雅黑" w:hAnsi="微软雅黑" w:eastAsia="微软雅黑" w:cs="宋体"/>
                <w:color w:val="000000"/>
                <w:spacing w:val="-2"/>
                <w:sz w:val="24"/>
              </w:rPr>
              <w:t>I</w:t>
            </w:r>
            <w:r>
              <w:rPr>
                <w:rFonts w:hint="eastAsia" w:ascii="微软雅黑" w:hAnsi="微软雅黑" w:eastAsia="微软雅黑" w:cs="宋体"/>
                <w:color w:val="000000"/>
                <w:sz w:val="24"/>
              </w:rPr>
              <w:t>）/（g/kg）</w:t>
            </w:r>
          </w:p>
        </w:tc>
        <w:tc>
          <w:tcPr>
            <w:tcW w:w="1027" w:type="pct"/>
            <w:noWrap w:val="0"/>
            <w:vAlign w:val="center"/>
          </w:tcPr>
          <w:p w14:paraId="6D0E3656">
            <w:pPr>
              <w:adjustRightInd w:val="0"/>
              <w:snapToGrid w:val="0"/>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56FBC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continue"/>
            <w:noWrap w:val="0"/>
            <w:vAlign w:val="center"/>
          </w:tcPr>
          <w:p w14:paraId="28C47851">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6FC4352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10</w:t>
            </w:r>
          </w:p>
        </w:tc>
        <w:tc>
          <w:tcPr>
            <w:tcW w:w="3161" w:type="pct"/>
            <w:noWrap w:val="0"/>
            <w:vAlign w:val="center"/>
          </w:tcPr>
          <w:p w14:paraId="78CFF43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可溶性铅 /(mg/kg)</w:t>
            </w:r>
          </w:p>
        </w:tc>
        <w:tc>
          <w:tcPr>
            <w:tcW w:w="1027" w:type="pct"/>
            <w:noWrap w:val="0"/>
            <w:vAlign w:val="center"/>
          </w:tcPr>
          <w:p w14:paraId="548F6B69">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仿宋"/>
                <w:bCs/>
                <w:kern w:val="0"/>
                <w:sz w:val="24"/>
              </w:rPr>
              <w:t>≤50</w:t>
            </w:r>
          </w:p>
        </w:tc>
      </w:tr>
      <w:tr w14:paraId="4EEB0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continue"/>
            <w:noWrap w:val="0"/>
            <w:vAlign w:val="center"/>
          </w:tcPr>
          <w:p w14:paraId="798B31B4">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374F2807">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11</w:t>
            </w:r>
          </w:p>
        </w:tc>
        <w:tc>
          <w:tcPr>
            <w:tcW w:w="3161" w:type="pct"/>
            <w:noWrap w:val="0"/>
            <w:vAlign w:val="center"/>
          </w:tcPr>
          <w:p w14:paraId="3B17A571">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可溶性镉 /(mg/kg)</w:t>
            </w:r>
          </w:p>
        </w:tc>
        <w:tc>
          <w:tcPr>
            <w:tcW w:w="1027" w:type="pct"/>
            <w:noWrap w:val="0"/>
            <w:vAlign w:val="center"/>
          </w:tcPr>
          <w:p w14:paraId="277D17B1">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仿宋"/>
                <w:bCs/>
                <w:kern w:val="0"/>
                <w:sz w:val="24"/>
              </w:rPr>
              <w:t>≤10</w:t>
            </w:r>
          </w:p>
        </w:tc>
      </w:tr>
      <w:tr w14:paraId="3FBC0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continue"/>
            <w:noWrap w:val="0"/>
            <w:vAlign w:val="center"/>
          </w:tcPr>
          <w:p w14:paraId="463CB95C">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2BBE956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12</w:t>
            </w:r>
          </w:p>
        </w:tc>
        <w:tc>
          <w:tcPr>
            <w:tcW w:w="3161" w:type="pct"/>
            <w:noWrap w:val="0"/>
            <w:vAlign w:val="center"/>
          </w:tcPr>
          <w:p w14:paraId="29077975">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可溶性铬/ (mg/kg)</w:t>
            </w:r>
          </w:p>
        </w:tc>
        <w:tc>
          <w:tcPr>
            <w:tcW w:w="1027" w:type="pct"/>
            <w:noWrap w:val="0"/>
            <w:vAlign w:val="center"/>
          </w:tcPr>
          <w:p w14:paraId="2541BF2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仿宋"/>
                <w:bCs/>
                <w:kern w:val="0"/>
                <w:sz w:val="24"/>
              </w:rPr>
              <w:t>≤10</w:t>
            </w:r>
          </w:p>
        </w:tc>
      </w:tr>
      <w:tr w14:paraId="5DA6D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continue"/>
            <w:noWrap w:val="0"/>
            <w:vAlign w:val="center"/>
          </w:tcPr>
          <w:p w14:paraId="62EBD327">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36974F4A">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13</w:t>
            </w:r>
          </w:p>
        </w:tc>
        <w:tc>
          <w:tcPr>
            <w:tcW w:w="3161" w:type="pct"/>
            <w:noWrap w:val="0"/>
            <w:vAlign w:val="center"/>
          </w:tcPr>
          <w:p w14:paraId="2D64D6CA">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可溶性汞/ (mg/kg)</w:t>
            </w:r>
          </w:p>
        </w:tc>
        <w:tc>
          <w:tcPr>
            <w:tcW w:w="1027" w:type="pct"/>
            <w:noWrap w:val="0"/>
            <w:vAlign w:val="center"/>
          </w:tcPr>
          <w:p w14:paraId="31BAF3C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仿宋"/>
                <w:bCs/>
                <w:kern w:val="0"/>
                <w:sz w:val="24"/>
              </w:rPr>
              <w:t>≤2</w:t>
            </w:r>
          </w:p>
        </w:tc>
      </w:tr>
      <w:tr w14:paraId="5DFC3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restart"/>
            <w:noWrap w:val="0"/>
            <w:vAlign w:val="center"/>
          </w:tcPr>
          <w:p w14:paraId="1870610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有害物质释放量</w:t>
            </w:r>
          </w:p>
        </w:tc>
        <w:tc>
          <w:tcPr>
            <w:tcW w:w="333" w:type="pct"/>
            <w:noWrap w:val="0"/>
            <w:vAlign w:val="center"/>
          </w:tcPr>
          <w:p w14:paraId="5366F03F">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14</w:t>
            </w:r>
          </w:p>
        </w:tc>
        <w:tc>
          <w:tcPr>
            <w:tcW w:w="3161" w:type="pct"/>
            <w:noWrap w:val="0"/>
            <w:vAlign w:val="center"/>
          </w:tcPr>
          <w:p w14:paraId="3CC7FA11">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总</w:t>
            </w:r>
            <w:r>
              <w:rPr>
                <w:rFonts w:hint="eastAsia" w:ascii="微软雅黑" w:hAnsi="微软雅黑" w:eastAsia="微软雅黑" w:cs="宋体"/>
                <w:color w:val="000000"/>
                <w:sz w:val="24"/>
              </w:rPr>
              <w:t>挥</w:t>
            </w:r>
            <w:r>
              <w:rPr>
                <w:rFonts w:hint="eastAsia" w:ascii="微软雅黑" w:hAnsi="微软雅黑" w:eastAsia="微软雅黑" w:cs="宋体"/>
                <w:color w:val="000000"/>
                <w:spacing w:val="-2"/>
                <w:sz w:val="24"/>
              </w:rPr>
              <w:t>发</w:t>
            </w:r>
            <w:r>
              <w:rPr>
                <w:rFonts w:hint="eastAsia" w:ascii="微软雅黑" w:hAnsi="微软雅黑" w:eastAsia="微软雅黑" w:cs="宋体"/>
                <w:color w:val="000000"/>
                <w:sz w:val="24"/>
              </w:rPr>
              <w:t>性</w:t>
            </w:r>
            <w:r>
              <w:rPr>
                <w:rFonts w:hint="eastAsia" w:ascii="微软雅黑" w:hAnsi="微软雅黑" w:eastAsia="微软雅黑" w:cs="宋体"/>
                <w:color w:val="000000"/>
                <w:spacing w:val="-2"/>
                <w:sz w:val="24"/>
              </w:rPr>
              <w:t>有</w:t>
            </w:r>
            <w:r>
              <w:rPr>
                <w:rFonts w:hint="eastAsia" w:ascii="微软雅黑" w:hAnsi="微软雅黑" w:eastAsia="微软雅黑" w:cs="宋体"/>
                <w:color w:val="000000"/>
                <w:sz w:val="24"/>
              </w:rPr>
              <w:t>机</w:t>
            </w:r>
            <w:r>
              <w:rPr>
                <w:rFonts w:hint="eastAsia" w:ascii="微软雅黑" w:hAnsi="微软雅黑" w:eastAsia="微软雅黑" w:cs="宋体"/>
                <w:color w:val="000000"/>
                <w:spacing w:val="-2"/>
                <w:sz w:val="24"/>
              </w:rPr>
              <w:t>化</w:t>
            </w:r>
            <w:r>
              <w:rPr>
                <w:rFonts w:hint="eastAsia" w:ascii="微软雅黑" w:hAnsi="微软雅黑" w:eastAsia="微软雅黑" w:cs="宋体"/>
                <w:color w:val="000000"/>
                <w:sz w:val="24"/>
              </w:rPr>
              <w:t>合</w:t>
            </w:r>
            <w:r>
              <w:rPr>
                <w:rFonts w:hint="eastAsia" w:ascii="微软雅黑" w:hAnsi="微软雅黑" w:eastAsia="微软雅黑" w:cs="宋体"/>
                <w:color w:val="000000"/>
                <w:spacing w:val="-2"/>
                <w:sz w:val="24"/>
              </w:rPr>
              <w:t>物（</w:t>
            </w:r>
            <w:r>
              <w:rPr>
                <w:rFonts w:hint="eastAsia" w:ascii="微软雅黑" w:hAnsi="微软雅黑" w:eastAsia="微软雅黑" w:cs="宋体"/>
                <w:color w:val="000000"/>
                <w:sz w:val="24"/>
              </w:rPr>
              <w:t>TVOC</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pacing w:val="1"/>
                <w:sz w:val="24"/>
              </w:rPr>
              <w:t>（</w:t>
            </w:r>
            <w:r>
              <w:rPr>
                <w:rFonts w:hint="eastAsia" w:ascii="微软雅黑" w:hAnsi="微软雅黑" w:eastAsia="微软雅黑" w:cs="宋体"/>
                <w:color w:val="000000"/>
                <w:spacing w:val="-2"/>
                <w:sz w:val="24"/>
              </w:rPr>
              <w:t>m</w:t>
            </w:r>
            <w:r>
              <w:rPr>
                <w:rFonts w:hint="eastAsia" w:ascii="微软雅黑" w:hAnsi="微软雅黑" w:eastAsia="微软雅黑" w:cs="宋体"/>
                <w:color w:val="000000"/>
                <w:sz w:val="24"/>
              </w:rPr>
              <w:t>g/（m</w:t>
            </w:r>
            <w:r>
              <w:rPr>
                <w:rFonts w:hint="eastAsia" w:ascii="微软雅黑" w:hAnsi="微软雅黑" w:eastAsia="微软雅黑" w:cs="宋体"/>
                <w:color w:val="000000"/>
                <w:spacing w:val="-2"/>
                <w:sz w:val="24"/>
                <w:vertAlign w:val="superscript"/>
              </w:rPr>
              <w:t>2</w:t>
            </w:r>
            <w:r>
              <w:rPr>
                <w:rFonts w:ascii="微软雅黑" w:hAnsi="微软雅黑" w:eastAsia="微软雅黑" w:cs="Courier New"/>
                <w:color w:val="000000"/>
                <w:sz w:val="24"/>
              </w:rPr>
              <w:t>•</w:t>
            </w:r>
            <w:r>
              <w:rPr>
                <w:rFonts w:hint="eastAsia" w:ascii="微软雅黑" w:hAnsi="微软雅黑" w:eastAsia="微软雅黑" w:cs="宋体"/>
                <w:color w:val="000000"/>
                <w:sz w:val="24"/>
              </w:rPr>
              <w:t>h）</w:t>
            </w:r>
            <w:r>
              <w:rPr>
                <w:rFonts w:hint="eastAsia" w:ascii="微软雅黑" w:hAnsi="微软雅黑" w:eastAsia="微软雅黑" w:cs="宋体"/>
                <w:color w:val="000000"/>
                <w:spacing w:val="-2"/>
                <w:sz w:val="24"/>
              </w:rPr>
              <w:t>）</w:t>
            </w:r>
          </w:p>
        </w:tc>
        <w:tc>
          <w:tcPr>
            <w:tcW w:w="1027" w:type="pct"/>
            <w:noWrap w:val="0"/>
            <w:vAlign w:val="center"/>
          </w:tcPr>
          <w:p w14:paraId="0ACD7C6C">
            <w:pPr>
              <w:widowControl/>
              <w:spacing w:line="440" w:lineRule="exact"/>
              <w:jc w:val="center"/>
              <w:rPr>
                <w:rFonts w:ascii="微软雅黑" w:hAnsi="微软雅黑" w:eastAsia="微软雅黑" w:cs="宋体"/>
                <w:color w:val="000000"/>
                <w:kern w:val="0"/>
                <w:sz w:val="24"/>
              </w:rPr>
            </w:pPr>
            <w:r>
              <w:rPr>
                <w:rFonts w:hint="eastAsia" w:ascii="微软雅黑" w:hAnsi="微软雅黑" w:eastAsia="微软雅黑" w:cs="宋体"/>
                <w:color w:val="000000"/>
                <w:sz w:val="24"/>
              </w:rPr>
              <w:t>≤5</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0</w:t>
            </w:r>
          </w:p>
        </w:tc>
      </w:tr>
      <w:tr w14:paraId="6596E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79" w:type="pct"/>
            <w:vMerge w:val="continue"/>
            <w:noWrap w:val="0"/>
            <w:vAlign w:val="center"/>
          </w:tcPr>
          <w:p w14:paraId="75DBE5C8">
            <w:pPr>
              <w:widowControl/>
              <w:spacing w:line="440" w:lineRule="exact"/>
              <w:jc w:val="center"/>
              <w:rPr>
                <w:rFonts w:ascii="微软雅黑" w:hAnsi="微软雅黑" w:eastAsia="微软雅黑" w:cs="宋体"/>
                <w:color w:val="000000"/>
                <w:sz w:val="24"/>
              </w:rPr>
            </w:pPr>
          </w:p>
        </w:tc>
        <w:tc>
          <w:tcPr>
            <w:tcW w:w="333" w:type="pct"/>
            <w:noWrap w:val="0"/>
            <w:vAlign w:val="center"/>
          </w:tcPr>
          <w:p w14:paraId="3C13735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15</w:t>
            </w:r>
          </w:p>
        </w:tc>
        <w:tc>
          <w:tcPr>
            <w:tcW w:w="3161" w:type="pct"/>
            <w:noWrap w:val="0"/>
            <w:vAlign w:val="center"/>
          </w:tcPr>
          <w:p w14:paraId="4169530D">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甲</w:t>
            </w:r>
            <w:r>
              <w:rPr>
                <w:rFonts w:hint="eastAsia" w:ascii="微软雅黑" w:hAnsi="微软雅黑" w:eastAsia="微软雅黑" w:cs="宋体"/>
                <w:color w:val="000000"/>
                <w:sz w:val="24"/>
              </w:rPr>
              <w:t>醛/</w:t>
            </w:r>
            <w:r>
              <w:rPr>
                <w:rFonts w:hint="eastAsia" w:ascii="微软雅黑" w:hAnsi="微软雅黑" w:eastAsia="微软雅黑" w:cs="宋体"/>
                <w:color w:val="000000"/>
                <w:spacing w:val="1"/>
                <w:sz w:val="24"/>
              </w:rPr>
              <w:t>（</w:t>
            </w:r>
            <w:r>
              <w:rPr>
                <w:rFonts w:hint="eastAsia" w:ascii="微软雅黑" w:hAnsi="微软雅黑" w:eastAsia="微软雅黑" w:cs="宋体"/>
                <w:color w:val="000000"/>
                <w:spacing w:val="-2"/>
                <w:sz w:val="24"/>
              </w:rPr>
              <w:t>m</w:t>
            </w:r>
            <w:r>
              <w:rPr>
                <w:rFonts w:hint="eastAsia" w:ascii="微软雅黑" w:hAnsi="微软雅黑" w:eastAsia="微软雅黑" w:cs="宋体"/>
                <w:color w:val="000000"/>
                <w:sz w:val="24"/>
              </w:rPr>
              <w:t>g/（m</w:t>
            </w:r>
            <w:r>
              <w:rPr>
                <w:rFonts w:hint="eastAsia" w:ascii="微软雅黑" w:hAnsi="微软雅黑" w:eastAsia="微软雅黑" w:cs="宋体"/>
                <w:color w:val="000000"/>
                <w:spacing w:val="-2"/>
                <w:sz w:val="24"/>
                <w:vertAlign w:val="superscript"/>
              </w:rPr>
              <w:t>2</w:t>
            </w:r>
            <w:r>
              <w:rPr>
                <w:rFonts w:ascii="微软雅黑" w:hAnsi="微软雅黑" w:eastAsia="微软雅黑" w:cs="Courier New"/>
                <w:color w:val="000000"/>
                <w:sz w:val="24"/>
              </w:rPr>
              <w:t>•</w:t>
            </w:r>
            <w:r>
              <w:rPr>
                <w:rFonts w:hint="eastAsia" w:ascii="微软雅黑" w:hAnsi="微软雅黑" w:eastAsia="微软雅黑" w:cs="宋体"/>
                <w:color w:val="000000"/>
                <w:sz w:val="24"/>
              </w:rPr>
              <w:t>h）</w:t>
            </w:r>
            <w:r>
              <w:rPr>
                <w:rFonts w:hint="eastAsia" w:ascii="微软雅黑" w:hAnsi="微软雅黑" w:eastAsia="微软雅黑" w:cs="宋体"/>
                <w:color w:val="000000"/>
                <w:spacing w:val="-2"/>
                <w:sz w:val="24"/>
              </w:rPr>
              <w:t>）</w:t>
            </w:r>
          </w:p>
        </w:tc>
        <w:tc>
          <w:tcPr>
            <w:tcW w:w="1027" w:type="pct"/>
            <w:noWrap w:val="0"/>
            <w:vAlign w:val="center"/>
          </w:tcPr>
          <w:p w14:paraId="2B0951B9">
            <w:pPr>
              <w:widowControl/>
              <w:spacing w:line="440" w:lineRule="exact"/>
              <w:jc w:val="center"/>
              <w:rPr>
                <w:rFonts w:ascii="微软雅黑" w:hAnsi="微软雅黑" w:eastAsia="微软雅黑" w:cs="宋体"/>
                <w:color w:val="000000"/>
                <w:kern w:val="0"/>
                <w:sz w:val="24"/>
              </w:rPr>
            </w:pPr>
            <w:r>
              <w:rPr>
                <w:rFonts w:hint="eastAsia" w:ascii="微软雅黑" w:hAnsi="微软雅黑" w:eastAsia="微软雅黑" w:cs="宋体"/>
                <w:color w:val="000000"/>
                <w:sz w:val="24"/>
              </w:rPr>
              <w:t>≤0</w:t>
            </w:r>
            <w:r>
              <w:rPr>
                <w:rFonts w:hint="eastAsia" w:ascii="微软雅黑" w:hAnsi="微软雅黑" w:eastAsia="微软雅黑" w:cs="宋体"/>
                <w:color w:val="000000"/>
                <w:spacing w:val="-2"/>
                <w:sz w:val="24"/>
              </w:rPr>
              <w:t>.4</w:t>
            </w:r>
          </w:p>
        </w:tc>
      </w:tr>
      <w:tr w14:paraId="5E450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9" w:type="pct"/>
            <w:vMerge w:val="continue"/>
            <w:noWrap w:val="0"/>
            <w:vAlign w:val="center"/>
          </w:tcPr>
          <w:p w14:paraId="08081482">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5224D438">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16</w:t>
            </w:r>
          </w:p>
        </w:tc>
        <w:tc>
          <w:tcPr>
            <w:tcW w:w="3161" w:type="pct"/>
            <w:noWrap w:val="0"/>
            <w:vAlign w:val="center"/>
          </w:tcPr>
          <w:p w14:paraId="0A4EB91C">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苯/</w:t>
            </w:r>
            <w:r>
              <w:rPr>
                <w:rFonts w:hint="eastAsia" w:ascii="微软雅黑" w:hAnsi="微软雅黑" w:eastAsia="微软雅黑" w:cs="宋体"/>
                <w:color w:val="000000"/>
                <w:spacing w:val="1"/>
                <w:sz w:val="24"/>
              </w:rPr>
              <w:t>（</w:t>
            </w:r>
            <w:r>
              <w:rPr>
                <w:rFonts w:hint="eastAsia" w:ascii="微软雅黑" w:hAnsi="微软雅黑" w:eastAsia="微软雅黑" w:cs="宋体"/>
                <w:color w:val="000000"/>
                <w:sz w:val="24"/>
              </w:rPr>
              <w:t>mg</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m</w:t>
            </w:r>
            <w:r>
              <w:rPr>
                <w:rFonts w:hint="eastAsia" w:ascii="微软雅黑" w:hAnsi="微软雅黑" w:eastAsia="微软雅黑" w:cs="宋体"/>
                <w:color w:val="000000"/>
                <w:sz w:val="24"/>
                <w:vertAlign w:val="superscript"/>
              </w:rPr>
              <w:t>2</w:t>
            </w:r>
            <w:r>
              <w:rPr>
                <w:rFonts w:ascii="微软雅黑" w:hAnsi="微软雅黑" w:eastAsia="微软雅黑" w:cs="Courier New"/>
                <w:color w:val="000000"/>
                <w:sz w:val="24"/>
              </w:rPr>
              <w:t>•</w:t>
            </w:r>
            <w:r>
              <w:rPr>
                <w:rFonts w:hint="eastAsia" w:ascii="微软雅黑" w:hAnsi="微软雅黑" w:eastAsia="微软雅黑" w:cs="宋体"/>
                <w:color w:val="000000"/>
                <w:spacing w:val="-2"/>
                <w:sz w:val="24"/>
              </w:rPr>
              <w:t>h）</w:t>
            </w:r>
            <w:r>
              <w:rPr>
                <w:rFonts w:hint="eastAsia" w:ascii="微软雅黑" w:hAnsi="微软雅黑" w:eastAsia="微软雅黑" w:cs="宋体"/>
                <w:color w:val="000000"/>
                <w:sz w:val="24"/>
              </w:rPr>
              <w:t>）</w:t>
            </w:r>
          </w:p>
        </w:tc>
        <w:tc>
          <w:tcPr>
            <w:tcW w:w="1027" w:type="pct"/>
            <w:noWrap w:val="0"/>
            <w:vAlign w:val="center"/>
          </w:tcPr>
          <w:p w14:paraId="0B758E21">
            <w:pPr>
              <w:widowControl/>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≤0.1</w:t>
            </w:r>
          </w:p>
        </w:tc>
      </w:tr>
      <w:tr w14:paraId="59536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479" w:type="pct"/>
            <w:vMerge w:val="continue"/>
            <w:noWrap w:val="0"/>
            <w:vAlign w:val="center"/>
          </w:tcPr>
          <w:p w14:paraId="7239EF2D">
            <w:pPr>
              <w:widowControl/>
              <w:spacing w:line="440" w:lineRule="exact"/>
              <w:jc w:val="center"/>
              <w:rPr>
                <w:rFonts w:ascii="微软雅黑" w:hAnsi="微软雅黑" w:eastAsia="微软雅黑" w:cs="宋体"/>
                <w:color w:val="000000"/>
                <w:spacing w:val="1"/>
                <w:sz w:val="24"/>
              </w:rPr>
            </w:pPr>
          </w:p>
        </w:tc>
        <w:tc>
          <w:tcPr>
            <w:tcW w:w="333" w:type="pct"/>
            <w:noWrap w:val="0"/>
            <w:vAlign w:val="center"/>
          </w:tcPr>
          <w:p w14:paraId="221AE5B8">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17</w:t>
            </w:r>
          </w:p>
        </w:tc>
        <w:tc>
          <w:tcPr>
            <w:tcW w:w="3161" w:type="pct"/>
            <w:noWrap w:val="0"/>
            <w:vAlign w:val="center"/>
          </w:tcPr>
          <w:p w14:paraId="268E43B0">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甲</w:t>
            </w:r>
            <w:r>
              <w:rPr>
                <w:rFonts w:hint="eastAsia" w:ascii="微软雅黑" w:hAnsi="微软雅黑" w:eastAsia="微软雅黑" w:cs="宋体"/>
                <w:color w:val="000000"/>
                <w:sz w:val="24"/>
              </w:rPr>
              <w:t>苯</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二</w:t>
            </w:r>
            <w:r>
              <w:rPr>
                <w:rFonts w:hint="eastAsia" w:ascii="微软雅黑" w:hAnsi="微软雅黑" w:eastAsia="微软雅黑" w:cs="宋体"/>
                <w:color w:val="000000"/>
                <w:spacing w:val="-2"/>
                <w:sz w:val="24"/>
              </w:rPr>
              <w:t>甲</w:t>
            </w:r>
            <w:r>
              <w:rPr>
                <w:rFonts w:hint="eastAsia" w:ascii="微软雅黑" w:hAnsi="微软雅黑" w:eastAsia="微软雅黑" w:cs="宋体"/>
                <w:color w:val="000000"/>
                <w:sz w:val="24"/>
              </w:rPr>
              <w:t>苯</w:t>
            </w:r>
            <w:r>
              <w:rPr>
                <w:rFonts w:hint="eastAsia" w:ascii="微软雅黑" w:hAnsi="微软雅黑" w:eastAsia="微软雅黑" w:cs="宋体"/>
                <w:color w:val="000000"/>
                <w:spacing w:val="-2"/>
                <w:sz w:val="24"/>
              </w:rPr>
              <w:t>和</w:t>
            </w:r>
            <w:r>
              <w:rPr>
                <w:rFonts w:hint="eastAsia" w:ascii="微软雅黑" w:hAnsi="微软雅黑" w:eastAsia="微软雅黑" w:cs="宋体"/>
                <w:color w:val="000000"/>
                <w:sz w:val="24"/>
              </w:rPr>
              <w:t>乙</w:t>
            </w:r>
            <w:r>
              <w:rPr>
                <w:rFonts w:hint="eastAsia" w:ascii="微软雅黑" w:hAnsi="微软雅黑" w:eastAsia="微软雅黑" w:cs="宋体"/>
                <w:color w:val="000000"/>
                <w:spacing w:val="-2"/>
                <w:sz w:val="24"/>
              </w:rPr>
              <w:t>苯总</w:t>
            </w:r>
            <w:r>
              <w:rPr>
                <w:rFonts w:hint="eastAsia" w:ascii="微软雅黑" w:hAnsi="微软雅黑" w:eastAsia="微软雅黑" w:cs="宋体"/>
                <w:color w:val="000000"/>
                <w:sz w:val="24"/>
              </w:rPr>
              <w:t>和/</w:t>
            </w:r>
            <w:r>
              <w:rPr>
                <w:rFonts w:hint="eastAsia" w:ascii="微软雅黑" w:hAnsi="微软雅黑" w:eastAsia="微软雅黑" w:cs="宋体"/>
                <w:color w:val="000000"/>
                <w:spacing w:val="1"/>
                <w:sz w:val="24"/>
              </w:rPr>
              <w:t>（</w:t>
            </w:r>
            <w:r>
              <w:rPr>
                <w:rFonts w:hint="eastAsia" w:ascii="微软雅黑" w:hAnsi="微软雅黑" w:eastAsia="微软雅黑" w:cs="宋体"/>
                <w:color w:val="000000"/>
                <w:sz w:val="24"/>
              </w:rPr>
              <w:t>mg</w:t>
            </w:r>
            <w:r>
              <w:rPr>
                <w:rFonts w:hint="eastAsia" w:ascii="微软雅黑" w:hAnsi="微软雅黑" w:eastAsia="微软雅黑" w:cs="宋体"/>
                <w:color w:val="000000"/>
                <w:spacing w:val="-2"/>
                <w:sz w:val="24"/>
              </w:rPr>
              <w:t>/（</w:t>
            </w:r>
            <w:r>
              <w:rPr>
                <w:rFonts w:hint="eastAsia" w:ascii="微软雅黑" w:hAnsi="微软雅黑" w:eastAsia="微软雅黑" w:cs="宋体"/>
                <w:color w:val="000000"/>
                <w:sz w:val="24"/>
              </w:rPr>
              <w:t>m</w:t>
            </w:r>
            <w:r>
              <w:rPr>
                <w:rFonts w:hint="eastAsia" w:ascii="微软雅黑" w:hAnsi="微软雅黑" w:eastAsia="微软雅黑" w:cs="宋体"/>
                <w:color w:val="000000"/>
                <w:sz w:val="24"/>
                <w:vertAlign w:val="superscript"/>
              </w:rPr>
              <w:t>2</w:t>
            </w:r>
            <w:r>
              <w:rPr>
                <w:rFonts w:ascii="微软雅黑" w:hAnsi="微软雅黑" w:eastAsia="微软雅黑" w:cs="Courier New"/>
                <w:color w:val="000000"/>
                <w:sz w:val="24"/>
              </w:rPr>
              <w:t>•</w:t>
            </w:r>
            <w:r>
              <w:rPr>
                <w:rFonts w:hint="eastAsia" w:ascii="微软雅黑" w:hAnsi="微软雅黑" w:eastAsia="微软雅黑" w:cs="宋体"/>
                <w:color w:val="000000"/>
                <w:spacing w:val="-2"/>
                <w:sz w:val="24"/>
              </w:rPr>
              <w:t>h）</w:t>
            </w:r>
            <w:r>
              <w:rPr>
                <w:rFonts w:hint="eastAsia" w:ascii="微软雅黑" w:hAnsi="微软雅黑" w:eastAsia="微软雅黑" w:cs="宋体"/>
                <w:color w:val="000000"/>
                <w:sz w:val="24"/>
              </w:rPr>
              <w:t>）</w:t>
            </w:r>
          </w:p>
        </w:tc>
        <w:tc>
          <w:tcPr>
            <w:tcW w:w="1027" w:type="pct"/>
            <w:noWrap w:val="0"/>
            <w:vAlign w:val="center"/>
          </w:tcPr>
          <w:p w14:paraId="5BCEAEFD">
            <w:pPr>
              <w:widowControl/>
              <w:spacing w:line="440" w:lineRule="exact"/>
              <w:jc w:val="center"/>
              <w:rPr>
                <w:rFonts w:ascii="微软雅黑" w:hAnsi="微软雅黑" w:eastAsia="微软雅黑" w:cs="宋体"/>
                <w:color w:val="000000"/>
                <w:kern w:val="0"/>
                <w:sz w:val="24"/>
              </w:rPr>
            </w:pPr>
            <w:r>
              <w:rPr>
                <w:rFonts w:hint="eastAsia" w:ascii="微软雅黑" w:hAnsi="微软雅黑" w:eastAsia="微软雅黑" w:cs="仿宋"/>
                <w:bCs/>
                <w:kern w:val="0"/>
                <w:sz w:val="24"/>
              </w:rPr>
              <w:t>≤1.0</w:t>
            </w:r>
          </w:p>
        </w:tc>
      </w:tr>
      <w:tr w14:paraId="357D2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vMerge w:val="continue"/>
            <w:noWrap w:val="0"/>
            <w:vAlign w:val="center"/>
          </w:tcPr>
          <w:p w14:paraId="7C2965F5">
            <w:pPr>
              <w:widowControl/>
              <w:spacing w:line="440" w:lineRule="exact"/>
              <w:jc w:val="center"/>
              <w:rPr>
                <w:rFonts w:ascii="微软雅黑" w:hAnsi="微软雅黑" w:eastAsia="微软雅黑" w:cs="宋体"/>
                <w:color w:val="000000"/>
                <w:sz w:val="24"/>
              </w:rPr>
            </w:pPr>
          </w:p>
        </w:tc>
        <w:tc>
          <w:tcPr>
            <w:tcW w:w="333" w:type="pct"/>
            <w:noWrap w:val="0"/>
            <w:vAlign w:val="center"/>
          </w:tcPr>
          <w:p w14:paraId="559D0B99">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18</w:t>
            </w:r>
          </w:p>
        </w:tc>
        <w:tc>
          <w:tcPr>
            <w:tcW w:w="3161" w:type="pct"/>
            <w:noWrap w:val="0"/>
            <w:vAlign w:val="center"/>
          </w:tcPr>
          <w:p w14:paraId="52F4C695">
            <w:pPr>
              <w:widowControl/>
              <w:spacing w:line="440" w:lineRule="exact"/>
              <w:jc w:val="center"/>
              <w:rPr>
                <w:rFonts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二</w:t>
            </w:r>
            <w:r>
              <w:rPr>
                <w:rFonts w:hint="eastAsia" w:ascii="微软雅黑" w:hAnsi="微软雅黑" w:eastAsia="微软雅黑" w:cs="宋体"/>
                <w:color w:val="000000"/>
                <w:sz w:val="24"/>
              </w:rPr>
              <w:t>硫</w:t>
            </w:r>
            <w:r>
              <w:rPr>
                <w:rFonts w:hint="eastAsia" w:ascii="微软雅黑" w:hAnsi="微软雅黑" w:eastAsia="微软雅黑" w:cs="宋体"/>
                <w:color w:val="000000"/>
                <w:spacing w:val="-2"/>
                <w:sz w:val="24"/>
              </w:rPr>
              <w:t>化</w:t>
            </w:r>
            <w:r>
              <w:rPr>
                <w:rFonts w:hint="eastAsia" w:ascii="微软雅黑" w:hAnsi="微软雅黑" w:eastAsia="微软雅黑" w:cs="宋体"/>
                <w:color w:val="000000"/>
                <w:sz w:val="24"/>
              </w:rPr>
              <w:t>碳/（</w:t>
            </w:r>
            <w:r>
              <w:rPr>
                <w:rFonts w:hint="eastAsia" w:ascii="微软雅黑" w:hAnsi="微软雅黑" w:eastAsia="微软雅黑" w:cs="宋体"/>
                <w:color w:val="000000"/>
                <w:spacing w:val="-2"/>
                <w:sz w:val="24"/>
              </w:rPr>
              <w:t>m</w:t>
            </w:r>
            <w:r>
              <w:rPr>
                <w:rFonts w:hint="eastAsia" w:ascii="微软雅黑" w:hAnsi="微软雅黑" w:eastAsia="微软雅黑" w:cs="宋体"/>
                <w:color w:val="000000"/>
                <w:sz w:val="24"/>
              </w:rPr>
              <w:t>g/（m</w:t>
            </w:r>
            <w:r>
              <w:rPr>
                <w:rFonts w:hint="eastAsia" w:ascii="微软雅黑" w:hAnsi="微软雅黑" w:eastAsia="微软雅黑" w:cs="宋体"/>
                <w:color w:val="000000"/>
                <w:spacing w:val="-2"/>
                <w:sz w:val="24"/>
                <w:vertAlign w:val="superscript"/>
              </w:rPr>
              <w:t>2</w:t>
            </w:r>
            <w:r>
              <w:rPr>
                <w:rFonts w:ascii="微软雅黑" w:hAnsi="微软雅黑" w:eastAsia="微软雅黑" w:cs="Courier New"/>
                <w:color w:val="000000"/>
                <w:sz w:val="24"/>
              </w:rPr>
              <w:t>•</w:t>
            </w:r>
            <w:r>
              <w:rPr>
                <w:rFonts w:hint="eastAsia" w:ascii="微软雅黑" w:hAnsi="微软雅黑" w:eastAsia="微软雅黑" w:cs="宋体"/>
                <w:color w:val="000000"/>
                <w:sz w:val="24"/>
              </w:rPr>
              <w:t>h）</w:t>
            </w:r>
            <w:r>
              <w:rPr>
                <w:rFonts w:hint="eastAsia" w:ascii="微软雅黑" w:hAnsi="微软雅黑" w:eastAsia="微软雅黑" w:cs="宋体"/>
                <w:color w:val="000000"/>
                <w:spacing w:val="-2"/>
                <w:sz w:val="24"/>
              </w:rPr>
              <w:t>）</w:t>
            </w:r>
          </w:p>
        </w:tc>
        <w:tc>
          <w:tcPr>
            <w:tcW w:w="1027" w:type="pct"/>
            <w:noWrap w:val="0"/>
            <w:vAlign w:val="center"/>
          </w:tcPr>
          <w:p w14:paraId="569BE4CF">
            <w:pPr>
              <w:widowControl/>
              <w:spacing w:line="440" w:lineRule="exact"/>
              <w:jc w:val="center"/>
              <w:rPr>
                <w:rFonts w:ascii="微软雅黑" w:hAnsi="微软雅黑" w:eastAsia="微软雅黑" w:cs="宋体"/>
                <w:color w:val="000000"/>
                <w:kern w:val="0"/>
                <w:sz w:val="24"/>
              </w:rPr>
            </w:pPr>
            <w:r>
              <w:rPr>
                <w:rFonts w:hint="eastAsia" w:ascii="微软雅黑" w:hAnsi="微软雅黑" w:eastAsia="微软雅黑" w:cs="宋体"/>
                <w:color w:val="000000"/>
                <w:sz w:val="24"/>
              </w:rPr>
              <w:t>≤7.</w:t>
            </w:r>
            <w:r>
              <w:rPr>
                <w:rFonts w:hint="eastAsia" w:ascii="微软雅黑" w:hAnsi="微软雅黑" w:eastAsia="微软雅黑" w:cs="宋体"/>
                <w:color w:val="000000"/>
                <w:spacing w:val="-2"/>
                <w:sz w:val="24"/>
              </w:rPr>
              <w:t>0</w:t>
            </w:r>
          </w:p>
        </w:tc>
      </w:tr>
      <w:tr w14:paraId="30B9B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noWrap w:val="0"/>
            <w:vAlign w:val="center"/>
          </w:tcPr>
          <w:p w14:paraId="0F1B32C0">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无机填料含量</w:t>
            </w:r>
          </w:p>
        </w:tc>
        <w:tc>
          <w:tcPr>
            <w:tcW w:w="333" w:type="pct"/>
            <w:noWrap w:val="0"/>
            <w:vAlign w:val="center"/>
          </w:tcPr>
          <w:p w14:paraId="73D1922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19</w:t>
            </w:r>
          </w:p>
        </w:tc>
        <w:tc>
          <w:tcPr>
            <w:tcW w:w="3161" w:type="pct"/>
            <w:noWrap w:val="0"/>
            <w:vAlign w:val="center"/>
          </w:tcPr>
          <w:p w14:paraId="737F348F">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z w:val="24"/>
              </w:rPr>
              <w:t>无机填料含量/（%</w:t>
            </w:r>
            <w:r>
              <w:rPr>
                <w:rFonts w:hint="eastAsia" w:ascii="微软雅黑" w:hAnsi="微软雅黑" w:eastAsia="微软雅黑" w:cs="宋体"/>
                <w:color w:val="000000"/>
                <w:spacing w:val="-2"/>
                <w:sz w:val="24"/>
              </w:rPr>
              <w:t>）</w:t>
            </w:r>
          </w:p>
        </w:tc>
        <w:tc>
          <w:tcPr>
            <w:tcW w:w="1027" w:type="pct"/>
            <w:noWrap w:val="0"/>
            <w:vAlign w:val="center"/>
          </w:tcPr>
          <w:p w14:paraId="606EC4DD">
            <w:pPr>
              <w:widowControl/>
              <w:spacing w:line="440" w:lineRule="exact"/>
              <w:jc w:val="center"/>
              <w:rPr>
                <w:rFonts w:ascii="微软雅黑" w:hAnsi="微软雅黑" w:eastAsia="微软雅黑" w:cs="宋体"/>
                <w:color w:val="000000"/>
                <w:sz w:val="24"/>
              </w:rPr>
            </w:pPr>
            <w:r>
              <w:rPr>
                <w:rFonts w:hint="eastAsia" w:ascii="微软雅黑" w:hAnsi="微软雅黑" w:eastAsia="微软雅黑" w:cs="宋体"/>
                <w:color w:val="000000"/>
                <w:sz w:val="24"/>
              </w:rPr>
              <w:t>≤65</w:t>
            </w:r>
          </w:p>
        </w:tc>
      </w:tr>
      <w:tr w14:paraId="2A586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noWrap w:val="0"/>
            <w:vAlign w:val="center"/>
          </w:tcPr>
          <w:p w14:paraId="45D69C5D">
            <w:pPr>
              <w:widowControl/>
              <w:spacing w:line="440" w:lineRule="exact"/>
              <w:jc w:val="center"/>
              <w:rPr>
                <w:rFonts w:hint="eastAsia" w:ascii="微软雅黑" w:hAnsi="微软雅黑" w:eastAsia="微软雅黑" w:cs="宋体"/>
                <w:color w:val="000000"/>
                <w:sz w:val="24"/>
              </w:rPr>
            </w:pPr>
            <w:r>
              <w:rPr>
                <w:rFonts w:hint="eastAsia" w:ascii="微软雅黑" w:hAnsi="微软雅黑" w:eastAsia="微软雅黑" w:cs="宋体"/>
                <w:color w:val="000000"/>
                <w:sz w:val="24"/>
              </w:rPr>
              <w:t>气味</w:t>
            </w:r>
          </w:p>
        </w:tc>
        <w:tc>
          <w:tcPr>
            <w:tcW w:w="333" w:type="pct"/>
            <w:noWrap w:val="0"/>
            <w:vAlign w:val="center"/>
          </w:tcPr>
          <w:p w14:paraId="715D6B55">
            <w:pPr>
              <w:widowControl/>
              <w:spacing w:line="440" w:lineRule="exact"/>
              <w:jc w:val="center"/>
              <w:rPr>
                <w:rFonts w:hint="eastAsia" w:ascii="微软雅黑" w:hAnsi="微软雅黑" w:eastAsia="微软雅黑" w:cs="宋体"/>
                <w:color w:val="000000"/>
                <w:spacing w:val="-2"/>
                <w:sz w:val="24"/>
              </w:rPr>
            </w:pPr>
            <w:r>
              <w:rPr>
                <w:rFonts w:hint="eastAsia" w:ascii="微软雅黑" w:hAnsi="微软雅黑" w:eastAsia="微软雅黑" w:cs="宋体"/>
                <w:color w:val="000000"/>
                <w:spacing w:val="-2"/>
                <w:sz w:val="24"/>
              </w:rPr>
              <w:t>20</w:t>
            </w:r>
          </w:p>
        </w:tc>
        <w:tc>
          <w:tcPr>
            <w:tcW w:w="3161" w:type="pct"/>
            <w:noWrap w:val="0"/>
            <w:vAlign w:val="center"/>
          </w:tcPr>
          <w:p w14:paraId="06BDF4B9">
            <w:pPr>
              <w:widowControl/>
              <w:spacing w:line="440" w:lineRule="exact"/>
              <w:jc w:val="center"/>
              <w:rPr>
                <w:rFonts w:hint="eastAsia" w:ascii="微软雅黑" w:hAnsi="微软雅黑" w:eastAsia="微软雅黑" w:cs="宋体"/>
                <w:b/>
                <w:bCs/>
                <w:color w:val="000000"/>
                <w:kern w:val="0"/>
                <w:sz w:val="24"/>
              </w:rPr>
            </w:pPr>
            <w:r>
              <w:rPr>
                <w:rFonts w:hint="eastAsia" w:ascii="微软雅黑" w:hAnsi="微软雅黑" w:eastAsia="微软雅黑" w:cs="宋体"/>
                <w:color w:val="000000"/>
                <w:spacing w:val="-2"/>
                <w:sz w:val="24"/>
              </w:rPr>
              <w:t>气</w:t>
            </w:r>
            <w:r>
              <w:rPr>
                <w:rFonts w:hint="eastAsia" w:ascii="微软雅黑" w:hAnsi="微软雅黑" w:eastAsia="微软雅黑" w:cs="宋体"/>
                <w:color w:val="000000"/>
                <w:sz w:val="24"/>
              </w:rPr>
              <w:t>味</w:t>
            </w:r>
            <w:r>
              <w:rPr>
                <w:rFonts w:hint="eastAsia" w:ascii="微软雅黑" w:hAnsi="微软雅黑" w:eastAsia="微软雅黑" w:cs="宋体"/>
                <w:color w:val="000000"/>
                <w:spacing w:val="-2"/>
                <w:sz w:val="24"/>
              </w:rPr>
              <w:t>等</w:t>
            </w:r>
            <w:r>
              <w:rPr>
                <w:rFonts w:hint="eastAsia" w:ascii="微软雅黑" w:hAnsi="微软雅黑" w:eastAsia="微软雅黑" w:cs="宋体"/>
                <w:color w:val="000000"/>
                <w:sz w:val="24"/>
              </w:rPr>
              <w:t>级/（级）</w:t>
            </w:r>
          </w:p>
        </w:tc>
        <w:tc>
          <w:tcPr>
            <w:tcW w:w="1027" w:type="pct"/>
            <w:noWrap w:val="0"/>
            <w:vAlign w:val="center"/>
          </w:tcPr>
          <w:p w14:paraId="1190F191">
            <w:pPr>
              <w:widowControl/>
              <w:spacing w:line="440" w:lineRule="exact"/>
              <w:jc w:val="center"/>
              <w:rPr>
                <w:rFonts w:hint="eastAsia" w:ascii="微软雅黑" w:hAnsi="微软雅黑" w:eastAsia="微软雅黑" w:cs="宋体"/>
                <w:color w:val="000000"/>
                <w:kern w:val="0"/>
                <w:sz w:val="24"/>
              </w:rPr>
            </w:pPr>
            <w:r>
              <w:rPr>
                <w:rFonts w:hint="eastAsia" w:ascii="微软雅黑" w:hAnsi="微软雅黑" w:eastAsia="微软雅黑" w:cs="宋体"/>
                <w:color w:val="000000"/>
                <w:sz w:val="24"/>
              </w:rPr>
              <w:t>≤3</w:t>
            </w:r>
          </w:p>
        </w:tc>
      </w:tr>
      <w:tr w14:paraId="708E0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vMerge w:val="restart"/>
            <w:noWrap w:val="0"/>
            <w:vAlign w:val="center"/>
          </w:tcPr>
          <w:p w14:paraId="0FB73B3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老化500h</w:t>
            </w:r>
          </w:p>
        </w:tc>
        <w:tc>
          <w:tcPr>
            <w:tcW w:w="333" w:type="pct"/>
            <w:noWrap w:val="0"/>
            <w:vAlign w:val="center"/>
          </w:tcPr>
          <w:p w14:paraId="6ED9B85C">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21</w:t>
            </w:r>
          </w:p>
        </w:tc>
        <w:tc>
          <w:tcPr>
            <w:tcW w:w="3161" w:type="pct"/>
            <w:noWrap w:val="0"/>
            <w:vAlign w:val="center"/>
          </w:tcPr>
          <w:p w14:paraId="2236CCD9">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拉伸强度（MPa）</w:t>
            </w:r>
          </w:p>
        </w:tc>
        <w:tc>
          <w:tcPr>
            <w:tcW w:w="1027" w:type="pct"/>
            <w:noWrap w:val="0"/>
            <w:vAlign w:val="center"/>
          </w:tcPr>
          <w:p w14:paraId="32604A19">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≥0.5</w:t>
            </w:r>
          </w:p>
        </w:tc>
      </w:tr>
      <w:tr w14:paraId="2CE44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79" w:type="pct"/>
            <w:vMerge w:val="continue"/>
            <w:noWrap w:val="0"/>
            <w:vAlign w:val="center"/>
          </w:tcPr>
          <w:p w14:paraId="587C7BEA">
            <w:pPr>
              <w:widowControl/>
              <w:spacing w:line="440" w:lineRule="exact"/>
              <w:jc w:val="center"/>
              <w:rPr>
                <w:rFonts w:ascii="微软雅黑" w:hAnsi="微软雅黑" w:eastAsia="微软雅黑" w:cs="宋体"/>
                <w:color w:val="000000"/>
                <w:spacing w:val="-2"/>
                <w:sz w:val="24"/>
              </w:rPr>
            </w:pPr>
          </w:p>
        </w:tc>
        <w:tc>
          <w:tcPr>
            <w:tcW w:w="333" w:type="pct"/>
            <w:noWrap w:val="0"/>
            <w:vAlign w:val="center"/>
          </w:tcPr>
          <w:p w14:paraId="475AFBC0">
            <w:pPr>
              <w:widowControl/>
              <w:spacing w:line="440" w:lineRule="exact"/>
              <w:jc w:val="center"/>
              <w:rPr>
                <w:rFonts w:hint="eastAsia" w:ascii="微软雅黑" w:hAnsi="微软雅黑" w:eastAsia="微软雅黑" w:cs="宋体"/>
                <w:color w:val="000000"/>
                <w:spacing w:val="-2"/>
                <w:sz w:val="24"/>
              </w:rPr>
            </w:pPr>
            <w:r>
              <w:rPr>
                <w:rFonts w:hint="eastAsia" w:ascii="微软雅黑" w:hAnsi="微软雅黑" w:eastAsia="微软雅黑" w:cs="宋体"/>
                <w:color w:val="000000"/>
                <w:spacing w:val="-2"/>
                <w:sz w:val="24"/>
              </w:rPr>
              <w:t>22</w:t>
            </w:r>
          </w:p>
        </w:tc>
        <w:tc>
          <w:tcPr>
            <w:tcW w:w="3161" w:type="pct"/>
            <w:noWrap w:val="0"/>
            <w:vAlign w:val="center"/>
          </w:tcPr>
          <w:p w14:paraId="6A51C931">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拉断伸长率（%）</w:t>
            </w:r>
          </w:p>
        </w:tc>
        <w:tc>
          <w:tcPr>
            <w:tcW w:w="1027" w:type="pct"/>
            <w:noWrap w:val="0"/>
            <w:vAlign w:val="center"/>
          </w:tcPr>
          <w:p w14:paraId="7EB17F17">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≥40</w:t>
            </w:r>
          </w:p>
        </w:tc>
      </w:tr>
    </w:tbl>
    <w:p w14:paraId="261F6202">
      <w:pPr>
        <w:widowControl/>
        <w:spacing w:line="440" w:lineRule="exact"/>
        <w:ind w:firstLine="480" w:firstLineChars="200"/>
        <w:rPr>
          <w:rFonts w:hint="eastAsia" w:ascii="微软雅黑" w:hAnsi="微软雅黑" w:eastAsia="微软雅黑" w:cs="仿宋"/>
          <w:b/>
          <w:kern w:val="0"/>
          <w:sz w:val="24"/>
        </w:rPr>
      </w:pPr>
      <w:r>
        <w:rPr>
          <w:rFonts w:hint="eastAsia" w:ascii="微软雅黑" w:hAnsi="微软雅黑" w:eastAsia="微软雅黑" w:cs="仿宋"/>
          <w:b/>
          <w:kern w:val="0"/>
          <w:sz w:val="24"/>
        </w:rPr>
        <w:t>（4）塑胶跑道成品符合GB36246-2018《中小学合成材料面层运动场地》标准球类场地、非渗水型物理要求</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
        <w:gridCol w:w="3238"/>
        <w:gridCol w:w="4556"/>
      </w:tblGrid>
      <w:tr w14:paraId="7CA95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32645C0D">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序号</w:t>
            </w:r>
          </w:p>
        </w:tc>
        <w:tc>
          <w:tcPr>
            <w:tcW w:w="1900" w:type="pct"/>
            <w:noWrap w:val="0"/>
            <w:vAlign w:val="center"/>
          </w:tcPr>
          <w:p w14:paraId="1719035A">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检测项目</w:t>
            </w:r>
          </w:p>
        </w:tc>
        <w:tc>
          <w:tcPr>
            <w:tcW w:w="2674" w:type="pct"/>
            <w:noWrap w:val="0"/>
            <w:vAlign w:val="center"/>
          </w:tcPr>
          <w:p w14:paraId="0E84B97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标准指标</w:t>
            </w:r>
          </w:p>
        </w:tc>
      </w:tr>
      <w:tr w14:paraId="13063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3DED59E4">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1</w:t>
            </w:r>
          </w:p>
        </w:tc>
        <w:tc>
          <w:tcPr>
            <w:tcW w:w="1900" w:type="pct"/>
            <w:noWrap w:val="0"/>
            <w:vAlign w:val="top"/>
          </w:tcPr>
          <w:p w14:paraId="5921D434">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冲击吸收，%</w:t>
            </w:r>
          </w:p>
        </w:tc>
        <w:tc>
          <w:tcPr>
            <w:tcW w:w="2674" w:type="pct"/>
            <w:noWrap w:val="0"/>
            <w:vAlign w:val="top"/>
          </w:tcPr>
          <w:p w14:paraId="77B64D81">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田径场地：35~50</w:t>
            </w:r>
          </w:p>
        </w:tc>
      </w:tr>
      <w:tr w14:paraId="12190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6C9F101D">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2</w:t>
            </w:r>
          </w:p>
        </w:tc>
        <w:tc>
          <w:tcPr>
            <w:tcW w:w="1900" w:type="pct"/>
            <w:noWrap w:val="0"/>
            <w:vAlign w:val="top"/>
          </w:tcPr>
          <w:p w14:paraId="7D66E78C">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垂直变形，mm</w:t>
            </w:r>
          </w:p>
        </w:tc>
        <w:tc>
          <w:tcPr>
            <w:tcW w:w="2674" w:type="pct"/>
            <w:noWrap w:val="0"/>
            <w:vAlign w:val="top"/>
          </w:tcPr>
          <w:p w14:paraId="4A2410D2">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0.6~3.0</w:t>
            </w:r>
          </w:p>
        </w:tc>
      </w:tr>
      <w:tr w14:paraId="1DAE6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45002811">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3</w:t>
            </w:r>
          </w:p>
        </w:tc>
        <w:tc>
          <w:tcPr>
            <w:tcW w:w="1900" w:type="pct"/>
            <w:noWrap w:val="0"/>
            <w:vAlign w:val="top"/>
          </w:tcPr>
          <w:p w14:paraId="6546474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抗滑值（BPN，20℃）</w:t>
            </w:r>
          </w:p>
        </w:tc>
        <w:tc>
          <w:tcPr>
            <w:tcW w:w="2674" w:type="pct"/>
            <w:noWrap w:val="0"/>
            <w:vAlign w:val="top"/>
          </w:tcPr>
          <w:p w14:paraId="2286CF3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田径场地：≥47（湿测）</w:t>
            </w:r>
          </w:p>
        </w:tc>
      </w:tr>
      <w:tr w14:paraId="66001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27482F6D">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4</w:t>
            </w:r>
          </w:p>
        </w:tc>
        <w:tc>
          <w:tcPr>
            <w:tcW w:w="1900" w:type="pct"/>
            <w:noWrap w:val="0"/>
            <w:vAlign w:val="top"/>
          </w:tcPr>
          <w:p w14:paraId="2EF8BD4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拉伸强度，MPa</w:t>
            </w:r>
          </w:p>
        </w:tc>
        <w:tc>
          <w:tcPr>
            <w:tcW w:w="2674" w:type="pct"/>
            <w:noWrap w:val="0"/>
            <w:vAlign w:val="top"/>
          </w:tcPr>
          <w:p w14:paraId="73FCE6DE">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非渗水型面层：≥0.5</w:t>
            </w:r>
          </w:p>
        </w:tc>
      </w:tr>
      <w:tr w14:paraId="63249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1718440B">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5</w:t>
            </w:r>
          </w:p>
        </w:tc>
        <w:tc>
          <w:tcPr>
            <w:tcW w:w="1900" w:type="pct"/>
            <w:noWrap w:val="0"/>
            <w:vAlign w:val="top"/>
          </w:tcPr>
          <w:p w14:paraId="772577B2">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拉断伸长率，%</w:t>
            </w:r>
          </w:p>
        </w:tc>
        <w:tc>
          <w:tcPr>
            <w:tcW w:w="2674" w:type="pct"/>
            <w:noWrap w:val="0"/>
            <w:vAlign w:val="top"/>
          </w:tcPr>
          <w:p w14:paraId="5DE8BEA2">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≥40</w:t>
            </w:r>
          </w:p>
        </w:tc>
      </w:tr>
      <w:tr w14:paraId="4D35C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noWrap w:val="0"/>
            <w:vAlign w:val="center"/>
          </w:tcPr>
          <w:p w14:paraId="53760177">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6</w:t>
            </w:r>
          </w:p>
        </w:tc>
        <w:tc>
          <w:tcPr>
            <w:tcW w:w="1900" w:type="pct"/>
            <w:noWrap w:val="0"/>
            <w:vAlign w:val="top"/>
          </w:tcPr>
          <w:p w14:paraId="32CC0567">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阻燃，级</w:t>
            </w:r>
          </w:p>
        </w:tc>
        <w:tc>
          <w:tcPr>
            <w:tcW w:w="2674" w:type="pct"/>
            <w:noWrap w:val="0"/>
            <w:vAlign w:val="top"/>
          </w:tcPr>
          <w:p w14:paraId="362D2670">
            <w:pPr>
              <w:widowControl/>
              <w:spacing w:line="440" w:lineRule="exact"/>
              <w:jc w:val="center"/>
              <w:rPr>
                <w:rFonts w:ascii="微软雅黑" w:hAnsi="微软雅黑" w:eastAsia="微软雅黑" w:cs="宋体"/>
                <w:color w:val="000000"/>
                <w:spacing w:val="-2"/>
                <w:sz w:val="24"/>
              </w:rPr>
            </w:pPr>
            <w:r>
              <w:rPr>
                <w:rFonts w:hint="eastAsia" w:ascii="微软雅黑" w:hAnsi="微软雅黑" w:eastAsia="微软雅黑" w:cs="宋体"/>
                <w:color w:val="000000"/>
                <w:spacing w:val="-2"/>
                <w:sz w:val="24"/>
              </w:rPr>
              <w:t>I级</w:t>
            </w:r>
          </w:p>
        </w:tc>
      </w:tr>
    </w:tbl>
    <w:p w14:paraId="786C2894">
      <w:pPr>
        <w:adjustRightInd w:val="0"/>
        <w:spacing w:line="440" w:lineRule="exact"/>
        <w:ind w:left="164" w:leftChars="78" w:firstLine="240" w:firstLineChars="100"/>
        <w:rPr>
          <w:rFonts w:hint="eastAsia" w:ascii="微软雅黑" w:hAnsi="微软雅黑" w:eastAsia="微软雅黑" w:cs="仿宋"/>
          <w:bCs/>
          <w:kern w:val="0"/>
          <w:sz w:val="24"/>
        </w:rPr>
      </w:pPr>
      <w:r>
        <w:rPr>
          <w:rFonts w:hint="eastAsia" w:ascii="微软雅黑" w:hAnsi="微软雅黑" w:eastAsia="微软雅黑" w:cs="仿宋"/>
          <w:bCs/>
          <w:kern w:val="0"/>
          <w:sz w:val="24"/>
        </w:rPr>
        <w:t>（5）固体材料（EPDM颗粒）的有害物质限量、气味和高聚物总量必须符合GB 36246-2018《中小学合成材料面层运动场地》标准要求。</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60"/>
        <w:gridCol w:w="2776"/>
        <w:gridCol w:w="1244"/>
        <w:gridCol w:w="1287"/>
        <w:gridCol w:w="1214"/>
        <w:gridCol w:w="1035"/>
      </w:tblGrid>
      <w:tr w14:paraId="51872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1" w:hRule="atLeast"/>
          <w:jc w:val="center"/>
        </w:trPr>
        <w:tc>
          <w:tcPr>
            <w:tcW w:w="457"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380AC34B">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序号</w:t>
            </w:r>
          </w:p>
        </w:tc>
        <w:tc>
          <w:tcPr>
            <w:tcW w:w="1669"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2BE5AB9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检测项目</w:t>
            </w:r>
          </w:p>
        </w:tc>
        <w:tc>
          <w:tcPr>
            <w:tcW w:w="748"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4E328EF0">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单位</w:t>
            </w:r>
          </w:p>
        </w:tc>
        <w:tc>
          <w:tcPr>
            <w:tcW w:w="774"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56992E69">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技术要求</w:t>
            </w:r>
          </w:p>
        </w:tc>
        <w:tc>
          <w:tcPr>
            <w:tcW w:w="730"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63C10449">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检测结果</w:t>
            </w:r>
          </w:p>
        </w:tc>
        <w:tc>
          <w:tcPr>
            <w:tcW w:w="622" w:type="pct"/>
            <w:tcBorders>
              <w:top w:val="single" w:color="000000" w:sz="4" w:space="0"/>
              <w:left w:val="single" w:color="000000" w:sz="4" w:space="0"/>
              <w:bottom w:val="single" w:color="000000" w:sz="4" w:space="0"/>
              <w:right w:val="single" w:color="000000" w:sz="4" w:space="0"/>
            </w:tcBorders>
            <w:shd w:val="clear" w:color="auto" w:fill="D8D8D8"/>
            <w:noWrap w:val="0"/>
            <w:vAlign w:val="center"/>
          </w:tcPr>
          <w:p w14:paraId="6FC477B2">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单项判定</w:t>
            </w:r>
          </w:p>
        </w:tc>
      </w:tr>
      <w:tr w14:paraId="7806B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678534FD">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105321FA">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18种多环芳烃总和</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6D453141">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4A7EB7C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≤50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622AD17B">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≤50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4E32A05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72C3B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4AD5119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2</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585963D0">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苯并（a）芘</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1DD25361">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192953FA">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7FCA0EAD">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2CCDF7A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74CF5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07887E8B">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3</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081028BD">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可溶性铅</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47FFF6D7">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3689612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≤50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6523F8F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≤50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5C001FFD">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26CB6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095CE714">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4</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59433EE2">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可溶性镉</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4132D0D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578CA16A">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066EFF8E">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03EA5AB4">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11D9A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048D13D5">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5</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1110C8E2">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可溶性铬</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73FC108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3B29FF3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41316739">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≤10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6B8A76FB">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0138E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6"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5CC7559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6</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5D36A649">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可溶性汞</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6E4A161F">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mg/kg</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68197ED0">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≤2</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5A1C0C5B">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≤2</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590F6F93">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62DD7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1"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45275D19">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7</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6F9A0FA7">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气味等级（级）</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57EDDBEA">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5C568A11">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≤3</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60DCED8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≤3</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67B6079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r w14:paraId="77A8D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1"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14:paraId="284F836E">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8</w:t>
            </w:r>
          </w:p>
        </w:tc>
        <w:tc>
          <w:tcPr>
            <w:tcW w:w="1669" w:type="pct"/>
            <w:tcBorders>
              <w:top w:val="single" w:color="000000" w:sz="4" w:space="0"/>
              <w:left w:val="single" w:color="000000" w:sz="4" w:space="0"/>
              <w:bottom w:val="single" w:color="000000" w:sz="4" w:space="0"/>
              <w:right w:val="single" w:color="000000" w:sz="4" w:space="0"/>
            </w:tcBorders>
            <w:noWrap w:val="0"/>
            <w:vAlign w:val="center"/>
          </w:tcPr>
          <w:p w14:paraId="3599DD18">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高聚物总量（%）</w:t>
            </w:r>
          </w:p>
        </w:tc>
        <w:tc>
          <w:tcPr>
            <w:tcW w:w="748" w:type="pct"/>
            <w:tcBorders>
              <w:top w:val="single" w:color="000000" w:sz="4" w:space="0"/>
              <w:left w:val="single" w:color="000000" w:sz="4" w:space="0"/>
              <w:bottom w:val="single" w:color="000000" w:sz="4" w:space="0"/>
              <w:right w:val="single" w:color="000000" w:sz="4" w:space="0"/>
            </w:tcBorders>
            <w:noWrap w:val="0"/>
            <w:vAlign w:val="center"/>
          </w:tcPr>
          <w:p w14:paraId="4BDCD22C">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w:t>
            </w:r>
          </w:p>
        </w:tc>
        <w:tc>
          <w:tcPr>
            <w:tcW w:w="774" w:type="pct"/>
            <w:tcBorders>
              <w:top w:val="single" w:color="000000" w:sz="4" w:space="0"/>
              <w:left w:val="single" w:color="000000" w:sz="4" w:space="0"/>
              <w:bottom w:val="single" w:color="000000" w:sz="4" w:space="0"/>
              <w:right w:val="single" w:color="000000" w:sz="4" w:space="0"/>
            </w:tcBorders>
            <w:noWrap w:val="0"/>
            <w:vAlign w:val="center"/>
          </w:tcPr>
          <w:p w14:paraId="1F525DA7">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≥20</w:t>
            </w:r>
          </w:p>
        </w:tc>
        <w:tc>
          <w:tcPr>
            <w:tcW w:w="730" w:type="pct"/>
            <w:tcBorders>
              <w:top w:val="single" w:color="000000" w:sz="4" w:space="0"/>
              <w:left w:val="single" w:color="000000" w:sz="4" w:space="0"/>
              <w:bottom w:val="single" w:color="000000" w:sz="4" w:space="0"/>
              <w:right w:val="single" w:color="000000" w:sz="4" w:space="0"/>
            </w:tcBorders>
            <w:noWrap w:val="0"/>
            <w:vAlign w:val="center"/>
          </w:tcPr>
          <w:p w14:paraId="287BD95E">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≥20</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6BF87A26">
            <w:pPr>
              <w:adjustRightInd w:val="0"/>
              <w:snapToGrid w:val="0"/>
              <w:jc w:val="center"/>
              <w:rPr>
                <w:rFonts w:hint="eastAsia" w:ascii="微软雅黑" w:hAnsi="微软雅黑" w:eastAsia="微软雅黑" w:cs="仿宋"/>
                <w:bCs/>
                <w:kern w:val="0"/>
                <w:sz w:val="24"/>
              </w:rPr>
            </w:pPr>
            <w:r>
              <w:rPr>
                <w:rFonts w:hint="eastAsia" w:ascii="微软雅黑" w:hAnsi="微软雅黑" w:eastAsia="微软雅黑" w:cs="仿宋"/>
                <w:bCs/>
                <w:kern w:val="0"/>
                <w:sz w:val="24"/>
              </w:rPr>
              <w:t>合格</w:t>
            </w:r>
          </w:p>
        </w:tc>
      </w:tr>
    </w:tbl>
    <w:p w14:paraId="52C03F12">
      <w:pPr>
        <w:adjustRightInd w:val="0"/>
        <w:snapToGrid w:val="0"/>
        <w:spacing w:line="440" w:lineRule="exact"/>
        <w:rPr>
          <w:rFonts w:ascii="微软雅黑" w:hAnsi="微软雅黑" w:eastAsia="微软雅黑" w:cs="仿宋"/>
          <w:b/>
          <w:kern w:val="0"/>
          <w:sz w:val="24"/>
        </w:rPr>
      </w:pPr>
      <w:r>
        <w:rPr>
          <w:rFonts w:hint="eastAsia" w:ascii="微软雅黑" w:hAnsi="微软雅黑" w:eastAsia="微软雅黑" w:cs="仿宋"/>
          <w:b/>
          <w:kern w:val="0"/>
          <w:sz w:val="24"/>
        </w:rPr>
        <w:t>评审依据：响应文件中须提供第三方检测机构出具的检测报告并加盖供应商公章佐证上述（2）-（5）项，未提供或未按要求提供者作无效响应处理。</w:t>
      </w:r>
    </w:p>
    <w:p w14:paraId="4B6F4405">
      <w:pPr>
        <w:spacing w:line="440" w:lineRule="exact"/>
        <w:ind w:firstLine="480" w:firstLineChars="200"/>
        <w:rPr>
          <w:rFonts w:ascii="微软雅黑" w:hAnsi="微软雅黑" w:eastAsia="微软雅黑"/>
          <w:sz w:val="24"/>
          <w:szCs w:val="24"/>
        </w:rPr>
      </w:pPr>
      <w:r>
        <w:rPr>
          <w:rFonts w:ascii="微软雅黑" w:hAnsi="微软雅黑" w:eastAsia="微软雅黑" w:cs="仿宋"/>
          <w:b/>
          <w:kern w:val="0"/>
          <w:sz w:val="24"/>
        </w:rPr>
        <w:t>注：所有材料进场前，采购人有权随机抽样送检至省级以上工程复合材料产品质量检验检测中心或中国田径协会田径场地人工合成面层检测实验室检测，抽样过程须有供应商代表在场见证，供应商拒绝到场的，不影响抽样检测的效力。检测结果符合国家现行标准及采购文件要求的，检测费用由采购人承担；检测结果不合格的，检测费用由供应商承担，供应商须在3个工作日内无条件将不合格材料清退出场，并承担由此给采购人造成的全部损失，包括但不限于工期延误损失、重新采购费用、检测费用、监理费用等。采购人有权根据合同约定追究供应商的违约责任</w:t>
      </w:r>
      <w:r>
        <w:rPr>
          <w:rFonts w:hint="eastAsia" w:ascii="微软雅黑" w:hAnsi="微软雅黑" w:eastAsia="微软雅黑" w:cs="仿宋"/>
          <w:b/>
          <w:kern w:val="0"/>
          <w:sz w:val="24"/>
        </w:rPr>
        <w:t>。</w:t>
      </w:r>
    </w:p>
    <w:p w14:paraId="38315228">
      <w:r>
        <w:rPr>
          <w:rFonts w:hint="eastAsia" w:ascii="微软雅黑" w:hAnsi="微软雅黑" w:eastAsia="微软雅黑"/>
          <w:b/>
          <w:sz w:val="24"/>
          <w:szCs w:val="24"/>
        </w:rPr>
        <w:t>注：以上技术标准和要求为必须满足项，否则作无效磋商响应处理。</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suff w:val="nothing"/>
      <w:lvlText w:val="%1."/>
      <w:lvlJc w:val="left"/>
      <w:pPr>
        <w:ind w:left="2262" w:hanging="420"/>
      </w:pPr>
    </w:lvl>
    <w:lvl w:ilvl="1" w:tentative="0">
      <w:start w:val="1"/>
      <w:numFmt w:val="lowerLetter"/>
      <w:lvlText w:val="%2)"/>
      <w:lvlJc w:val="left"/>
      <w:pPr>
        <w:ind w:left="1050" w:hanging="420"/>
      </w:pPr>
    </w:lvl>
    <w:lvl w:ilvl="2" w:tentative="0">
      <w:start w:val="1"/>
      <w:numFmt w:val="lowerRoman"/>
      <w:lvlText w:val="%3."/>
      <w:lvlJc w:val="right"/>
      <w:pPr>
        <w:ind w:left="1470" w:hanging="420"/>
      </w:pPr>
    </w:lvl>
    <w:lvl w:ilvl="3" w:tentative="0">
      <w:start w:val="1"/>
      <w:numFmt w:val="decimal"/>
      <w:lvlText w:val="%4."/>
      <w:lvlJc w:val="left"/>
      <w:pPr>
        <w:ind w:left="1890" w:hanging="420"/>
      </w:pPr>
    </w:lvl>
    <w:lvl w:ilvl="4" w:tentative="0">
      <w:start w:val="1"/>
      <w:numFmt w:val="lowerLetter"/>
      <w:lvlText w:val="%5)"/>
      <w:lvlJc w:val="left"/>
      <w:pPr>
        <w:ind w:left="2310" w:hanging="420"/>
      </w:pPr>
    </w:lvl>
    <w:lvl w:ilvl="5" w:tentative="0">
      <w:start w:val="1"/>
      <w:numFmt w:val="lowerRoman"/>
      <w:lvlText w:val="%6."/>
      <w:lvlJc w:val="right"/>
      <w:pPr>
        <w:ind w:left="2730" w:hanging="420"/>
      </w:pPr>
    </w:lvl>
    <w:lvl w:ilvl="6" w:tentative="0">
      <w:start w:val="1"/>
      <w:numFmt w:val="decimal"/>
      <w:lvlText w:val="%7."/>
      <w:lvlJc w:val="left"/>
      <w:pPr>
        <w:ind w:left="3150" w:hanging="420"/>
      </w:pPr>
    </w:lvl>
    <w:lvl w:ilvl="7" w:tentative="0">
      <w:start w:val="1"/>
      <w:numFmt w:val="lowerLetter"/>
      <w:lvlText w:val="%8)"/>
      <w:lvlJc w:val="left"/>
      <w:pPr>
        <w:ind w:left="3570" w:hanging="420"/>
      </w:pPr>
    </w:lvl>
    <w:lvl w:ilvl="8" w:tentative="0">
      <w:start w:val="1"/>
      <w:numFmt w:val="lowerRoman"/>
      <w:lvlText w:val="%9."/>
      <w:lvlJc w:val="right"/>
      <w:pPr>
        <w:ind w:left="3990" w:hanging="420"/>
      </w:pPr>
    </w:lvl>
  </w:abstractNum>
  <w:abstractNum w:abstractNumId="1">
    <w:nsid w:val="00000010"/>
    <w:multiLevelType w:val="multilevel"/>
    <w:tmpl w:val="00000010"/>
    <w:lvl w:ilvl="0" w:tentative="0">
      <w:start w:val="1"/>
      <w:numFmt w:val="chineseCountingThousand"/>
      <w:lvlText w:val="%1、"/>
      <w:lvlJc w:val="left"/>
      <w:pPr>
        <w:tabs>
          <w:tab w:val="left" w:pos="420"/>
        </w:tabs>
        <w:ind w:left="420" w:hanging="420"/>
      </w:pPr>
      <w:rPr>
        <w:b/>
        <w:sz w:val="36"/>
        <w:szCs w:val="36"/>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8505BD"/>
    <w:rsid w:val="1CC349CD"/>
    <w:rsid w:val="528505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before="260" w:after="260" w:line="416" w:lineRule="auto"/>
      <w:jc w:val="center"/>
      <w:outlineLvl w:val="2"/>
    </w:pPr>
    <w:rPr>
      <w:rFonts w:ascii="宋体"/>
      <w:b/>
      <w:bCs/>
      <w:sz w:val="32"/>
      <w:szCs w:val="32"/>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next w:val="4"/>
    <w:qFormat/>
    <w:uiPriority w:val="0"/>
    <w:rPr>
      <w:rFonts w:ascii="宋体" w:hAnsi="Arial"/>
      <w:sz w:val="28"/>
    </w:rPr>
  </w:style>
  <w:style w:type="paragraph" w:styleId="4">
    <w:name w:val="Body Text First Indent"/>
    <w:basedOn w:val="3"/>
    <w:uiPriority w:val="0"/>
    <w:pPr>
      <w:spacing w:after="120"/>
      <w:ind w:firstLine="420" w:firstLineChars="100"/>
    </w:pPr>
    <w:rPr>
      <w:rFonts w:ascii="Times New Roman" w:hAnsi="Times New Roman"/>
      <w:sz w:val="21"/>
      <w:szCs w:val="24"/>
    </w:rPr>
  </w:style>
  <w:style w:type="paragraph" w:styleId="5">
    <w:name w:val="footer"/>
    <w:basedOn w:val="1"/>
    <w:qFormat/>
    <w:uiPriority w:val="99"/>
    <w:pPr>
      <w:tabs>
        <w:tab w:val="center" w:pos="4153"/>
        <w:tab w:val="right" w:pos="8306"/>
      </w:tabs>
      <w:snapToGrid w:val="0"/>
      <w:jc w:val="left"/>
    </w:pPr>
    <w:rPr>
      <w:sz w:val="18"/>
      <w:szCs w:val="18"/>
    </w:rPr>
  </w:style>
  <w:style w:type="character" w:styleId="8">
    <w:name w:val="annotation reference"/>
    <w:qFormat/>
    <w:uiPriority w:val="0"/>
    <w:rPr>
      <w:sz w:val="21"/>
      <w:szCs w:val="21"/>
    </w:rPr>
  </w:style>
  <w:style w:type="paragraph" w:customStyle="1" w:styleId="9">
    <w:name w:val="_Style 56"/>
    <w:basedOn w:val="3"/>
    <w:next w:val="4"/>
    <w:uiPriority w:val="0"/>
    <w:pPr>
      <w:autoSpaceDE w:val="0"/>
      <w:autoSpaceDN w:val="0"/>
      <w:adjustRightInd w:val="0"/>
      <w:ind w:firstLine="420" w:firstLineChars="100"/>
      <w:jc w:val="center"/>
      <w:textAlignment w:val="baseline"/>
    </w:pPr>
    <w:rPr>
      <w:rFonts w:ascii="Times New Roman" w:hAnsi="Times New Roman" w:eastAsia="仿宋_GB2312"/>
      <w:sz w:val="32"/>
      <w:szCs w:val="32"/>
    </w:rPr>
  </w:style>
  <w:style w:type="paragraph" w:customStyle="1" w:styleId="10">
    <w:name w:val="Body text|1"/>
    <w:basedOn w:val="1"/>
    <w:qFormat/>
    <w:uiPriority w:val="0"/>
    <w:pPr>
      <w:spacing w:line="432" w:lineRule="auto"/>
      <w:ind w:firstLine="400"/>
    </w:pPr>
    <w:rPr>
      <w:rFonts w:ascii="宋体" w:hAnsi="宋体" w:cs="宋体"/>
      <w:sz w:val="30"/>
      <w:szCs w:val="30"/>
      <w:lang w:val="zh-TW" w:eastAsia="zh-TW" w:bidi="zh-TW"/>
    </w:rPr>
  </w:style>
  <w:style w:type="paragraph" w:customStyle="1" w:styleId="11">
    <w:name w:val="列表段落1"/>
    <w:basedOn w:val="1"/>
    <w:qFormat/>
    <w:uiPriority w:val="0"/>
    <w:pPr>
      <w:ind w:firstLine="420" w:firstLineChars="200"/>
    </w:pPr>
    <w:rPr>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2026-06-10T07:13:00Z</dcterms:created>
  <dc:creator>liyufan</dc:creator>
  <cp:lastModifiedBy>liyufan</cp:lastModifiedBy>
  <dcterms:modified xsi:type="dcterms:W3CDTF">2026-06-10T07:14:32Z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C693FB2301C342568B48703E95349023_11</vt:lpwstr>
  </property>
  <property fmtid="{D5CDD505-2E9C-101B-9397-08002B2CF9AE}" pid="4" name="KSOTemplateDocerSaveRecord">
    <vt:lpwstr>eyJoZGlkIjoiOGQ1NWRhZjUyM2M4ZDU5YWM1MjEzNTFiMjU1MGMyNGEiLCJ1c2VySWQiOiI2ODgwMDAxNDEifQ==</vt:lpwstr>
  </property>
</Properties>
</file>