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8F22C">
      <w:pPr>
        <w:widowControl w:val="0"/>
        <w:spacing w:before="47" w:line="219" w:lineRule="auto"/>
        <w:ind w:left="3805"/>
        <w:outlineLvl w:val="1"/>
        <w:rPr>
          <w:rFonts w:ascii="宋体" w:hAnsi="宋体" w:eastAsia="宋体" w:cs="宋体"/>
          <w:color w:val="auto"/>
          <w:sz w:val="36"/>
          <w:szCs w:val="36"/>
        </w:rPr>
      </w:pPr>
      <w:r>
        <w:rPr>
          <w:rFonts w:ascii="宋体" w:hAnsi="宋体" w:eastAsia="宋体" w:cs="宋体"/>
          <w:color w:val="auto"/>
          <w:spacing w:val="-2"/>
          <w:sz w:val="36"/>
          <w:szCs w:val="36"/>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36"/>
          <w:szCs w:val="36"/>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36"/>
          <w:szCs w:val="36"/>
          <w14:textOutline w14:w="4356" w14:cap="sq" w14:cmpd="sng" w14:algn="ctr">
            <w14:solidFill>
              <w14:srgbClr w14:val="000000"/>
            </w14:solidFill>
            <w14:prstDash w14:val="solid"/>
            <w14:bevel/>
          </w14:textOutline>
        </w:rPr>
        <w:t>求</w:t>
      </w:r>
      <w:bookmarkStart w:id="5" w:name="_GoBack"/>
      <w:bookmarkEnd w:id="5"/>
    </w:p>
    <w:p w14:paraId="3BDF51EF">
      <w:pPr>
        <w:widowControl w:val="0"/>
        <w:kinsoku/>
        <w:autoSpaceDE/>
        <w:autoSpaceDN/>
        <w:adjustRightInd/>
        <w:snapToGrid/>
        <w:spacing w:line="480" w:lineRule="auto"/>
        <w:ind w:firstLine="482" w:firstLineChars="200"/>
        <w:jc w:val="both"/>
        <w:textAlignment w:val="auto"/>
        <w:rPr>
          <w:rFonts w:ascii="宋体" w:hAnsi="宋体" w:eastAsia="宋体" w:cs="宋体"/>
          <w:b/>
          <w:bCs/>
          <w:snapToGrid/>
          <w:sz w:val="24"/>
          <w:szCs w:val="24"/>
          <w:lang w:eastAsia="zh-CN"/>
        </w:rPr>
      </w:pPr>
      <w:r>
        <w:rPr>
          <w:rFonts w:hint="eastAsia" w:ascii="宋体" w:hAnsi="宋体" w:eastAsia="宋体" w:cs="宋体"/>
          <w:b/>
          <w:bCs/>
          <w:snapToGrid/>
          <w:sz w:val="24"/>
          <w:szCs w:val="24"/>
          <w:lang w:eastAsia="zh-CN"/>
        </w:rPr>
        <w:t>一、项目背景</w:t>
      </w:r>
    </w:p>
    <w:p w14:paraId="01571066">
      <w:pPr>
        <w:widowControl w:val="0"/>
        <w:kinsoku/>
        <w:autoSpaceDE/>
        <w:autoSpaceDN/>
        <w:adjustRightInd/>
        <w:snapToGrid/>
        <w:spacing w:line="360" w:lineRule="auto"/>
        <w:ind w:firstLine="560"/>
        <w:jc w:val="both"/>
        <w:textAlignment w:val="auto"/>
        <w:rPr>
          <w:rFonts w:asciiTheme="minorEastAsia" w:hAnsiTheme="minorEastAsia" w:eastAsiaTheme="minorEastAsia" w:cstheme="minorEastAsia"/>
          <w:snapToGrid/>
          <w:sz w:val="24"/>
          <w:szCs w:val="24"/>
          <w:lang w:eastAsia="zh-CN"/>
        </w:rPr>
      </w:pPr>
      <w:r>
        <w:rPr>
          <w:rFonts w:hint="eastAsia" w:ascii="宋体" w:hAnsi="宋体" w:eastAsia="宋体" w:cs="宋体"/>
          <w:snapToGrid/>
          <w:sz w:val="24"/>
          <w:szCs w:val="24"/>
          <w:lang w:eastAsia="zh-CN"/>
        </w:rPr>
        <w:t xml:space="preserve">    </w:t>
      </w:r>
      <w:r>
        <w:rPr>
          <w:rFonts w:hint="eastAsia" w:asciiTheme="minorEastAsia" w:hAnsiTheme="minorEastAsia" w:eastAsiaTheme="minorEastAsia" w:cstheme="minorEastAsia"/>
          <w:snapToGrid/>
          <w:sz w:val="24"/>
          <w:szCs w:val="24"/>
          <w:lang w:eastAsia="zh-CN"/>
        </w:rPr>
        <w:t>借鉴美国哈佛的RBRVS（以资源消耗为基础的相对价值）评估理念，应用CCHI（中国医疗服务操作分类与编码）把全院医疗服务性项目进行绩效点值的转换，作为衡量医务人员工作量的基准。《全国医疗服务项目技术规范》（2023版）依据目前国内现有医疗技术发展水平，参考各省份截至 2020 年 12 月底印发的医疗服务价格项目研究制定，旨在促进政府对医疗服务价格行为的监督与管理、维护患者合法权益、体现医务人员技术劳务价值、理顺医疗服务比价关系，主要为加强医疗机构经济管理，科学测算医疗服务成本和绩效管理等相关工作提供技术工具。</w:t>
      </w:r>
    </w:p>
    <w:p w14:paraId="041CD2FA">
      <w:pPr>
        <w:widowControl w:val="0"/>
        <w:kinsoku/>
        <w:autoSpaceDE/>
        <w:autoSpaceDN/>
        <w:adjustRightInd/>
        <w:snapToGrid/>
        <w:spacing w:line="360" w:lineRule="auto"/>
        <w:ind w:firstLine="560"/>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建立以DRGs为绩效管理的评价工具，解决对医疗机构的产出质量、效率、资源消耗水平的综合评价问题。依据DRGs的分组数据，计算组数、各组权重、疾病严重程度指数(Case Mix Index，CMI)、时间和费用消耗指数等参数，以引导科室可持续发展为目标，扩大诊疗范围、优化病种结构、提高诊治技术难度。</w:t>
      </w:r>
    </w:p>
    <w:p w14:paraId="60D683F5">
      <w:pPr>
        <w:widowControl w:val="0"/>
        <w:kinsoku/>
        <w:autoSpaceDE/>
        <w:autoSpaceDN/>
        <w:adjustRightInd/>
        <w:snapToGri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在CCHI（RBRVS基础）＋DRGs工作量核算的基础上，嵌入DIP的考核，其目的在于让医生规范临床路径、合理用药、合理检查、合理治疗，从而达到控制医保基金增长过快的目的。DIP考核的主要指标如总费用金额、时间指数、药占比、耗占比等。</w:t>
      </w:r>
    </w:p>
    <w:p w14:paraId="209129C0">
      <w:pPr>
        <w:widowControl w:val="0"/>
        <w:kinsoku/>
        <w:autoSpaceDE/>
        <w:autoSpaceDN/>
        <w:adjustRightInd/>
        <w:snapToGrid/>
        <w:spacing w:line="360" w:lineRule="auto"/>
        <w:jc w:val="both"/>
        <w:textAlignment w:val="auto"/>
        <w:rPr>
          <w:rFonts w:hint="eastAsia"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二、建设内容</w:t>
      </w:r>
    </w:p>
    <w:tbl>
      <w:tblPr>
        <w:tblStyle w:val="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6"/>
        <w:gridCol w:w="5994"/>
      </w:tblGrid>
      <w:tr w14:paraId="2586F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tcPr>
          <w:p w14:paraId="7BFB79DF">
            <w:pPr>
              <w:widowControl w:val="0"/>
              <w:kinsoku/>
              <w:autoSpaceDE/>
              <w:autoSpaceDN/>
              <w:adjustRightInd/>
              <w:snapToGrid/>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名称</w:t>
            </w:r>
          </w:p>
        </w:tc>
        <w:tc>
          <w:tcPr>
            <w:tcW w:w="3517" w:type="pct"/>
          </w:tcPr>
          <w:p w14:paraId="797F5905">
            <w:pPr>
              <w:widowControl w:val="0"/>
              <w:kinsoku/>
              <w:autoSpaceDE/>
              <w:autoSpaceDN/>
              <w:adjustRightInd/>
              <w:snapToGrid/>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子模块</w:t>
            </w:r>
          </w:p>
        </w:tc>
      </w:tr>
      <w:tr w14:paraId="50A9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restart"/>
            <w:vAlign w:val="center"/>
          </w:tcPr>
          <w:p w14:paraId="4683DD80">
            <w:pPr>
              <w:widowControl w:val="0"/>
              <w:kinsoku/>
              <w:autoSpaceDE/>
              <w:autoSpaceDN/>
              <w:adjustRightInd/>
              <w:snapToGrid/>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绩效配套软件系统</w:t>
            </w:r>
          </w:p>
        </w:tc>
        <w:tc>
          <w:tcPr>
            <w:tcW w:w="3517" w:type="pct"/>
            <w:shd w:val="clear" w:color="auto" w:fill="auto"/>
            <w:vAlign w:val="center"/>
          </w:tcPr>
          <w:p w14:paraId="4BD54AF8">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医院绩效管理核算系统</w:t>
            </w:r>
          </w:p>
        </w:tc>
      </w:tr>
      <w:tr w14:paraId="282E3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22E67C7A">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7F422910">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医院绩效管理分配查询平台</w:t>
            </w:r>
          </w:p>
        </w:tc>
      </w:tr>
      <w:tr w14:paraId="71621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restart"/>
            <w:vAlign w:val="center"/>
          </w:tcPr>
          <w:p w14:paraId="0FC1EFA7">
            <w:pPr>
              <w:widowControl w:val="0"/>
              <w:kinsoku/>
              <w:autoSpaceDE/>
              <w:autoSpaceDN/>
              <w:adjustRightInd/>
              <w:snapToGrid/>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绩效咨询服务内容</w:t>
            </w:r>
          </w:p>
        </w:tc>
        <w:tc>
          <w:tcPr>
            <w:tcW w:w="3517" w:type="pct"/>
            <w:shd w:val="clear" w:color="auto" w:fill="auto"/>
            <w:vAlign w:val="center"/>
          </w:tcPr>
          <w:p w14:paraId="1E139C5B">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临床医生绩效考核分配评价方案</w:t>
            </w:r>
          </w:p>
        </w:tc>
      </w:tr>
      <w:tr w14:paraId="7CBF3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5BD3A7BA">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61D67E7C">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临床护理绩效考核分配评价方案</w:t>
            </w:r>
          </w:p>
        </w:tc>
      </w:tr>
      <w:tr w14:paraId="5F0A2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4E59DA44">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68174049">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医技、药剂科室绩效考核分配评价方案</w:t>
            </w:r>
          </w:p>
        </w:tc>
      </w:tr>
      <w:tr w14:paraId="1EF2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243B638C">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1566AC75">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职能科室绩效考核分配评价方案</w:t>
            </w:r>
          </w:p>
        </w:tc>
      </w:tr>
      <w:tr w14:paraId="4116C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60C82702">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798D698A">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科室直接成本管控方案</w:t>
            </w:r>
          </w:p>
        </w:tc>
      </w:tr>
      <w:tr w14:paraId="70BF4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233501E3">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43961C0F">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关键指标考核指导方案</w:t>
            </w:r>
          </w:p>
        </w:tc>
      </w:tr>
      <w:tr w14:paraId="54984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2" w:type="pct"/>
            <w:vMerge w:val="continue"/>
          </w:tcPr>
          <w:p w14:paraId="751136B5">
            <w:pPr>
              <w:widowControl w:val="0"/>
              <w:kinsoku/>
              <w:autoSpaceDE/>
              <w:autoSpaceDN/>
              <w:adjustRightInd/>
              <w:snapToGrid/>
              <w:jc w:val="both"/>
              <w:textAlignment w:val="auto"/>
              <w:rPr>
                <w:rFonts w:asciiTheme="minorEastAsia" w:hAnsiTheme="minorEastAsia" w:eastAsiaTheme="minorEastAsia" w:cstheme="minorEastAsia"/>
                <w:snapToGrid/>
                <w:sz w:val="24"/>
                <w:szCs w:val="24"/>
                <w:lang w:eastAsia="zh-CN"/>
              </w:rPr>
            </w:pPr>
          </w:p>
        </w:tc>
        <w:tc>
          <w:tcPr>
            <w:tcW w:w="3517" w:type="pct"/>
            <w:shd w:val="clear" w:color="auto" w:fill="auto"/>
            <w:vAlign w:val="center"/>
          </w:tcPr>
          <w:p w14:paraId="306CAF92">
            <w:pPr>
              <w:widowControl w:val="0"/>
              <w:kinsoku/>
              <w:autoSpaceDE/>
              <w:autoSpaceDN/>
              <w:adjustRightInd/>
              <w:spacing w:line="360" w:lineRule="auto"/>
              <w:jc w:val="left"/>
              <w:textAlignment w:val="auto"/>
              <w:rPr>
                <w:rFonts w:asciiTheme="minorEastAsia" w:hAnsiTheme="minorEastAsia" w:eastAsiaTheme="minorEastAsia" w:cstheme="minorEastAsia"/>
                <w:snapToGrid/>
                <w:kern w:val="2"/>
                <w:sz w:val="24"/>
                <w:szCs w:val="24"/>
                <w:lang w:eastAsia="zh-CN"/>
              </w:rPr>
            </w:pPr>
            <w:r>
              <w:rPr>
                <w:rFonts w:hint="eastAsia" w:asciiTheme="minorEastAsia" w:hAnsiTheme="minorEastAsia" w:eastAsiaTheme="minorEastAsia" w:cstheme="minorEastAsia"/>
                <w:snapToGrid/>
                <w:sz w:val="24"/>
                <w:szCs w:val="24"/>
                <w:lang w:eastAsia="zh-CN"/>
              </w:rPr>
              <w:t>科室二次分配指导意见方案</w:t>
            </w:r>
          </w:p>
        </w:tc>
      </w:tr>
    </w:tbl>
    <w:p w14:paraId="49162661">
      <w:pPr>
        <w:widowControl w:val="0"/>
        <w:kinsoku/>
        <w:autoSpaceDE/>
        <w:autoSpaceDN/>
        <w:adjustRightInd/>
        <w:snapToGrid/>
        <w:spacing w:line="360" w:lineRule="auto"/>
        <w:ind w:firstLine="560"/>
        <w:jc w:val="both"/>
        <w:textAlignment w:val="auto"/>
        <w:rPr>
          <w:rFonts w:hint="eastAsia" w:asciiTheme="minorEastAsia" w:hAnsiTheme="minorEastAsia" w:eastAsiaTheme="minorEastAsia" w:cstheme="minorEastAsia"/>
          <w:snapToGrid/>
          <w:sz w:val="24"/>
          <w:szCs w:val="24"/>
          <w:lang w:eastAsia="zh-CN"/>
        </w:rPr>
      </w:pPr>
    </w:p>
    <w:p w14:paraId="71720819">
      <w:pPr>
        <w:widowControl w:val="0"/>
        <w:kinsoku/>
        <w:autoSpaceDE/>
        <w:autoSpaceDN/>
        <w:adjustRightInd/>
        <w:snapToGrid/>
        <w:spacing w:line="360" w:lineRule="auto"/>
        <w:ind w:firstLine="560"/>
        <w:jc w:val="both"/>
        <w:textAlignment w:val="auto"/>
        <w:rPr>
          <w:rFonts w:hint="eastAsia"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三、详细技术要求</w:t>
      </w:r>
    </w:p>
    <w:p w14:paraId="3EAD9C58">
      <w:pPr>
        <w:widowControl w:val="0"/>
        <w:kinsoku/>
        <w:autoSpaceDE/>
        <w:autoSpaceDN/>
        <w:adjustRightInd/>
        <w:snapToGrid/>
        <w:spacing w:line="360" w:lineRule="auto"/>
        <w:ind w:firstLine="560"/>
        <w:jc w:val="both"/>
        <w:textAlignment w:val="auto"/>
        <w:rPr>
          <w:rFonts w:hint="eastAsia"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绩效管理软件功能要求</w:t>
      </w:r>
    </w:p>
    <w:tbl>
      <w:tblPr>
        <w:tblStyle w:val="6"/>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1"/>
        <w:gridCol w:w="1800"/>
        <w:gridCol w:w="5371"/>
      </w:tblGrid>
      <w:tr w14:paraId="142E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51" w:type="dxa"/>
            <w:gridSpan w:val="2"/>
            <w:vAlign w:val="center"/>
          </w:tcPr>
          <w:p w14:paraId="2553C026">
            <w:pPr>
              <w:widowControl w:val="0"/>
              <w:kinsoku/>
              <w:autoSpaceDE/>
              <w:autoSpaceDN/>
              <w:adjustRightInd/>
              <w:spacing w:before="156" w:beforeLines="50"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功能模块</w:t>
            </w:r>
          </w:p>
        </w:tc>
        <w:tc>
          <w:tcPr>
            <w:tcW w:w="5371" w:type="dxa"/>
            <w:vAlign w:val="center"/>
          </w:tcPr>
          <w:p w14:paraId="18FF4607">
            <w:pPr>
              <w:widowControl w:val="0"/>
              <w:kinsoku/>
              <w:autoSpaceDE/>
              <w:autoSpaceDN/>
              <w:adjustRightInd/>
              <w:spacing w:before="156" w:beforeLines="50"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功能说明</w:t>
            </w:r>
          </w:p>
        </w:tc>
      </w:tr>
      <w:tr w14:paraId="1672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4B99BCA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系统管理</w:t>
            </w:r>
          </w:p>
        </w:tc>
        <w:tc>
          <w:tcPr>
            <w:tcW w:w="1800" w:type="dxa"/>
            <w:vAlign w:val="center"/>
          </w:tcPr>
          <w:p w14:paraId="63E61E9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权限管理</w:t>
            </w:r>
          </w:p>
        </w:tc>
        <w:tc>
          <w:tcPr>
            <w:tcW w:w="5371" w:type="dxa"/>
            <w:vAlign w:val="center"/>
          </w:tcPr>
          <w:p w14:paraId="0E315AB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对绩效管理系统用户的权限分配。</w:t>
            </w:r>
          </w:p>
        </w:tc>
      </w:tr>
      <w:tr w14:paraId="2F225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43DC2FC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7121A3B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系统配置</w:t>
            </w:r>
          </w:p>
        </w:tc>
        <w:tc>
          <w:tcPr>
            <w:tcW w:w="5371" w:type="dxa"/>
            <w:vAlign w:val="center"/>
          </w:tcPr>
          <w:p w14:paraId="32923C5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对绩效系统的通用配置，包括核算方法的定义、科室级别长度定义、核算项目长度定义、从 HIS 导入收费项目存储 过程定义、从 HIS 导入物资字典存储过程定义、医生工作 量匹配定义等。</w:t>
            </w:r>
          </w:p>
        </w:tc>
      </w:tr>
      <w:tr w14:paraId="10699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313DD0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C141E6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用户管理</w:t>
            </w:r>
          </w:p>
        </w:tc>
        <w:tc>
          <w:tcPr>
            <w:tcW w:w="5371" w:type="dxa"/>
            <w:vAlign w:val="center"/>
          </w:tcPr>
          <w:p w14:paraId="6ADF37B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对用户的增加、修改、删除。</w:t>
            </w:r>
          </w:p>
        </w:tc>
      </w:tr>
      <w:tr w14:paraId="0DFB0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3E471F6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初始设置</w:t>
            </w:r>
          </w:p>
        </w:tc>
        <w:tc>
          <w:tcPr>
            <w:tcW w:w="1800" w:type="dxa"/>
            <w:vAlign w:val="center"/>
          </w:tcPr>
          <w:p w14:paraId="498CFEA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核算科目</w:t>
            </w:r>
          </w:p>
        </w:tc>
        <w:tc>
          <w:tcPr>
            <w:tcW w:w="5371" w:type="dxa"/>
            <w:vAlign w:val="center"/>
          </w:tcPr>
          <w:p w14:paraId="4112EC2B">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针对核算科目的编制。包括：收入和支出。</w:t>
            </w:r>
          </w:p>
        </w:tc>
      </w:tr>
      <w:tr w14:paraId="2B984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217EE8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1B26030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核算分类</w:t>
            </w:r>
          </w:p>
        </w:tc>
        <w:tc>
          <w:tcPr>
            <w:tcW w:w="5371" w:type="dxa"/>
            <w:vAlign w:val="center"/>
          </w:tcPr>
          <w:p w14:paraId="1C4F5C6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对核算项目的分类。包括收入、支出和其他类。</w:t>
            </w:r>
          </w:p>
        </w:tc>
      </w:tr>
      <w:tr w14:paraId="49AFE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BCD562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F6FFF9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科室设置</w:t>
            </w:r>
          </w:p>
        </w:tc>
        <w:tc>
          <w:tcPr>
            <w:tcW w:w="5371" w:type="dxa"/>
            <w:vAlign w:val="center"/>
          </w:tcPr>
          <w:p w14:paraId="66AE599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对绩效部门的增加、修改和删除。支持部门多级管理。</w:t>
            </w:r>
          </w:p>
        </w:tc>
      </w:tr>
      <w:tr w14:paraId="42890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C1B2AA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940B6F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部门分组</w:t>
            </w:r>
          </w:p>
        </w:tc>
        <w:tc>
          <w:tcPr>
            <w:tcW w:w="5371" w:type="dxa"/>
            <w:vAlign w:val="center"/>
          </w:tcPr>
          <w:p w14:paraId="02B706B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对部门进行分组设置。可定义不同组别使用不同的绩效核算模板。</w:t>
            </w:r>
          </w:p>
        </w:tc>
      </w:tr>
      <w:tr w14:paraId="12ADF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1E1219D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77575D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项目提拔比例</w:t>
            </w:r>
          </w:p>
        </w:tc>
        <w:tc>
          <w:tcPr>
            <w:tcW w:w="5371" w:type="dxa"/>
            <w:vAlign w:val="center"/>
          </w:tcPr>
          <w:p w14:paraId="3035955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对项目的提拔比例设置。根据诊断、执行等定义。</w:t>
            </w:r>
          </w:p>
        </w:tc>
      </w:tr>
      <w:tr w14:paraId="161D0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36AA6EF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370ABF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单据类别</w:t>
            </w:r>
          </w:p>
        </w:tc>
        <w:tc>
          <w:tcPr>
            <w:tcW w:w="5371" w:type="dxa"/>
            <w:vAlign w:val="center"/>
          </w:tcPr>
          <w:p w14:paraId="5481E438">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可对收支台账中的单据类别进行设置。</w:t>
            </w:r>
          </w:p>
        </w:tc>
      </w:tr>
      <w:tr w14:paraId="6299E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2E5370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E7D688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收费项目</w:t>
            </w:r>
          </w:p>
        </w:tc>
        <w:tc>
          <w:tcPr>
            <w:tcW w:w="5371" w:type="dxa"/>
            <w:vAlign w:val="center"/>
          </w:tcPr>
          <w:p w14:paraId="0C20D50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对医院收费项目字典的设置。包括 RBRVS 点值、手术等级设置等。</w:t>
            </w:r>
          </w:p>
        </w:tc>
      </w:tr>
      <w:tr w14:paraId="2BAF0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4683CA3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8F0BB9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耗材字典管理</w:t>
            </w:r>
          </w:p>
        </w:tc>
        <w:tc>
          <w:tcPr>
            <w:tcW w:w="5371" w:type="dxa"/>
            <w:vAlign w:val="center"/>
          </w:tcPr>
          <w:p w14:paraId="5658E75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针对耗材进行分类设置管理。包括耗材是否收费、核算比例设置等。</w:t>
            </w:r>
          </w:p>
        </w:tc>
      </w:tr>
      <w:tr w14:paraId="69AEC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744739E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数据采集</w:t>
            </w:r>
          </w:p>
        </w:tc>
        <w:tc>
          <w:tcPr>
            <w:tcW w:w="1800" w:type="dxa"/>
            <w:vAlign w:val="center"/>
          </w:tcPr>
          <w:p w14:paraId="6B843B4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从 EXCEL文件导入</w:t>
            </w:r>
          </w:p>
        </w:tc>
        <w:tc>
          <w:tcPr>
            <w:tcW w:w="5371" w:type="dxa"/>
            <w:vAlign w:val="center"/>
          </w:tcPr>
          <w:p w14:paraId="4AE260F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支持直接从电子表格导入相关数据。</w:t>
            </w:r>
          </w:p>
        </w:tc>
      </w:tr>
      <w:tr w14:paraId="2D608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0E1CDB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219EDAB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从外部数据库导入</w:t>
            </w:r>
          </w:p>
        </w:tc>
        <w:tc>
          <w:tcPr>
            <w:tcW w:w="5371" w:type="dxa"/>
            <w:vAlign w:val="center"/>
          </w:tcPr>
          <w:p w14:paraId="6638D56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支持从其他外部系统的数据库采集读入。</w:t>
            </w:r>
          </w:p>
        </w:tc>
      </w:tr>
      <w:tr w14:paraId="7A422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6BFF50F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CD18C6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从采集平台导入</w:t>
            </w:r>
          </w:p>
        </w:tc>
        <w:tc>
          <w:tcPr>
            <w:tcW w:w="5371" w:type="dxa"/>
            <w:vAlign w:val="center"/>
          </w:tcPr>
          <w:p w14:paraId="4E03939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与科室客户端的数据采集平台无缝对接，直接采集各科室从平台录入的数据。</w:t>
            </w:r>
          </w:p>
        </w:tc>
      </w:tr>
      <w:tr w14:paraId="5D254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6216C3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B427BC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医生工作量采 集</w:t>
            </w:r>
          </w:p>
        </w:tc>
        <w:tc>
          <w:tcPr>
            <w:tcW w:w="5371" w:type="dxa"/>
            <w:vAlign w:val="center"/>
          </w:tcPr>
          <w:p w14:paraId="2093B22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从 HIS 系统中采集医生的工作量数据。包括：开单科室、开单医生、执行科室、执行医生、收费项目、规格型号、 数量、单价、金额等信息，支持分门诊和住院分别采集。</w:t>
            </w:r>
          </w:p>
        </w:tc>
      </w:tr>
      <w:tr w14:paraId="27989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9836FA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25E4EA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耗材领用采集</w:t>
            </w:r>
          </w:p>
        </w:tc>
        <w:tc>
          <w:tcPr>
            <w:tcW w:w="5371" w:type="dxa"/>
            <w:vAlign w:val="center"/>
          </w:tcPr>
          <w:p w14:paraId="36FD1EE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从物资系统中采集各科室的耗材领用数据。包括高值耗材、普通消耗品等。</w:t>
            </w:r>
          </w:p>
        </w:tc>
      </w:tr>
      <w:tr w14:paraId="525C9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244E6BC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6F89B11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收支台账管理</w:t>
            </w:r>
          </w:p>
        </w:tc>
        <w:tc>
          <w:tcPr>
            <w:tcW w:w="5371" w:type="dxa"/>
            <w:vAlign w:val="center"/>
          </w:tcPr>
          <w:p w14:paraId="105CC77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对各科室的收入台账的管理。可实现对收入、工作量、成本等数据的调整等操作。</w:t>
            </w:r>
          </w:p>
        </w:tc>
      </w:tr>
      <w:tr w14:paraId="7AB0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45BB39F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绩效核算</w:t>
            </w:r>
          </w:p>
        </w:tc>
        <w:tc>
          <w:tcPr>
            <w:tcW w:w="1800" w:type="dxa"/>
            <w:vAlign w:val="center"/>
          </w:tcPr>
          <w:p w14:paraId="3AAA856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指标定义</w:t>
            </w:r>
          </w:p>
        </w:tc>
        <w:tc>
          <w:tcPr>
            <w:tcW w:w="5371" w:type="dxa"/>
            <w:vAlign w:val="center"/>
          </w:tcPr>
          <w:p w14:paraId="3ACD8D4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设置绩效核算所需要的各种指标。</w:t>
            </w:r>
          </w:p>
        </w:tc>
      </w:tr>
      <w:tr w14:paraId="505CC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6599D01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8D1D07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指标参数设置</w:t>
            </w:r>
          </w:p>
        </w:tc>
        <w:tc>
          <w:tcPr>
            <w:tcW w:w="5371" w:type="dxa"/>
            <w:vAlign w:val="center"/>
          </w:tcPr>
          <w:p w14:paraId="0437163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对定义好的指标数据进行设置。支持手工录入、EXCEL 导入和从外部数据库自动采集生成。</w:t>
            </w:r>
          </w:p>
        </w:tc>
      </w:tr>
      <w:tr w14:paraId="255A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134BED9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62E6C87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绩效分配</w:t>
            </w:r>
          </w:p>
        </w:tc>
        <w:tc>
          <w:tcPr>
            <w:tcW w:w="5371" w:type="dxa"/>
            <w:vAlign w:val="center"/>
          </w:tcPr>
          <w:p w14:paraId="4AA48A4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根据绩效算法核算医生的诊断绩效、执行绩效、护理绩效、成本数据等。</w:t>
            </w:r>
          </w:p>
        </w:tc>
      </w:tr>
      <w:tr w14:paraId="38E28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DA3BCD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D8FC4C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绩效核算表</w:t>
            </w:r>
          </w:p>
        </w:tc>
        <w:tc>
          <w:tcPr>
            <w:tcW w:w="5371" w:type="dxa"/>
            <w:vAlign w:val="center"/>
          </w:tcPr>
          <w:p w14:paraId="6F7D66E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根据不同科室的格式可定义不同的绩效核算表，并支持在科室客户端进行查看。</w:t>
            </w:r>
          </w:p>
        </w:tc>
      </w:tr>
      <w:tr w14:paraId="0B98E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6489C2F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1408A8E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绩效发布</w:t>
            </w:r>
          </w:p>
        </w:tc>
        <w:tc>
          <w:tcPr>
            <w:tcW w:w="5371" w:type="dxa"/>
            <w:vAlign w:val="center"/>
          </w:tcPr>
          <w:p w14:paraId="2B44DB2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本月绩效核算完成后，需要进行发布后，各科室方可进行绩效的查看与分配。</w:t>
            </w:r>
          </w:p>
        </w:tc>
      </w:tr>
      <w:tr w14:paraId="58CB8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43DB8C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EE781C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月末结账</w:t>
            </w:r>
          </w:p>
        </w:tc>
        <w:tc>
          <w:tcPr>
            <w:tcW w:w="5371" w:type="dxa"/>
            <w:vAlign w:val="center"/>
          </w:tcPr>
          <w:p w14:paraId="226A084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本月绩效核算分配完成后，结转至下个月，结账后对本月的数据进行审核锁定，不可再次修改。</w:t>
            </w:r>
          </w:p>
        </w:tc>
      </w:tr>
      <w:tr w14:paraId="5EBC5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13FEDEA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绩效发放</w:t>
            </w:r>
          </w:p>
        </w:tc>
        <w:tc>
          <w:tcPr>
            <w:tcW w:w="1800" w:type="dxa"/>
            <w:vAlign w:val="center"/>
          </w:tcPr>
          <w:p w14:paraId="33AF9C8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栏目管理</w:t>
            </w:r>
          </w:p>
        </w:tc>
        <w:tc>
          <w:tcPr>
            <w:tcW w:w="5371" w:type="dxa"/>
            <w:vAlign w:val="center"/>
          </w:tcPr>
          <w:p w14:paraId="7313EEC8">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对人员档案内置的栏目管理。包括：岗位类别、编制类别、职务、职称、系数等设置。</w:t>
            </w:r>
          </w:p>
        </w:tc>
      </w:tr>
      <w:tr w14:paraId="275E0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AE5030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EB2D73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人员档案</w:t>
            </w:r>
          </w:p>
        </w:tc>
        <w:tc>
          <w:tcPr>
            <w:tcW w:w="5371" w:type="dxa"/>
            <w:vAlign w:val="center"/>
          </w:tcPr>
          <w:p w14:paraId="6DF69278">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提供人员档案库管理功能。包括人员的增加、修改、删除、数据导入等。</w:t>
            </w:r>
          </w:p>
        </w:tc>
      </w:tr>
      <w:tr w14:paraId="61058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D814FE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4E2978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人员调动</w:t>
            </w:r>
          </w:p>
        </w:tc>
        <w:tc>
          <w:tcPr>
            <w:tcW w:w="5371" w:type="dxa"/>
            <w:vAlign w:val="center"/>
          </w:tcPr>
          <w:p w14:paraId="43DBC44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实现对人员的部门调动操作。</w:t>
            </w:r>
          </w:p>
        </w:tc>
      </w:tr>
      <w:tr w14:paraId="0942E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2D2702F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CA9250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表结构</w:t>
            </w:r>
          </w:p>
        </w:tc>
        <w:tc>
          <w:tcPr>
            <w:tcW w:w="5371" w:type="dxa"/>
            <w:vAlign w:val="center"/>
          </w:tcPr>
          <w:p w14:paraId="0FFD737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根据医院需求设置发放表的结构。</w:t>
            </w:r>
          </w:p>
        </w:tc>
      </w:tr>
      <w:tr w14:paraId="6B73C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66723B6B">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75E77B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平衡关系设置</w:t>
            </w:r>
          </w:p>
        </w:tc>
        <w:tc>
          <w:tcPr>
            <w:tcW w:w="5371" w:type="dxa"/>
            <w:vAlign w:val="center"/>
          </w:tcPr>
          <w:p w14:paraId="0E22E33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定义发放表和绩效核算的平衡关系。</w:t>
            </w:r>
          </w:p>
        </w:tc>
      </w:tr>
      <w:tr w14:paraId="7259D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3FFDAF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197FC67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发放表</w:t>
            </w:r>
          </w:p>
        </w:tc>
        <w:tc>
          <w:tcPr>
            <w:tcW w:w="5371" w:type="dxa"/>
            <w:vAlign w:val="center"/>
          </w:tcPr>
          <w:p w14:paraId="55ECA3E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提供发放表功能。实现由各科室在客户端进行绩效数据的分配和上报。</w:t>
            </w:r>
          </w:p>
        </w:tc>
      </w:tr>
      <w:tr w14:paraId="65BB7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C3BD38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1E2FAAC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格式编辑</w:t>
            </w:r>
          </w:p>
        </w:tc>
        <w:tc>
          <w:tcPr>
            <w:tcW w:w="5371" w:type="dxa"/>
            <w:vAlign w:val="center"/>
          </w:tcPr>
          <w:p w14:paraId="25B6828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对发放表可实现批量编辑功能。</w:t>
            </w:r>
          </w:p>
        </w:tc>
      </w:tr>
      <w:tr w14:paraId="52443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63C2A75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D99F4C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统计报表</w:t>
            </w:r>
          </w:p>
        </w:tc>
        <w:tc>
          <w:tcPr>
            <w:tcW w:w="5371" w:type="dxa"/>
            <w:vAlign w:val="center"/>
          </w:tcPr>
          <w:p w14:paraId="564FE65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内置各种数据统计报表。如：部门发放汇总表、个人发放清单等。</w:t>
            </w:r>
          </w:p>
        </w:tc>
      </w:tr>
      <w:tr w14:paraId="05A21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1D0A83F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774FDF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综合查询</w:t>
            </w:r>
          </w:p>
        </w:tc>
        <w:tc>
          <w:tcPr>
            <w:tcW w:w="5371" w:type="dxa"/>
            <w:vAlign w:val="center"/>
          </w:tcPr>
          <w:p w14:paraId="1E3F837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可设置任何条件查询绩效发放数据。</w:t>
            </w:r>
          </w:p>
        </w:tc>
      </w:tr>
      <w:tr w14:paraId="578BD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35FCA17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7CB76C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审核中心</w:t>
            </w:r>
          </w:p>
        </w:tc>
        <w:tc>
          <w:tcPr>
            <w:tcW w:w="5371" w:type="dxa"/>
            <w:vAlign w:val="center"/>
          </w:tcPr>
          <w:p w14:paraId="13985F4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对绩效发放数据的审核，审核后不可再次修改。</w:t>
            </w:r>
          </w:p>
        </w:tc>
      </w:tr>
      <w:tr w14:paraId="47A35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2A9D821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考勤管理</w:t>
            </w:r>
          </w:p>
        </w:tc>
        <w:tc>
          <w:tcPr>
            <w:tcW w:w="1800" w:type="dxa"/>
            <w:vAlign w:val="center"/>
          </w:tcPr>
          <w:p w14:paraId="77954A4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考勤数据录入</w:t>
            </w:r>
          </w:p>
        </w:tc>
        <w:tc>
          <w:tcPr>
            <w:tcW w:w="5371" w:type="dxa"/>
            <w:vAlign w:val="center"/>
          </w:tcPr>
          <w:p w14:paraId="354F8B6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支持一人多科的考勤数据管理，支持从外部数据库导入考勤数据。</w:t>
            </w:r>
          </w:p>
        </w:tc>
      </w:tr>
      <w:tr w14:paraId="5417E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F43AD1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2540A1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考勤数据统计</w:t>
            </w:r>
          </w:p>
        </w:tc>
        <w:tc>
          <w:tcPr>
            <w:tcW w:w="5371" w:type="dxa"/>
            <w:vAlign w:val="center"/>
          </w:tcPr>
          <w:p w14:paraId="2D132FA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可按科室生成考勤统计表。</w:t>
            </w:r>
          </w:p>
        </w:tc>
      </w:tr>
      <w:tr w14:paraId="23E59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352D9C2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绩效分析</w:t>
            </w:r>
          </w:p>
        </w:tc>
        <w:tc>
          <w:tcPr>
            <w:tcW w:w="1800" w:type="dxa"/>
            <w:vAlign w:val="center"/>
          </w:tcPr>
          <w:p w14:paraId="31CD3EF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收入明细查询</w:t>
            </w:r>
          </w:p>
        </w:tc>
        <w:tc>
          <w:tcPr>
            <w:tcW w:w="5371" w:type="dxa"/>
            <w:vAlign w:val="center"/>
          </w:tcPr>
          <w:p w14:paraId="29F4802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可查询各科室的收入明细情况。包括工作量收入和业务收入。</w:t>
            </w:r>
          </w:p>
        </w:tc>
      </w:tr>
      <w:tr w14:paraId="55892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39272258">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2D5D660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支出明细查询</w:t>
            </w:r>
          </w:p>
        </w:tc>
        <w:tc>
          <w:tcPr>
            <w:tcW w:w="5371" w:type="dxa"/>
            <w:vAlign w:val="center"/>
          </w:tcPr>
          <w:p w14:paraId="732109F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可查询各科室的支出明细情况。包括核算前、核算后的数据。</w:t>
            </w:r>
          </w:p>
        </w:tc>
      </w:tr>
      <w:tr w14:paraId="394FC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9884CC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CF730A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对比分析查询</w:t>
            </w:r>
          </w:p>
        </w:tc>
        <w:tc>
          <w:tcPr>
            <w:tcW w:w="5371" w:type="dxa"/>
            <w:vAlign w:val="center"/>
          </w:tcPr>
          <w:p w14:paraId="4211A0B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可查询各项目按科室的对比分析情况。支持跨年度、多类别的进行对比分析。</w:t>
            </w:r>
          </w:p>
        </w:tc>
      </w:tr>
      <w:tr w14:paraId="3CAAD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455D597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293D627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收入项目月表</w:t>
            </w:r>
          </w:p>
        </w:tc>
        <w:tc>
          <w:tcPr>
            <w:tcW w:w="5371" w:type="dxa"/>
            <w:vAlign w:val="center"/>
          </w:tcPr>
          <w:p w14:paraId="32F6AF2B">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对收入项目按月汇总查询。</w:t>
            </w:r>
          </w:p>
        </w:tc>
      </w:tr>
      <w:tr w14:paraId="7DB30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0679A9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21A2387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支出项目月报表</w:t>
            </w:r>
          </w:p>
        </w:tc>
        <w:tc>
          <w:tcPr>
            <w:tcW w:w="5371" w:type="dxa"/>
            <w:vAlign w:val="center"/>
          </w:tcPr>
          <w:p w14:paraId="675D347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对支出项目按月汇总查询。</w:t>
            </w:r>
          </w:p>
        </w:tc>
      </w:tr>
      <w:tr w14:paraId="08E30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595BF4EB">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7CFB4E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科室收入台账</w:t>
            </w:r>
          </w:p>
        </w:tc>
        <w:tc>
          <w:tcPr>
            <w:tcW w:w="5371" w:type="dxa"/>
            <w:vAlign w:val="center"/>
          </w:tcPr>
          <w:p w14:paraId="365C2AC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按科室生成各收入项目的台账。</w:t>
            </w:r>
          </w:p>
        </w:tc>
      </w:tr>
      <w:tr w14:paraId="2312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91EB4D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7A0C9C4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科室支出台账</w:t>
            </w:r>
          </w:p>
        </w:tc>
        <w:tc>
          <w:tcPr>
            <w:tcW w:w="5371" w:type="dxa"/>
            <w:vAlign w:val="center"/>
          </w:tcPr>
          <w:p w14:paraId="50D5545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按科室生成各支出项目的账台。</w:t>
            </w:r>
          </w:p>
        </w:tc>
      </w:tr>
      <w:tr w14:paraId="0C5B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1BACC0E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D7087F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工作量查询</w:t>
            </w:r>
          </w:p>
        </w:tc>
        <w:tc>
          <w:tcPr>
            <w:tcW w:w="5371" w:type="dxa"/>
            <w:vAlign w:val="center"/>
          </w:tcPr>
          <w:p w14:paraId="711D4E8B">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可查询医生的各项工作量数据。包括绩效点值情况等。</w:t>
            </w:r>
          </w:p>
        </w:tc>
      </w:tr>
      <w:tr w14:paraId="601C8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2081E6C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27F1A4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耗材领用查询</w:t>
            </w:r>
          </w:p>
        </w:tc>
        <w:tc>
          <w:tcPr>
            <w:tcW w:w="5371" w:type="dxa"/>
            <w:vAlign w:val="center"/>
          </w:tcPr>
          <w:p w14:paraId="512052FC">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可查询各科室耗材领用情况。包括出库单号、领用人、类别、领用日期、金额等信息。</w:t>
            </w:r>
          </w:p>
        </w:tc>
      </w:tr>
      <w:tr w14:paraId="6FB25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4068C81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报表管理</w:t>
            </w:r>
          </w:p>
        </w:tc>
        <w:tc>
          <w:tcPr>
            <w:tcW w:w="1800" w:type="dxa"/>
            <w:vAlign w:val="center"/>
          </w:tcPr>
          <w:p w14:paraId="0ED0E6A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报表设计器</w:t>
            </w:r>
          </w:p>
        </w:tc>
        <w:tc>
          <w:tcPr>
            <w:tcW w:w="5371" w:type="dxa"/>
            <w:vAlign w:val="center"/>
          </w:tcPr>
          <w:p w14:paraId="7F2CAB3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内置类 EXCEL 的报表设计器。可根据需求定义不同的报表。</w:t>
            </w:r>
          </w:p>
        </w:tc>
      </w:tr>
      <w:tr w14:paraId="03380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274A5BE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6AB383CD">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高级报表</w:t>
            </w:r>
          </w:p>
        </w:tc>
        <w:tc>
          <w:tcPr>
            <w:tcW w:w="5371" w:type="dxa"/>
            <w:vAlign w:val="center"/>
          </w:tcPr>
          <w:p w14:paraId="03D4511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支持使用视图、存储过程等直接生成各种报表。</w:t>
            </w:r>
          </w:p>
        </w:tc>
      </w:tr>
      <w:tr w14:paraId="4B0C3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restart"/>
            <w:vAlign w:val="center"/>
          </w:tcPr>
          <w:p w14:paraId="18A6B0A2">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科室绩效 平台</w:t>
            </w:r>
          </w:p>
        </w:tc>
        <w:tc>
          <w:tcPr>
            <w:tcW w:w="1800" w:type="dxa"/>
            <w:vAlign w:val="center"/>
          </w:tcPr>
          <w:p w14:paraId="4DD2E5D5">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绩效报表</w:t>
            </w:r>
          </w:p>
        </w:tc>
        <w:tc>
          <w:tcPr>
            <w:tcW w:w="5371" w:type="dxa"/>
            <w:vAlign w:val="center"/>
          </w:tcPr>
          <w:p w14:paraId="2EC808F4">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查看本科室绩效核算报表。</w:t>
            </w:r>
          </w:p>
        </w:tc>
      </w:tr>
      <w:tr w14:paraId="4B395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2E279F8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11F1D6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工作量查询</w:t>
            </w:r>
          </w:p>
        </w:tc>
        <w:tc>
          <w:tcPr>
            <w:tcW w:w="5371" w:type="dxa"/>
            <w:vAlign w:val="center"/>
          </w:tcPr>
          <w:p w14:paraId="61B72CAA">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查看本科室的工作量情况。包括 RBRVS 点值、绩效费率、诊断绩效、执行绩效、护理绩效、手术等级等。</w:t>
            </w:r>
          </w:p>
        </w:tc>
      </w:tr>
      <w:tr w14:paraId="7B063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72C33A53">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46A186C6">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耗材领用查询</w:t>
            </w:r>
          </w:p>
        </w:tc>
        <w:tc>
          <w:tcPr>
            <w:tcW w:w="5371" w:type="dxa"/>
            <w:vAlign w:val="center"/>
          </w:tcPr>
          <w:p w14:paraId="3DBC4740">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查看本科室耗材领用明细情况</w:t>
            </w:r>
          </w:p>
        </w:tc>
      </w:tr>
      <w:tr w14:paraId="65A4E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39502F1F">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542C9B3E">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收支查询</w:t>
            </w:r>
          </w:p>
        </w:tc>
        <w:tc>
          <w:tcPr>
            <w:tcW w:w="5371" w:type="dxa"/>
            <w:vAlign w:val="center"/>
          </w:tcPr>
          <w:p w14:paraId="4E4C7157">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查看本科室的各种收入和支出情况。包括：收入明细表、支出明细表、收支结余表、科室收入账簿、科室支出账簿、 月报表、对比分析表等。</w:t>
            </w:r>
          </w:p>
        </w:tc>
      </w:tr>
      <w:tr w14:paraId="62481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1" w:type="dxa"/>
            <w:vMerge w:val="continue"/>
            <w:vAlign w:val="center"/>
          </w:tcPr>
          <w:p w14:paraId="02FC9ED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p>
        </w:tc>
        <w:tc>
          <w:tcPr>
            <w:tcW w:w="1800" w:type="dxa"/>
            <w:vAlign w:val="center"/>
          </w:tcPr>
          <w:p w14:paraId="3066AEF1">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绩效分配</w:t>
            </w:r>
          </w:p>
        </w:tc>
        <w:tc>
          <w:tcPr>
            <w:tcW w:w="5371" w:type="dxa"/>
            <w:vAlign w:val="center"/>
          </w:tcPr>
          <w:p w14:paraId="6E5231A9">
            <w:pPr>
              <w:widowControl w:val="0"/>
              <w:kinsoku/>
              <w:autoSpaceDE/>
              <w:autoSpaceDN/>
              <w:adjustRightInd/>
              <w:spacing w:before="156" w:beforeLines="50"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提供在线分配科室绩效功能。分配时提供绩效平衡检测管理，确保分配到每个人。</w:t>
            </w:r>
          </w:p>
        </w:tc>
      </w:tr>
    </w:tbl>
    <w:p w14:paraId="0299109C">
      <w:pPr>
        <w:widowControl w:val="0"/>
        <w:kinsoku/>
        <w:autoSpaceDE/>
        <w:autoSpaceDN/>
        <w:adjustRightInd/>
        <w:spacing w:before="156" w:beforeLines="50" w:line="360" w:lineRule="auto"/>
        <w:jc w:val="both"/>
        <w:textAlignment w:val="auto"/>
        <w:rPr>
          <w:rFonts w:hint="eastAsia" w:asciiTheme="minorEastAsia" w:hAnsiTheme="minorEastAsia" w:eastAsiaTheme="minorEastAsia" w:cstheme="minorEastAsia"/>
          <w:snapToGrid/>
          <w:sz w:val="24"/>
          <w:szCs w:val="24"/>
          <w:lang w:eastAsia="zh-CN"/>
        </w:rPr>
      </w:pPr>
      <w:bookmarkStart w:id="0" w:name="_Toc27292"/>
      <w:bookmarkStart w:id="1" w:name="_Toc10702"/>
      <w:r>
        <w:rPr>
          <w:rFonts w:hint="eastAsia" w:asciiTheme="minorEastAsia" w:hAnsiTheme="minorEastAsia" w:eastAsiaTheme="minorEastAsia" w:cstheme="minorEastAsia"/>
          <w:snapToGrid/>
          <w:sz w:val="24"/>
          <w:szCs w:val="24"/>
          <w:lang w:val="en-US" w:eastAsia="zh-CN"/>
        </w:rPr>
        <w:t>3.1</w:t>
      </w:r>
      <w:r>
        <w:rPr>
          <w:rFonts w:hint="eastAsia" w:asciiTheme="minorEastAsia" w:hAnsiTheme="minorEastAsia" w:eastAsiaTheme="minorEastAsia" w:cstheme="minorEastAsia"/>
          <w:snapToGrid/>
          <w:sz w:val="24"/>
          <w:szCs w:val="24"/>
          <w:lang w:eastAsia="zh-CN"/>
        </w:rPr>
        <w:t>绩效方案设计</w:t>
      </w:r>
      <w:bookmarkEnd w:id="0"/>
      <w:bookmarkEnd w:id="1"/>
    </w:p>
    <w:p w14:paraId="451ED649">
      <w:pPr>
        <w:widowControl w:val="0"/>
        <w:kinsoku/>
        <w:autoSpaceDE/>
        <w:autoSpaceDN/>
        <w:adjustRightInd/>
        <w:spacing w:before="156" w:beforeLines="50" w:line="360" w:lineRule="auto"/>
        <w:jc w:val="both"/>
        <w:textAlignment w:val="auto"/>
        <w:rPr>
          <w:rFonts w:hint="eastAsia" w:asciiTheme="minorEastAsia" w:hAnsiTheme="minorEastAsia" w:eastAsiaTheme="minorEastAsia" w:cstheme="minorEastAsia"/>
          <w:snapToGrid/>
          <w:sz w:val="24"/>
          <w:szCs w:val="24"/>
          <w:lang w:eastAsia="zh-CN"/>
        </w:rPr>
      </w:pPr>
      <w:bookmarkStart w:id="2" w:name="_Toc20980"/>
      <w:r>
        <w:rPr>
          <w:rFonts w:hint="eastAsia" w:asciiTheme="minorEastAsia" w:hAnsiTheme="minorEastAsia" w:eastAsiaTheme="minorEastAsia" w:cstheme="minorEastAsia"/>
          <w:snapToGrid/>
          <w:sz w:val="24"/>
          <w:szCs w:val="24"/>
          <w:lang w:val="en-US" w:eastAsia="zh-CN"/>
        </w:rPr>
        <w:t>3.2</w:t>
      </w:r>
      <w:r>
        <w:rPr>
          <w:rFonts w:hint="eastAsia" w:asciiTheme="minorEastAsia" w:hAnsiTheme="minorEastAsia" w:eastAsiaTheme="minorEastAsia" w:cstheme="minorEastAsia"/>
          <w:snapToGrid/>
          <w:sz w:val="24"/>
          <w:szCs w:val="24"/>
          <w:lang w:eastAsia="zh-CN"/>
        </w:rPr>
        <w:t>绩效管理方案设计原则</w:t>
      </w:r>
      <w:bookmarkEnd w:id="2"/>
    </w:p>
    <w:p w14:paraId="4B0F8F67">
      <w:pPr>
        <w:widowControl w:val="0"/>
        <w:spacing w:before="71" w:line="360" w:lineRule="auto"/>
        <w:ind w:left="10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绩效方案需符合政策规范性原则：</w:t>
      </w:r>
    </w:p>
    <w:p w14:paraId="2EFD4DF1">
      <w:pPr>
        <w:widowControl w:val="0"/>
        <w:spacing w:before="71" w:line="360" w:lineRule="auto"/>
        <w:ind w:left="103" w:firstLine="56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所使用的绩效分配方案应当满足加强医疗卫生行风建设“九项准则”的要求，医务人员的绩效工资不能与收入挂钩，符合医保支付政策要求。</w:t>
      </w:r>
    </w:p>
    <w:p w14:paraId="46A3E321">
      <w:pPr>
        <w:widowControl w:val="0"/>
        <w:spacing w:before="71" w:line="360" w:lineRule="auto"/>
        <w:ind w:left="10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绩效方案需符合技术方法本地化原则：</w:t>
      </w:r>
    </w:p>
    <w:p w14:paraId="184D34E5">
      <w:pPr>
        <w:widowControl w:val="0"/>
        <w:spacing w:before="71" w:line="360" w:lineRule="auto"/>
        <w:ind w:left="103" w:firstLine="56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由于绩效管理高度个性化，投标人应当提供绩效管理咨询，将国际先进的医务人员劳动价值评价方法在采购人医院进行本地化研究，使之适合采购人医院的发展阶段，并能为未来发展建立基础绩效管理架构。需要咨询团队将RBRVS本土化，并依据采购人医院的业务特点进行本地化。</w:t>
      </w:r>
    </w:p>
    <w:p w14:paraId="64F2E8BD">
      <w:pPr>
        <w:widowControl w:val="0"/>
        <w:spacing w:before="71" w:line="360" w:lineRule="auto"/>
        <w:ind w:left="10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绩效方案需符合先进性原则：</w:t>
      </w:r>
    </w:p>
    <w:p w14:paraId="55D799AA">
      <w:pPr>
        <w:widowControl w:val="0"/>
        <w:spacing w:before="71" w:line="360" w:lineRule="auto"/>
        <w:ind w:left="103" w:firstLine="560"/>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绩效管理方案采用国际通行的医务人员劳动价值评价方法，在国内有成功的应用示范用户。配套软件具有先进的技术水平，有较高的性能，符合当今技术发展的方向。</w:t>
      </w:r>
    </w:p>
    <w:p w14:paraId="4B2EE407">
      <w:pPr>
        <w:widowControl w:val="0"/>
        <w:spacing w:before="71" w:line="360" w:lineRule="auto"/>
        <w:ind w:left="103"/>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绩效方案需符合实用性原则：</w:t>
      </w:r>
    </w:p>
    <w:p w14:paraId="60EEAF24">
      <w:pPr>
        <w:widowControl w:val="0"/>
        <w:spacing w:line="360" w:lineRule="auto"/>
        <w:ind w:firstLine="560"/>
        <w:jc w:val="both"/>
        <w:rPr>
          <w:rFonts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绩效整体方案应当与医院发展的阶段、专业特点、科室分工相匹配，依据方案产生的绩效分配结果应当与医院的规模、开放床位数、在职职工人数、核算单位数等实际情况相符合。绩效考核管理软件系统要体现医保基于DRG的医疗服务能力评价的激励约束作用。</w:t>
      </w:r>
    </w:p>
    <w:p w14:paraId="3FC1E6AC">
      <w:pPr>
        <w:pStyle w:val="3"/>
        <w:numPr>
          <w:ilvl w:val="2"/>
          <w:numId w:val="1"/>
        </w:numPr>
        <w:tabs>
          <w:tab w:val="left" w:pos="420"/>
        </w:tabs>
        <w:spacing w:before="156" w:beforeLines="50" w:after="156" w:afterLines="50" w:line="360" w:lineRule="auto"/>
        <w:rPr>
          <w:rFonts w:hint="eastAsia" w:asciiTheme="minorEastAsia" w:hAnsiTheme="minorEastAsia" w:eastAsiaTheme="minorEastAsia" w:cstheme="minorEastAsia"/>
          <w:b w:val="0"/>
          <w:snapToGrid w:val="0"/>
          <w:color w:val="auto"/>
          <w:sz w:val="24"/>
          <w:szCs w:val="24"/>
          <w:lang w:val="en-US" w:eastAsia="zh-CN" w:bidi="ar-SA"/>
        </w:rPr>
      </w:pPr>
      <w:bookmarkStart w:id="3" w:name="_Toc23694"/>
      <w:r>
        <w:rPr>
          <w:rFonts w:hint="eastAsia" w:asciiTheme="minorEastAsia" w:hAnsiTheme="minorEastAsia" w:eastAsiaTheme="minorEastAsia" w:cstheme="minorEastAsia"/>
          <w:b w:val="0"/>
          <w:snapToGrid w:val="0"/>
          <w:color w:val="auto"/>
          <w:sz w:val="24"/>
          <w:szCs w:val="24"/>
          <w:lang w:val="en-US" w:eastAsia="zh-CN" w:bidi="ar-SA"/>
        </w:rPr>
        <w:t>绩效方案设计要求</w:t>
      </w:r>
      <w:bookmarkEnd w:id="3"/>
    </w:p>
    <w:p w14:paraId="0CBB3239">
      <w:pPr>
        <w:widowControl w:val="0"/>
        <w:kinsoku/>
        <w:spacing w:line="360" w:lineRule="auto"/>
        <w:ind w:firstLine="464" w:firstLineChars="200"/>
        <w:textAlignment w:val="auto"/>
        <w:rPr>
          <w:rFonts w:asciiTheme="minorEastAsia" w:hAnsiTheme="minorEastAsia" w:eastAsiaTheme="minorEastAsia" w:cstheme="minorEastAsia"/>
          <w:spacing w:val="-2"/>
          <w:kern w:val="2"/>
          <w:sz w:val="24"/>
          <w:szCs w:val="24"/>
          <w:lang w:eastAsia="zh-CN"/>
        </w:rPr>
      </w:pPr>
      <w:r>
        <w:rPr>
          <w:rFonts w:hint="eastAsia" w:asciiTheme="minorEastAsia" w:hAnsiTheme="minorEastAsia" w:eastAsiaTheme="minorEastAsia" w:cstheme="minorEastAsia"/>
          <w:spacing w:val="-4"/>
          <w:kern w:val="2"/>
          <w:sz w:val="24"/>
          <w:szCs w:val="24"/>
          <w:lang w:eastAsia="zh-CN"/>
        </w:rPr>
        <w:t>整体方案需满足</w:t>
      </w:r>
      <w:r>
        <w:rPr>
          <w:rFonts w:hint="eastAsia" w:asciiTheme="minorEastAsia" w:hAnsiTheme="minorEastAsia" w:eastAsiaTheme="minorEastAsia" w:cstheme="minorEastAsia"/>
          <w:kern w:val="2"/>
          <w:sz w:val="24"/>
          <w:szCs w:val="24"/>
          <w:lang w:eastAsia="zh-CN"/>
        </w:rPr>
        <w:t>加强医疗卫生行风建设“九项准则”的要求</w:t>
      </w:r>
      <w:r>
        <w:rPr>
          <w:rFonts w:hint="eastAsia" w:asciiTheme="minorEastAsia" w:hAnsiTheme="minorEastAsia" w:eastAsiaTheme="minorEastAsia" w:cstheme="minorEastAsia"/>
          <w:spacing w:val="-4"/>
          <w:kern w:val="2"/>
          <w:sz w:val="24"/>
          <w:szCs w:val="24"/>
          <w:lang w:eastAsia="zh-CN"/>
        </w:rPr>
        <w:t>，解决国内收费定价对劳务价值体现不足的问题，满足医院制定的绩效管理目标。方案整体的计算框架应当</w:t>
      </w:r>
      <w:r>
        <w:rPr>
          <w:rFonts w:hint="eastAsia" w:asciiTheme="minorEastAsia" w:hAnsiTheme="minorEastAsia" w:eastAsiaTheme="minorEastAsia" w:cstheme="minorEastAsia"/>
          <w:spacing w:val="-2"/>
          <w:kern w:val="2"/>
          <w:sz w:val="24"/>
          <w:szCs w:val="24"/>
          <w:lang w:eastAsia="zh-CN"/>
        </w:rPr>
        <w:t>具有灵活性，可以由医院针对医保政策、DRG付费、国家收费价表变化进行自主的调整。</w:t>
      </w:r>
    </w:p>
    <w:p w14:paraId="0482711A">
      <w:pPr>
        <w:widowControl w:val="0"/>
        <w:kinsoku/>
        <w:spacing w:line="360" w:lineRule="auto"/>
        <w:ind w:firstLine="452"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spacing w:val="-7"/>
          <w:kern w:val="2"/>
          <w:sz w:val="24"/>
          <w:szCs w:val="24"/>
          <w:lang w:eastAsia="zh-CN"/>
        </w:rPr>
        <w:t>建立“以医院发展目标为导向，以工作量评价为基础，以质量和成本控制为支撑，</w:t>
      </w:r>
      <w:r>
        <w:rPr>
          <w:rFonts w:hint="eastAsia" w:asciiTheme="minorEastAsia" w:hAnsiTheme="minorEastAsia" w:eastAsiaTheme="minorEastAsia" w:cstheme="minorEastAsia"/>
          <w:kern w:val="2"/>
          <w:sz w:val="24"/>
          <w:szCs w:val="24"/>
          <w:lang w:eastAsia="zh-CN"/>
        </w:rPr>
        <w:t>以基于</w:t>
      </w:r>
      <w:r>
        <w:rPr>
          <w:rFonts w:hint="eastAsia" w:asciiTheme="minorEastAsia" w:hAnsiTheme="minorEastAsia" w:eastAsiaTheme="minorEastAsia" w:cstheme="minorEastAsia"/>
          <w:spacing w:val="-47"/>
          <w:kern w:val="2"/>
          <w:sz w:val="24"/>
          <w:szCs w:val="24"/>
          <w:lang w:eastAsia="zh-CN"/>
        </w:rPr>
        <w:t xml:space="preserve"> </w:t>
      </w:r>
      <w:r>
        <w:rPr>
          <w:rFonts w:hint="eastAsia" w:asciiTheme="minorEastAsia" w:hAnsiTheme="minorEastAsia" w:eastAsiaTheme="minorEastAsia" w:cstheme="minorEastAsia"/>
          <w:kern w:val="2"/>
          <w:sz w:val="24"/>
          <w:szCs w:val="24"/>
          <w:lang w:eastAsia="zh-CN"/>
        </w:rPr>
        <w:t>DRG</w:t>
      </w:r>
      <w:r>
        <w:rPr>
          <w:rFonts w:hint="eastAsia" w:asciiTheme="minorEastAsia" w:hAnsiTheme="minorEastAsia" w:eastAsiaTheme="minorEastAsia" w:cstheme="minorEastAsia"/>
          <w:spacing w:val="-45"/>
          <w:kern w:val="2"/>
          <w:sz w:val="24"/>
          <w:szCs w:val="24"/>
          <w:lang w:eastAsia="zh-CN"/>
        </w:rPr>
        <w:t xml:space="preserve"> </w:t>
      </w:r>
      <w:r>
        <w:rPr>
          <w:rFonts w:hint="eastAsia" w:asciiTheme="minorEastAsia" w:hAnsiTheme="minorEastAsia" w:eastAsiaTheme="minorEastAsia" w:cstheme="minorEastAsia"/>
          <w:spacing w:val="-3"/>
          <w:kern w:val="2"/>
          <w:sz w:val="24"/>
          <w:szCs w:val="24"/>
          <w:lang w:eastAsia="zh-CN"/>
        </w:rPr>
        <w:t>的</w:t>
      </w:r>
      <w:r>
        <w:rPr>
          <w:rFonts w:hint="eastAsia" w:asciiTheme="minorEastAsia" w:hAnsiTheme="minorEastAsia" w:eastAsiaTheme="minorEastAsia" w:cstheme="minorEastAsia"/>
          <w:kern w:val="2"/>
          <w:sz w:val="24"/>
          <w:szCs w:val="24"/>
          <w:lang w:eastAsia="zh-CN"/>
        </w:rPr>
        <w:t>医</w:t>
      </w:r>
      <w:r>
        <w:rPr>
          <w:rFonts w:hint="eastAsia" w:asciiTheme="minorEastAsia" w:hAnsiTheme="minorEastAsia" w:eastAsiaTheme="minorEastAsia" w:cstheme="minorEastAsia"/>
          <w:spacing w:val="-3"/>
          <w:kern w:val="2"/>
          <w:sz w:val="24"/>
          <w:szCs w:val="24"/>
          <w:lang w:eastAsia="zh-CN"/>
        </w:rPr>
        <w:t>疗</w:t>
      </w:r>
      <w:r>
        <w:rPr>
          <w:rFonts w:hint="eastAsia" w:asciiTheme="minorEastAsia" w:hAnsiTheme="minorEastAsia" w:eastAsiaTheme="minorEastAsia" w:cstheme="minorEastAsia"/>
          <w:kern w:val="2"/>
          <w:sz w:val="24"/>
          <w:szCs w:val="24"/>
          <w:lang w:eastAsia="zh-CN"/>
        </w:rPr>
        <w:t>服</w:t>
      </w:r>
      <w:r>
        <w:rPr>
          <w:rFonts w:hint="eastAsia" w:asciiTheme="minorEastAsia" w:hAnsiTheme="minorEastAsia" w:eastAsiaTheme="minorEastAsia" w:cstheme="minorEastAsia"/>
          <w:spacing w:val="-3"/>
          <w:kern w:val="2"/>
          <w:sz w:val="24"/>
          <w:szCs w:val="24"/>
          <w:lang w:eastAsia="zh-CN"/>
        </w:rPr>
        <w:t>务能</w:t>
      </w:r>
      <w:r>
        <w:rPr>
          <w:rFonts w:hint="eastAsia" w:asciiTheme="minorEastAsia" w:hAnsiTheme="minorEastAsia" w:eastAsiaTheme="minorEastAsia" w:cstheme="minorEastAsia"/>
          <w:kern w:val="2"/>
          <w:sz w:val="24"/>
          <w:szCs w:val="24"/>
          <w:lang w:eastAsia="zh-CN"/>
        </w:rPr>
        <w:t>力评</w:t>
      </w:r>
      <w:r>
        <w:rPr>
          <w:rFonts w:hint="eastAsia" w:asciiTheme="minorEastAsia" w:hAnsiTheme="minorEastAsia" w:eastAsiaTheme="minorEastAsia" w:cstheme="minorEastAsia"/>
          <w:spacing w:val="-3"/>
          <w:kern w:val="2"/>
          <w:sz w:val="24"/>
          <w:szCs w:val="24"/>
          <w:lang w:eastAsia="zh-CN"/>
        </w:rPr>
        <w:t>价</w:t>
      </w:r>
      <w:r>
        <w:rPr>
          <w:rFonts w:hint="eastAsia" w:asciiTheme="minorEastAsia" w:hAnsiTheme="minorEastAsia" w:eastAsiaTheme="minorEastAsia" w:cstheme="minorEastAsia"/>
          <w:spacing w:val="-106"/>
          <w:kern w:val="2"/>
          <w:sz w:val="24"/>
          <w:szCs w:val="24"/>
          <w:lang w:eastAsia="zh-CN"/>
        </w:rPr>
        <w:t>”</w:t>
      </w:r>
      <w:r>
        <w:rPr>
          <w:rFonts w:hint="eastAsia" w:asciiTheme="minorEastAsia" w:hAnsiTheme="minorEastAsia" w:eastAsiaTheme="minorEastAsia" w:cstheme="minorEastAsia"/>
          <w:spacing w:val="-3"/>
          <w:kern w:val="2"/>
          <w:sz w:val="24"/>
          <w:szCs w:val="24"/>
          <w:lang w:eastAsia="zh-CN"/>
        </w:rPr>
        <w:t>，</w:t>
      </w:r>
      <w:r>
        <w:rPr>
          <w:rFonts w:hint="eastAsia" w:asciiTheme="minorEastAsia" w:hAnsiTheme="minorEastAsia" w:eastAsiaTheme="minorEastAsia" w:cstheme="minorEastAsia"/>
          <w:color w:val="auto"/>
          <w:spacing w:val="-3"/>
          <w:kern w:val="2"/>
          <w:sz w:val="24"/>
          <w:szCs w:val="24"/>
          <w:lang w:eastAsia="zh-CN"/>
        </w:rPr>
        <w:t>以医保DIP分值付费方式为导向,</w:t>
      </w:r>
      <w:r>
        <w:rPr>
          <w:rFonts w:hint="eastAsia" w:asciiTheme="minorEastAsia" w:hAnsiTheme="minorEastAsia" w:eastAsiaTheme="minorEastAsia" w:cstheme="minorEastAsia"/>
          <w:kern w:val="2"/>
          <w:sz w:val="24"/>
          <w:szCs w:val="24"/>
          <w:lang w:eastAsia="zh-CN"/>
        </w:rPr>
        <w:t>使</w:t>
      </w:r>
      <w:r>
        <w:rPr>
          <w:rFonts w:hint="eastAsia" w:asciiTheme="minorEastAsia" w:hAnsiTheme="minorEastAsia" w:eastAsiaTheme="minorEastAsia" w:cstheme="minorEastAsia"/>
          <w:spacing w:val="-3"/>
          <w:kern w:val="2"/>
          <w:sz w:val="24"/>
          <w:szCs w:val="24"/>
          <w:lang w:eastAsia="zh-CN"/>
        </w:rPr>
        <w:t>用</w:t>
      </w:r>
      <w:r>
        <w:rPr>
          <w:rFonts w:hint="eastAsia" w:asciiTheme="minorEastAsia" w:hAnsiTheme="minorEastAsia" w:eastAsiaTheme="minorEastAsia" w:cstheme="minorEastAsia"/>
          <w:kern w:val="2"/>
          <w:sz w:val="24"/>
          <w:szCs w:val="24"/>
          <w:lang w:eastAsia="zh-CN"/>
        </w:rPr>
        <w:t>评</w:t>
      </w:r>
      <w:r>
        <w:rPr>
          <w:rFonts w:hint="eastAsia" w:asciiTheme="minorEastAsia" w:hAnsiTheme="minorEastAsia" w:eastAsiaTheme="minorEastAsia" w:cstheme="minorEastAsia"/>
          <w:spacing w:val="-3"/>
          <w:kern w:val="2"/>
          <w:sz w:val="24"/>
          <w:szCs w:val="24"/>
          <w:lang w:eastAsia="zh-CN"/>
        </w:rPr>
        <w:t>价</w:t>
      </w:r>
      <w:r>
        <w:rPr>
          <w:rFonts w:hint="eastAsia" w:asciiTheme="minorEastAsia" w:hAnsiTheme="minorEastAsia" w:eastAsiaTheme="minorEastAsia" w:cstheme="minorEastAsia"/>
          <w:kern w:val="2"/>
          <w:sz w:val="24"/>
          <w:szCs w:val="24"/>
          <w:lang w:eastAsia="zh-CN"/>
        </w:rPr>
        <w:t>医</w:t>
      </w:r>
      <w:r>
        <w:rPr>
          <w:rFonts w:hint="eastAsia" w:asciiTheme="minorEastAsia" w:hAnsiTheme="minorEastAsia" w:eastAsiaTheme="minorEastAsia" w:cstheme="minorEastAsia"/>
          <w:spacing w:val="-3"/>
          <w:kern w:val="2"/>
          <w:sz w:val="24"/>
          <w:szCs w:val="24"/>
          <w:lang w:eastAsia="zh-CN"/>
        </w:rPr>
        <w:t>务人</w:t>
      </w:r>
      <w:r>
        <w:rPr>
          <w:rFonts w:hint="eastAsia" w:asciiTheme="minorEastAsia" w:hAnsiTheme="minorEastAsia" w:eastAsiaTheme="minorEastAsia" w:cstheme="minorEastAsia"/>
          <w:kern w:val="2"/>
          <w:sz w:val="24"/>
          <w:szCs w:val="24"/>
          <w:lang w:eastAsia="zh-CN"/>
        </w:rPr>
        <w:t>员劳</w:t>
      </w:r>
      <w:r>
        <w:rPr>
          <w:rFonts w:hint="eastAsia" w:asciiTheme="minorEastAsia" w:hAnsiTheme="minorEastAsia" w:eastAsiaTheme="minorEastAsia" w:cstheme="minorEastAsia"/>
          <w:spacing w:val="-3"/>
          <w:kern w:val="2"/>
          <w:sz w:val="24"/>
          <w:szCs w:val="24"/>
          <w:lang w:eastAsia="zh-CN"/>
        </w:rPr>
        <w:t>动</w:t>
      </w:r>
      <w:r>
        <w:rPr>
          <w:rFonts w:hint="eastAsia" w:asciiTheme="minorEastAsia" w:hAnsiTheme="minorEastAsia" w:eastAsiaTheme="minorEastAsia" w:cstheme="minorEastAsia"/>
          <w:kern w:val="2"/>
          <w:sz w:val="24"/>
          <w:szCs w:val="24"/>
          <w:lang w:eastAsia="zh-CN"/>
        </w:rPr>
        <w:t>价</w:t>
      </w:r>
      <w:r>
        <w:rPr>
          <w:rFonts w:hint="eastAsia" w:asciiTheme="minorEastAsia" w:hAnsiTheme="minorEastAsia" w:eastAsiaTheme="minorEastAsia" w:cstheme="minorEastAsia"/>
          <w:spacing w:val="-3"/>
          <w:kern w:val="2"/>
          <w:sz w:val="24"/>
          <w:szCs w:val="24"/>
          <w:lang w:eastAsia="zh-CN"/>
        </w:rPr>
        <w:t>值</w:t>
      </w:r>
      <w:r>
        <w:rPr>
          <w:rFonts w:hint="eastAsia" w:asciiTheme="minorEastAsia" w:hAnsiTheme="minorEastAsia" w:eastAsiaTheme="minorEastAsia" w:cstheme="minorEastAsia"/>
          <w:kern w:val="2"/>
          <w:sz w:val="24"/>
          <w:szCs w:val="24"/>
          <w:lang w:eastAsia="zh-CN"/>
        </w:rPr>
        <w:t>的</w:t>
      </w:r>
      <w:r>
        <w:rPr>
          <w:rFonts w:hint="eastAsia" w:asciiTheme="minorEastAsia" w:hAnsiTheme="minorEastAsia" w:eastAsiaTheme="minorEastAsia" w:cstheme="minorEastAsia"/>
          <w:spacing w:val="-45"/>
          <w:kern w:val="2"/>
          <w:sz w:val="24"/>
          <w:szCs w:val="24"/>
          <w:lang w:eastAsia="zh-CN"/>
        </w:rPr>
        <w:t xml:space="preserve"> </w:t>
      </w:r>
      <w:r>
        <w:rPr>
          <w:rFonts w:hint="eastAsia" w:asciiTheme="minorEastAsia" w:hAnsiTheme="minorEastAsia" w:eastAsiaTheme="minorEastAsia" w:cstheme="minorEastAsia"/>
          <w:kern w:val="2"/>
          <w:sz w:val="24"/>
          <w:szCs w:val="24"/>
          <w:lang w:eastAsia="zh-CN"/>
        </w:rPr>
        <w:t>RB</w:t>
      </w:r>
      <w:r>
        <w:rPr>
          <w:rFonts w:hint="eastAsia" w:asciiTheme="minorEastAsia" w:hAnsiTheme="minorEastAsia" w:eastAsiaTheme="minorEastAsia" w:cstheme="minorEastAsia"/>
          <w:spacing w:val="-3"/>
          <w:kern w:val="2"/>
          <w:sz w:val="24"/>
          <w:szCs w:val="24"/>
          <w:lang w:eastAsia="zh-CN"/>
        </w:rPr>
        <w:t>R</w:t>
      </w:r>
      <w:r>
        <w:rPr>
          <w:rFonts w:hint="eastAsia" w:asciiTheme="minorEastAsia" w:hAnsiTheme="minorEastAsia" w:eastAsiaTheme="minorEastAsia" w:cstheme="minorEastAsia"/>
          <w:kern w:val="2"/>
          <w:sz w:val="24"/>
          <w:szCs w:val="24"/>
          <w:lang w:eastAsia="zh-CN"/>
        </w:rPr>
        <w:t>VS</w:t>
      </w:r>
      <w:r>
        <w:rPr>
          <w:rFonts w:hint="eastAsia" w:asciiTheme="minorEastAsia" w:hAnsiTheme="minorEastAsia" w:eastAsiaTheme="minorEastAsia" w:cstheme="minorEastAsia"/>
          <w:spacing w:val="-46"/>
          <w:kern w:val="2"/>
          <w:sz w:val="24"/>
          <w:szCs w:val="24"/>
          <w:lang w:eastAsia="zh-CN"/>
        </w:rPr>
        <w:t xml:space="preserve"> </w:t>
      </w:r>
      <w:r>
        <w:rPr>
          <w:rFonts w:hint="eastAsia" w:asciiTheme="minorEastAsia" w:hAnsiTheme="minorEastAsia" w:eastAsiaTheme="minorEastAsia" w:cstheme="minorEastAsia"/>
          <w:spacing w:val="-3"/>
          <w:kern w:val="2"/>
          <w:sz w:val="24"/>
          <w:szCs w:val="24"/>
          <w:lang w:eastAsia="zh-CN"/>
        </w:rPr>
        <w:t>分数</w:t>
      </w:r>
      <w:r>
        <w:rPr>
          <w:rFonts w:hint="eastAsia" w:asciiTheme="minorEastAsia" w:hAnsiTheme="minorEastAsia" w:eastAsiaTheme="minorEastAsia" w:cstheme="minorEastAsia"/>
          <w:kern w:val="2"/>
          <w:sz w:val="24"/>
          <w:szCs w:val="24"/>
          <w:lang w:eastAsia="zh-CN"/>
        </w:rPr>
        <w:t>计算医生、护理、医技人员的工作量。</w:t>
      </w:r>
    </w:p>
    <w:p w14:paraId="1B39B55C">
      <w:pPr>
        <w:widowControl w:val="0"/>
        <w:kinsoku/>
        <w:spacing w:line="360" w:lineRule="auto"/>
        <w:ind w:firstLine="460"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spacing w:val="-5"/>
          <w:kern w:val="2"/>
          <w:sz w:val="24"/>
          <w:szCs w:val="24"/>
          <w:lang w:eastAsia="zh-CN"/>
        </w:rPr>
        <w:t xml:space="preserve">实行临床、医技、护理等可执行 </w:t>
      </w:r>
      <w:r>
        <w:rPr>
          <w:rFonts w:hint="eastAsia" w:asciiTheme="minorEastAsia" w:hAnsiTheme="minorEastAsia" w:eastAsiaTheme="minorEastAsia" w:cstheme="minorEastAsia"/>
          <w:kern w:val="2"/>
          <w:sz w:val="24"/>
          <w:szCs w:val="24"/>
          <w:lang w:eastAsia="zh-CN"/>
        </w:rPr>
        <w:t>RBRVS</w:t>
      </w:r>
      <w:r>
        <w:rPr>
          <w:rFonts w:hint="eastAsia" w:asciiTheme="minorEastAsia" w:hAnsiTheme="minorEastAsia" w:eastAsiaTheme="minorEastAsia" w:cstheme="minorEastAsia"/>
          <w:spacing w:val="-42"/>
          <w:kern w:val="2"/>
          <w:sz w:val="24"/>
          <w:szCs w:val="24"/>
          <w:lang w:eastAsia="zh-CN"/>
        </w:rPr>
        <w:t xml:space="preserve"> </w:t>
      </w:r>
      <w:r>
        <w:rPr>
          <w:rFonts w:hint="eastAsia" w:asciiTheme="minorEastAsia" w:hAnsiTheme="minorEastAsia" w:eastAsiaTheme="minorEastAsia" w:cstheme="minorEastAsia"/>
          <w:spacing w:val="-3"/>
          <w:kern w:val="2"/>
          <w:sz w:val="24"/>
          <w:szCs w:val="24"/>
          <w:lang w:eastAsia="zh-CN"/>
        </w:rPr>
        <w:t>的核算单元分别进行绩效工资核算。方案</w:t>
      </w:r>
      <w:r>
        <w:rPr>
          <w:rFonts w:hint="eastAsia" w:asciiTheme="minorEastAsia" w:hAnsiTheme="minorEastAsia" w:eastAsiaTheme="minorEastAsia" w:cstheme="minorEastAsia"/>
          <w:kern w:val="2"/>
          <w:sz w:val="24"/>
          <w:szCs w:val="24"/>
          <w:lang w:eastAsia="zh-CN"/>
        </w:rPr>
        <w:t>中应当设计体现医护分开后仍能保持医、护之间合作的方法。</w:t>
      </w:r>
    </w:p>
    <w:p w14:paraId="0FEF45C5">
      <w:pPr>
        <w:widowControl w:val="0"/>
        <w:kinsoku/>
        <w:spacing w:line="360" w:lineRule="auto"/>
        <w:ind w:firstLine="480" w:firstLineChars="200"/>
        <w:textAlignment w:val="auto"/>
        <w:rPr>
          <w:rFonts w:asciiTheme="minorEastAsia" w:hAnsiTheme="minorEastAsia" w:eastAsiaTheme="minorEastAsia" w:cstheme="minorEastAsia"/>
          <w:spacing w:val="-2"/>
          <w:kern w:val="2"/>
          <w:sz w:val="24"/>
          <w:szCs w:val="24"/>
          <w:lang w:eastAsia="zh-CN"/>
        </w:rPr>
      </w:pPr>
      <w:r>
        <w:rPr>
          <w:rFonts w:hint="eastAsia" w:asciiTheme="minorEastAsia" w:hAnsiTheme="minorEastAsia" w:eastAsiaTheme="minorEastAsia" w:cstheme="minorEastAsia"/>
          <w:kern w:val="2"/>
          <w:sz w:val="24"/>
          <w:szCs w:val="24"/>
          <w:lang w:eastAsia="zh-CN"/>
        </w:rPr>
        <w:t>临床、医技科室以科室为核算单元，护理以病区护理单元为核算单元。</w:t>
      </w:r>
    </w:p>
    <w:p w14:paraId="695444A5">
      <w:pPr>
        <w:widowControl w:val="0"/>
        <w:kinsoku/>
        <w:spacing w:line="360" w:lineRule="auto"/>
        <w:ind w:firstLine="488"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spacing w:val="2"/>
          <w:kern w:val="2"/>
          <w:sz w:val="24"/>
          <w:szCs w:val="24"/>
          <w:lang w:eastAsia="zh-CN"/>
        </w:rPr>
        <w:t>对临床医生和护理建立二次分配指导意见，各核算单元实行“院科两级分配制</w:t>
      </w:r>
      <w:r>
        <w:rPr>
          <w:rFonts w:hint="eastAsia" w:asciiTheme="minorEastAsia" w:hAnsiTheme="minorEastAsia" w:eastAsiaTheme="minorEastAsia" w:cstheme="minorEastAsia"/>
          <w:kern w:val="2"/>
          <w:sz w:val="24"/>
          <w:szCs w:val="24"/>
          <w:lang w:eastAsia="zh-CN"/>
        </w:rPr>
        <w:t>度</w:t>
      </w:r>
      <w:r>
        <w:rPr>
          <w:rFonts w:hint="eastAsia" w:asciiTheme="minorEastAsia" w:hAnsiTheme="minorEastAsia" w:eastAsiaTheme="minorEastAsia" w:cstheme="minorEastAsia"/>
          <w:spacing w:val="-106"/>
          <w:kern w:val="2"/>
          <w:sz w:val="24"/>
          <w:szCs w:val="24"/>
          <w:lang w:eastAsia="zh-CN"/>
        </w:rPr>
        <w:t>”</w:t>
      </w:r>
      <w:r>
        <w:rPr>
          <w:rFonts w:hint="eastAsia" w:asciiTheme="minorEastAsia" w:hAnsiTheme="minorEastAsia" w:eastAsiaTheme="minorEastAsia" w:cstheme="minorEastAsia"/>
          <w:kern w:val="2"/>
          <w:sz w:val="24"/>
          <w:szCs w:val="24"/>
          <w:lang w:eastAsia="zh-CN"/>
        </w:rPr>
        <w:t>。</w:t>
      </w:r>
    </w:p>
    <w:p w14:paraId="60DA62FA">
      <w:pPr>
        <w:widowControl w:val="0"/>
        <w:kinsoku/>
        <w:spacing w:line="360" w:lineRule="auto"/>
        <w:ind w:firstLine="480"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使用国际通行的 RBRVS量化标准把采购人医院所执行的医疗收费项目价格转换为绩效点数，作为衡量医师、护理、医技人员的工作量的基准。</w:t>
      </w:r>
    </w:p>
    <w:p w14:paraId="35140662">
      <w:pPr>
        <w:widowControl w:val="0"/>
        <w:kinsoku/>
        <w:spacing w:line="360" w:lineRule="auto"/>
        <w:ind w:firstLine="480"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kern w:val="2"/>
          <w:sz w:val="24"/>
          <w:szCs w:val="24"/>
          <w:lang w:eastAsia="zh-CN"/>
        </w:rPr>
        <w:t>临床医师绩效工资核算方案需遵循：以公益性为导向、以</w:t>
      </w:r>
      <w:r>
        <w:rPr>
          <w:rFonts w:hint="eastAsia" w:asciiTheme="minorEastAsia" w:hAnsiTheme="minorEastAsia" w:eastAsiaTheme="minorEastAsia" w:cstheme="minorEastAsia"/>
          <w:spacing w:val="-44"/>
          <w:kern w:val="2"/>
          <w:sz w:val="24"/>
          <w:szCs w:val="24"/>
          <w:lang w:eastAsia="zh-CN"/>
        </w:rPr>
        <w:t xml:space="preserve"> </w:t>
      </w:r>
      <w:r>
        <w:rPr>
          <w:rFonts w:hint="eastAsia" w:asciiTheme="minorEastAsia" w:hAnsiTheme="minorEastAsia" w:eastAsiaTheme="minorEastAsia" w:cstheme="minorEastAsia"/>
          <w:kern w:val="2"/>
          <w:sz w:val="24"/>
          <w:szCs w:val="24"/>
          <w:lang w:eastAsia="zh-CN"/>
        </w:rPr>
        <w:t>RBRVS</w:t>
      </w:r>
      <w:r>
        <w:rPr>
          <w:rFonts w:hint="eastAsia" w:asciiTheme="minorEastAsia" w:hAnsiTheme="minorEastAsia" w:eastAsiaTheme="minorEastAsia" w:cstheme="minorEastAsia"/>
          <w:spacing w:val="-44"/>
          <w:kern w:val="2"/>
          <w:sz w:val="24"/>
          <w:szCs w:val="24"/>
          <w:lang w:eastAsia="zh-CN"/>
        </w:rPr>
        <w:t xml:space="preserve"> </w:t>
      </w:r>
      <w:r>
        <w:rPr>
          <w:rFonts w:hint="eastAsia" w:asciiTheme="minorEastAsia" w:hAnsiTheme="minorEastAsia" w:eastAsiaTheme="minorEastAsia" w:cstheme="minorEastAsia"/>
          <w:kern w:val="2"/>
          <w:sz w:val="24"/>
          <w:szCs w:val="24"/>
          <w:lang w:eastAsia="zh-CN"/>
        </w:rPr>
        <w:t>和</w:t>
      </w:r>
      <w:r>
        <w:rPr>
          <w:rFonts w:hint="eastAsia" w:asciiTheme="minorEastAsia" w:hAnsiTheme="minorEastAsia" w:eastAsiaTheme="minorEastAsia" w:cstheme="minorEastAsia"/>
          <w:spacing w:val="-41"/>
          <w:kern w:val="2"/>
          <w:sz w:val="24"/>
          <w:szCs w:val="24"/>
          <w:lang w:eastAsia="zh-CN"/>
        </w:rPr>
        <w:t xml:space="preserve"> </w:t>
      </w:r>
      <w:r>
        <w:rPr>
          <w:rFonts w:hint="eastAsia" w:asciiTheme="minorEastAsia" w:hAnsiTheme="minorEastAsia" w:eastAsiaTheme="minorEastAsia" w:cstheme="minorEastAsia"/>
          <w:kern w:val="2"/>
          <w:sz w:val="24"/>
          <w:szCs w:val="24"/>
          <w:lang w:eastAsia="zh-CN"/>
        </w:rPr>
        <w:t>DRGs</w:t>
      </w:r>
      <w:r>
        <w:rPr>
          <w:rFonts w:hint="eastAsia" w:asciiTheme="minorEastAsia" w:hAnsiTheme="minorEastAsia" w:eastAsiaTheme="minorEastAsia" w:cstheme="minorEastAsia"/>
          <w:spacing w:val="-43"/>
          <w:kern w:val="2"/>
          <w:sz w:val="24"/>
          <w:szCs w:val="24"/>
          <w:lang w:eastAsia="zh-CN"/>
        </w:rPr>
        <w:t xml:space="preserve"> </w:t>
      </w:r>
      <w:r>
        <w:rPr>
          <w:rFonts w:hint="eastAsia" w:asciiTheme="minorEastAsia" w:hAnsiTheme="minorEastAsia" w:eastAsiaTheme="minorEastAsia" w:cstheme="minorEastAsia"/>
          <w:spacing w:val="-3"/>
          <w:kern w:val="2"/>
          <w:sz w:val="24"/>
          <w:szCs w:val="24"/>
          <w:lang w:eastAsia="zh-CN"/>
        </w:rPr>
        <w:t>评价</w:t>
      </w:r>
      <w:r>
        <w:rPr>
          <w:rFonts w:hint="eastAsia" w:asciiTheme="minorEastAsia" w:hAnsiTheme="minorEastAsia" w:eastAsiaTheme="minorEastAsia" w:cstheme="minorEastAsia"/>
          <w:color w:val="auto"/>
          <w:spacing w:val="-3"/>
          <w:kern w:val="2"/>
          <w:sz w:val="24"/>
          <w:szCs w:val="24"/>
          <w:lang w:eastAsia="zh-CN"/>
        </w:rPr>
        <w:t>和DIP分值付费</w:t>
      </w:r>
      <w:r>
        <w:rPr>
          <w:rFonts w:hint="eastAsia" w:asciiTheme="minorEastAsia" w:hAnsiTheme="minorEastAsia" w:eastAsiaTheme="minorEastAsia" w:cstheme="minorEastAsia"/>
          <w:spacing w:val="-3"/>
          <w:kern w:val="2"/>
          <w:sz w:val="24"/>
          <w:szCs w:val="24"/>
          <w:lang w:eastAsia="zh-CN"/>
        </w:rPr>
        <w:t>为</w:t>
      </w:r>
      <w:r>
        <w:rPr>
          <w:rFonts w:hint="eastAsia" w:asciiTheme="minorEastAsia" w:hAnsiTheme="minorEastAsia" w:eastAsiaTheme="minorEastAsia" w:cstheme="minorEastAsia"/>
          <w:kern w:val="2"/>
          <w:sz w:val="24"/>
          <w:szCs w:val="24"/>
          <w:lang w:eastAsia="zh-CN"/>
        </w:rPr>
        <w:t>基础、以质量和成本控制为支撑原则。</w:t>
      </w:r>
    </w:p>
    <w:p w14:paraId="5C45B737">
      <w:pPr>
        <w:widowControl w:val="0"/>
        <w:kinsoku/>
        <w:autoSpaceDE/>
        <w:autoSpaceDN/>
        <w:adjustRightInd/>
        <w:spacing w:line="360" w:lineRule="auto"/>
        <w:ind w:firstLine="560"/>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医师绩效工资计算公式：医师绩效工资＝医师判读绩效＋医师执行绩效＋科室DRGs绩效－科室不计价耗材×0.5－科室其他成本×0.5－科室医师人员成本</w:t>
      </w:r>
    </w:p>
    <w:p w14:paraId="79929C1B">
      <w:pPr>
        <w:widowControl w:val="0"/>
        <w:kinsoku/>
        <w:spacing w:line="360" w:lineRule="auto"/>
        <w:ind w:firstLine="464" w:firstLineChars="200"/>
        <w:textAlignment w:val="auto"/>
        <w:rPr>
          <w:rFonts w:asciiTheme="minorEastAsia" w:hAnsiTheme="minorEastAsia" w:eastAsiaTheme="minorEastAsia" w:cstheme="minorEastAsia"/>
          <w:kern w:val="2"/>
          <w:sz w:val="24"/>
          <w:szCs w:val="24"/>
          <w:lang w:eastAsia="zh-CN"/>
        </w:rPr>
      </w:pPr>
      <w:r>
        <w:rPr>
          <w:rFonts w:hint="eastAsia" w:asciiTheme="minorEastAsia" w:hAnsiTheme="minorEastAsia" w:eastAsiaTheme="minorEastAsia" w:cstheme="minorEastAsia"/>
          <w:spacing w:val="-4"/>
          <w:kern w:val="2"/>
          <w:sz w:val="24"/>
          <w:szCs w:val="24"/>
          <w:lang w:eastAsia="zh-CN"/>
        </w:rPr>
        <w:t>护理绩效工资核算方案需遵循：以护理岗位分级为基础、以护理强度和风险为评价标准、以护理质量和成本控制为依据。方案中需要考量的因素：护理实际贡献项目、照护病人基数和照护风险、科室效率和成本管理、工作负担和工作效率衡量、护</w:t>
      </w:r>
      <w:r>
        <w:rPr>
          <w:rFonts w:hint="eastAsia" w:asciiTheme="minorEastAsia" w:hAnsiTheme="minorEastAsia" w:eastAsiaTheme="minorEastAsia" w:cstheme="minorEastAsia"/>
          <w:kern w:val="2"/>
          <w:sz w:val="24"/>
          <w:szCs w:val="24"/>
          <w:lang w:eastAsia="zh-CN"/>
        </w:rPr>
        <w:t>理质量。</w:t>
      </w:r>
    </w:p>
    <w:p w14:paraId="087BC3EE">
      <w:pPr>
        <w:widowControl w:val="0"/>
        <w:kinsoku/>
        <w:spacing w:line="360" w:lineRule="auto"/>
        <w:ind w:firstLine="464" w:firstLineChars="200"/>
        <w:textAlignment w:val="auto"/>
        <w:rPr>
          <w:rFonts w:asciiTheme="minorEastAsia" w:hAnsiTheme="minorEastAsia" w:eastAsiaTheme="minorEastAsia" w:cstheme="minorEastAsia"/>
          <w:color w:val="auto"/>
          <w:kern w:val="2"/>
          <w:sz w:val="24"/>
          <w:szCs w:val="24"/>
          <w:lang w:eastAsia="zh-CN"/>
        </w:rPr>
      </w:pPr>
      <w:r>
        <w:rPr>
          <w:rFonts w:hint="eastAsia" w:asciiTheme="minorEastAsia" w:hAnsiTheme="minorEastAsia" w:eastAsiaTheme="minorEastAsia" w:cstheme="minorEastAsia"/>
          <w:spacing w:val="-4"/>
          <w:kern w:val="2"/>
          <w:sz w:val="24"/>
          <w:szCs w:val="24"/>
          <w:lang w:eastAsia="zh-CN"/>
        </w:rPr>
        <w:t>护理绩效工资核算公式：</w:t>
      </w:r>
      <w:r>
        <w:rPr>
          <w:rFonts w:hint="eastAsia" w:asciiTheme="minorEastAsia" w:hAnsiTheme="minorEastAsia" w:eastAsiaTheme="minorEastAsia" w:cstheme="minorEastAsia"/>
          <w:kern w:val="2"/>
          <w:sz w:val="24"/>
          <w:szCs w:val="24"/>
          <w:lang w:eastAsia="zh-CN"/>
        </w:rPr>
        <w:t>护理工作量绩效＝护理直接贡献绩效＋护理照护人次绩效+</w:t>
      </w:r>
      <w:r>
        <w:rPr>
          <w:rFonts w:hint="eastAsia" w:asciiTheme="minorEastAsia" w:hAnsiTheme="minorEastAsia" w:eastAsiaTheme="minorEastAsia" w:cstheme="minorEastAsia"/>
          <w:color w:val="auto"/>
          <w:kern w:val="2"/>
          <w:sz w:val="24"/>
          <w:szCs w:val="24"/>
          <w:lang w:eastAsia="zh-CN"/>
        </w:rPr>
        <w:t>护理风险绩效－科室不计价耗材×0.5－科室其他成本×0.5－科室护理人员成本。</w:t>
      </w:r>
    </w:p>
    <w:p w14:paraId="0F18285A">
      <w:pPr>
        <w:widowControl w:val="0"/>
        <w:kinsoku/>
        <w:spacing w:line="360" w:lineRule="auto"/>
        <w:ind w:firstLine="480" w:firstLineChars="200"/>
        <w:textAlignment w:val="auto"/>
        <w:rPr>
          <w:rFonts w:asciiTheme="minorEastAsia" w:hAnsiTheme="minorEastAsia" w:eastAsiaTheme="minorEastAsia" w:cstheme="minorEastAsia"/>
          <w:color w:val="auto"/>
          <w:kern w:val="2"/>
          <w:sz w:val="24"/>
          <w:szCs w:val="24"/>
          <w:lang w:eastAsia="zh-CN"/>
        </w:rPr>
      </w:pPr>
      <w:r>
        <w:rPr>
          <w:rFonts w:hint="eastAsia" w:asciiTheme="minorEastAsia" w:hAnsiTheme="minorEastAsia" w:eastAsiaTheme="minorEastAsia" w:cstheme="minorEastAsia"/>
          <w:color w:val="auto"/>
          <w:kern w:val="2"/>
          <w:sz w:val="24"/>
          <w:szCs w:val="24"/>
          <w:lang w:eastAsia="zh-CN"/>
        </w:rPr>
        <w:t>医技科室绩效工资核算公式：医技医辅工作量绩效＝判读绩效＋执行绩效－科室不计价耗材－科室其他成本－科室人员成本</w:t>
      </w:r>
    </w:p>
    <w:p w14:paraId="2CD0C296">
      <w:pPr>
        <w:widowControl w:val="0"/>
        <w:tabs>
          <w:tab w:val="left" w:pos="1363"/>
        </w:tabs>
        <w:kinsoku/>
        <w:spacing w:before="71" w:line="360" w:lineRule="auto"/>
        <w:ind w:left="103" w:firstLine="560"/>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方案能提供护理时数实际测量数据或医技类工作量权重实绩测量数据。</w:t>
      </w:r>
    </w:p>
    <w:p w14:paraId="5FC5CFAE">
      <w:pPr>
        <w:widowControl w:val="0"/>
        <w:tabs>
          <w:tab w:val="left" w:pos="1363"/>
        </w:tabs>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方案能进行医、护、技不同职系人员绩效系统核算</w:t>
      </w:r>
      <w:r>
        <w:rPr>
          <w:rFonts w:hint="eastAsia" w:asciiTheme="minorEastAsia" w:hAnsiTheme="minorEastAsia" w:eastAsiaTheme="minorEastAsia" w:cstheme="minorEastAsia"/>
          <w:color w:val="auto"/>
          <w:sz w:val="24"/>
          <w:szCs w:val="24"/>
          <w:lang w:eastAsia="zh-CN"/>
        </w:rPr>
        <w:t>及成本管理核算。</w:t>
      </w:r>
    </w:p>
    <w:p w14:paraId="42BD2239">
      <w:pPr>
        <w:widowControl w:val="0"/>
        <w:tabs>
          <w:tab w:val="left" w:pos="1363"/>
        </w:tabs>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方案中应当体现服务量因素。把门诊人次、出院人次、占床日、量化为绩效</w:t>
      </w:r>
      <w:r>
        <w:rPr>
          <w:rFonts w:hint="eastAsia" w:asciiTheme="minorEastAsia" w:hAnsiTheme="minorEastAsia" w:eastAsiaTheme="minorEastAsia" w:cstheme="minorEastAsia"/>
          <w:color w:val="auto"/>
          <w:sz w:val="24"/>
          <w:szCs w:val="24"/>
          <w:lang w:eastAsia="zh-CN"/>
        </w:rPr>
        <w:t>点数，服务量的绩效点数应当可以对应医保政策进行调整。</w:t>
      </w:r>
    </w:p>
    <w:p w14:paraId="6CD6C0A4">
      <w:pPr>
        <w:widowControl w:val="0"/>
        <w:tabs>
          <w:tab w:val="left" w:pos="1363"/>
        </w:tabs>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方案中应当体现临床医生在研判分析检查、检验结果的劳动付出，但是不能</w:t>
      </w:r>
      <w:r>
        <w:rPr>
          <w:rFonts w:hint="eastAsia" w:asciiTheme="minorEastAsia" w:hAnsiTheme="minorEastAsia" w:eastAsiaTheme="minorEastAsia" w:cstheme="minorEastAsia"/>
          <w:color w:val="auto"/>
          <w:sz w:val="24"/>
          <w:szCs w:val="24"/>
          <w:lang w:eastAsia="zh-CN"/>
        </w:rPr>
        <w:t>以检查和检验项目的收入衡量医务人员的劳动付出。</w:t>
      </w:r>
    </w:p>
    <w:p w14:paraId="05A94EEA">
      <w:pPr>
        <w:widowControl w:val="0"/>
        <w:tabs>
          <w:tab w:val="left" w:pos="1363"/>
        </w:tabs>
        <w:kinsoku/>
        <w:spacing w:before="71" w:line="360" w:lineRule="auto"/>
        <w:ind w:left="103" w:firstLine="560"/>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所有核算单元的可控成本均应当纳入绩效工资核算管理。</w:t>
      </w:r>
    </w:p>
    <w:p w14:paraId="4B4519E2">
      <w:pPr>
        <w:widowControl w:val="0"/>
        <w:tabs>
          <w:tab w:val="left" w:pos="1363"/>
        </w:tabs>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中标人应当协助医院在等级医院管理、高水平医院建设、医药绩效评价及医</w:t>
      </w:r>
      <w:r>
        <w:rPr>
          <w:rFonts w:hint="eastAsia" w:asciiTheme="minorEastAsia" w:hAnsiTheme="minorEastAsia" w:eastAsiaTheme="minorEastAsia" w:cstheme="minorEastAsia"/>
          <w:color w:val="auto"/>
          <w:sz w:val="24"/>
          <w:szCs w:val="24"/>
          <w:lang w:eastAsia="zh-CN"/>
        </w:rPr>
        <w:t>院内部管理指标中，提取关键业绩指标，作为新方案中的关键业绩指标。</w:t>
      </w:r>
    </w:p>
    <w:p w14:paraId="34FED9C1">
      <w:pPr>
        <w:widowControl w:val="0"/>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中标人负责整个绩效方案及系统的数据测算，协助医院对历史数据进行前期准备、从相关科室提取绩效数据，依据历史数据通过数学建模方法测算出参数，使测算结</w:t>
      </w:r>
      <w:r>
        <w:rPr>
          <w:rFonts w:hint="eastAsia" w:asciiTheme="minorEastAsia" w:hAnsiTheme="minorEastAsia" w:eastAsiaTheme="minorEastAsia" w:cstheme="minorEastAsia"/>
          <w:color w:val="auto"/>
          <w:sz w:val="24"/>
          <w:szCs w:val="24"/>
          <w:lang w:eastAsia="zh-CN"/>
        </w:rPr>
        <w:t>果符合医院绩效管理的要求。</w:t>
      </w:r>
    </w:p>
    <w:p w14:paraId="2FF4951C">
      <w:pPr>
        <w:widowControl w:val="0"/>
        <w:tabs>
          <w:tab w:val="left" w:pos="1363"/>
        </w:tabs>
        <w:kinsoku/>
        <w:spacing w:before="71" w:line="360" w:lineRule="auto"/>
        <w:ind w:left="103" w:firstLine="544"/>
        <w:textAlignment w:val="auto"/>
        <w:rPr>
          <w:rFonts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pacing w:val="-4"/>
          <w:sz w:val="24"/>
          <w:szCs w:val="24"/>
          <w:lang w:eastAsia="zh-CN"/>
        </w:rPr>
        <w:t>对于绩效数据的测算结果，中标人应配合对采购人临床、医技等各科室做好</w:t>
      </w:r>
      <w:r>
        <w:rPr>
          <w:rFonts w:hint="eastAsia" w:asciiTheme="minorEastAsia" w:hAnsiTheme="minorEastAsia" w:eastAsiaTheme="minorEastAsia" w:cstheme="minorEastAsia"/>
          <w:color w:val="auto"/>
          <w:sz w:val="24"/>
          <w:szCs w:val="24"/>
          <w:lang w:eastAsia="zh-CN"/>
        </w:rPr>
        <w:t>解释沟通工作，确保绩效方案的稳妥实施和绩效核算管理系统的正常运行。</w:t>
      </w:r>
    </w:p>
    <w:p w14:paraId="55091E66">
      <w:pPr>
        <w:widowControl w:val="0"/>
        <w:kinsoku/>
        <w:spacing w:line="360" w:lineRule="auto"/>
        <w:ind w:firstLine="464" w:firstLineChars="200"/>
        <w:textAlignment w:val="auto"/>
        <w:rPr>
          <w:rFonts w:asciiTheme="minorEastAsia" w:hAnsiTheme="minorEastAsia" w:eastAsiaTheme="minorEastAsia" w:cstheme="minorEastAsia"/>
          <w:color w:val="auto"/>
          <w:spacing w:val="-4"/>
          <w:kern w:val="2"/>
          <w:sz w:val="24"/>
          <w:szCs w:val="24"/>
          <w:lang w:eastAsia="zh-CN"/>
        </w:rPr>
      </w:pPr>
      <w:r>
        <w:rPr>
          <w:rFonts w:hint="eastAsia" w:asciiTheme="minorEastAsia" w:hAnsiTheme="minorEastAsia" w:eastAsiaTheme="minorEastAsia" w:cstheme="minorEastAsia"/>
          <w:spacing w:val="-4"/>
          <w:kern w:val="2"/>
          <w:sz w:val="24"/>
          <w:szCs w:val="24"/>
          <w:lang w:eastAsia="zh-CN"/>
        </w:rPr>
        <w:t>方案中综合目标考核应满足：从质量、效率、医保、财务、服务、科研教学等维度进行综合考核。考核指标、考核目标设置及具体比例，结合医院实际，由</w:t>
      </w:r>
      <w:r>
        <w:rPr>
          <w:rFonts w:hint="eastAsia" w:asciiTheme="minorEastAsia" w:hAnsiTheme="minorEastAsia" w:eastAsiaTheme="minorEastAsia" w:cstheme="minorEastAsia"/>
          <w:color w:val="auto"/>
          <w:spacing w:val="-4"/>
          <w:kern w:val="2"/>
          <w:sz w:val="24"/>
          <w:szCs w:val="24"/>
          <w:lang w:eastAsia="zh-CN"/>
        </w:rPr>
        <w:t>医院讨论另行制定。</w:t>
      </w:r>
    </w:p>
    <w:p w14:paraId="4A7F385B">
      <w:pPr>
        <w:widowControl w:val="0"/>
        <w:kinsoku/>
        <w:spacing w:line="360" w:lineRule="auto"/>
        <w:ind w:firstLine="544"/>
        <w:textAlignment w:val="auto"/>
        <w:rPr>
          <w:rFonts w:hint="eastAsia" w:asciiTheme="minorEastAsia" w:hAnsiTheme="minorEastAsia" w:eastAsiaTheme="minorEastAsia" w:cstheme="minorEastAsia"/>
          <w:b w:val="0"/>
          <w:bCs w:val="0"/>
          <w:snapToGrid/>
          <w:color w:val="auto"/>
          <w:spacing w:val="-4"/>
          <w:sz w:val="24"/>
          <w:szCs w:val="24"/>
          <w:lang w:eastAsia="zh-CN"/>
        </w:rPr>
      </w:pPr>
      <w:r>
        <w:rPr>
          <w:rFonts w:hint="eastAsia" w:asciiTheme="minorEastAsia" w:hAnsiTheme="minorEastAsia" w:eastAsiaTheme="minorEastAsia" w:cstheme="minorEastAsia"/>
          <w:b w:val="0"/>
          <w:bCs w:val="0"/>
          <w:snapToGrid/>
          <w:color w:val="auto"/>
          <w:spacing w:val="-4"/>
          <w:sz w:val="24"/>
          <w:szCs w:val="24"/>
          <w:lang w:eastAsia="zh-CN"/>
        </w:rPr>
        <w:t>建立医院综合目标考核指标库：围绕二</w:t>
      </w:r>
      <w:r>
        <w:rPr>
          <w:rFonts w:hint="eastAsia" w:asciiTheme="minorEastAsia" w:hAnsiTheme="minorEastAsia" w:eastAsiaTheme="minorEastAsia" w:cstheme="minorEastAsia"/>
          <w:b w:val="0"/>
          <w:bCs w:val="0"/>
          <w:snapToGrid/>
          <w:color w:val="auto"/>
          <w:sz w:val="24"/>
          <w:szCs w:val="24"/>
          <w:lang w:eastAsia="zh-CN"/>
        </w:rPr>
        <w:t>级</w:t>
      </w:r>
      <w:r>
        <w:rPr>
          <w:rFonts w:hint="eastAsia" w:asciiTheme="minorEastAsia" w:hAnsiTheme="minorEastAsia" w:eastAsiaTheme="minorEastAsia" w:cstheme="minorEastAsia"/>
          <w:b w:val="0"/>
          <w:bCs w:val="0"/>
          <w:snapToGrid/>
          <w:color w:val="auto"/>
          <w:spacing w:val="-4"/>
          <w:sz w:val="24"/>
          <w:szCs w:val="24"/>
          <w:lang w:eastAsia="zh-CN"/>
        </w:rPr>
        <w:t>公立中医院绩效考核指标（跟随政策调整而调整），建立医院综合目标考核库，根据中医院的发展需求，对每个考核指标赋以不同的权重；结合本院实际，提供适合公立中医院综合目标考核指标，考核目标设置及具体比例，由医院另行制定考核细则；建立医院绩效考核指标库系统，系统支持关键业绩指标的提取、录入、汇总、计算等功能。</w:t>
      </w:r>
    </w:p>
    <w:p w14:paraId="04DE728E">
      <w:pPr>
        <w:widowControl w:val="0"/>
        <w:kinsoku/>
        <w:spacing w:line="360" w:lineRule="auto"/>
        <w:ind w:firstLine="544"/>
        <w:textAlignment w:val="auto"/>
        <w:rPr>
          <w:rFonts w:hint="eastAsia" w:asciiTheme="minorEastAsia" w:hAnsiTheme="minorEastAsia" w:eastAsiaTheme="minorEastAsia" w:cstheme="minorEastAsia"/>
          <w:b w:val="0"/>
          <w:bCs w:val="0"/>
          <w:snapToGrid/>
          <w:color w:val="auto"/>
          <w:spacing w:val="-4"/>
          <w:sz w:val="24"/>
          <w:szCs w:val="24"/>
          <w:lang w:eastAsia="zh-CN"/>
        </w:rPr>
      </w:pPr>
      <w:bookmarkStart w:id="4" w:name="_Toc6095"/>
      <w:r>
        <w:rPr>
          <w:rFonts w:hint="eastAsia" w:asciiTheme="minorEastAsia" w:hAnsiTheme="minorEastAsia" w:eastAsiaTheme="minorEastAsia" w:cstheme="minorEastAsia"/>
          <w:b w:val="0"/>
          <w:bCs w:val="0"/>
          <w:snapToGrid/>
          <w:color w:val="auto"/>
          <w:spacing w:val="-4"/>
          <w:sz w:val="24"/>
          <w:szCs w:val="24"/>
          <w:lang w:val="en-US" w:eastAsia="zh-CN"/>
        </w:rPr>
        <w:t xml:space="preserve">3.1.2 </w:t>
      </w:r>
      <w:r>
        <w:rPr>
          <w:rFonts w:hint="eastAsia" w:asciiTheme="minorEastAsia" w:hAnsiTheme="minorEastAsia" w:eastAsiaTheme="minorEastAsia" w:cstheme="minorEastAsia"/>
          <w:b w:val="0"/>
          <w:bCs w:val="0"/>
          <w:snapToGrid/>
          <w:color w:val="auto"/>
          <w:spacing w:val="-4"/>
          <w:sz w:val="24"/>
          <w:szCs w:val="24"/>
          <w:lang w:eastAsia="zh-CN"/>
        </w:rPr>
        <w:t>绩效管理方案实施内容</w:t>
      </w:r>
      <w:bookmarkEnd w:id="4"/>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7"/>
        <w:gridCol w:w="3187"/>
        <w:gridCol w:w="2724"/>
        <w:gridCol w:w="1251"/>
      </w:tblGrid>
      <w:tr w14:paraId="78241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96" w:type="pct"/>
            <w:vAlign w:val="center"/>
          </w:tcPr>
          <w:p w14:paraId="64DD5D1E">
            <w:pPr>
              <w:widowControl w:val="0"/>
              <w:kinsoku/>
              <w:autoSpaceDE/>
              <w:autoSpaceDN/>
              <w:adjustRightInd/>
              <w:spacing w:line="360" w:lineRule="auto"/>
              <w:jc w:val="center"/>
              <w:textAlignment w:val="auto"/>
              <w:rPr>
                <w:rFonts w:asciiTheme="minorEastAsia" w:hAnsiTheme="minorEastAsia" w:eastAsiaTheme="minorEastAsia" w:cstheme="minorEastAsia"/>
                <w:b/>
                <w:snapToGrid/>
                <w:sz w:val="24"/>
                <w:szCs w:val="24"/>
                <w:lang w:eastAsia="zh-CN"/>
              </w:rPr>
            </w:pPr>
            <w:r>
              <w:rPr>
                <w:rFonts w:hint="eastAsia" w:asciiTheme="minorEastAsia" w:hAnsiTheme="minorEastAsia" w:eastAsiaTheme="minorEastAsia" w:cstheme="minorEastAsia"/>
                <w:b/>
                <w:snapToGrid/>
                <w:sz w:val="24"/>
                <w:szCs w:val="24"/>
                <w:lang w:eastAsia="zh-CN"/>
              </w:rPr>
              <w:t>板块</w:t>
            </w:r>
          </w:p>
        </w:tc>
        <w:tc>
          <w:tcPr>
            <w:tcW w:w="1870" w:type="pct"/>
            <w:vAlign w:val="center"/>
          </w:tcPr>
          <w:p w14:paraId="1B4A3632">
            <w:pPr>
              <w:widowControl w:val="0"/>
              <w:kinsoku/>
              <w:autoSpaceDE/>
              <w:autoSpaceDN/>
              <w:adjustRightInd/>
              <w:spacing w:line="360" w:lineRule="auto"/>
              <w:jc w:val="center"/>
              <w:textAlignment w:val="auto"/>
              <w:rPr>
                <w:rFonts w:asciiTheme="minorEastAsia" w:hAnsiTheme="minorEastAsia" w:eastAsiaTheme="minorEastAsia" w:cstheme="minorEastAsia"/>
                <w:b/>
                <w:snapToGrid/>
                <w:sz w:val="24"/>
                <w:szCs w:val="24"/>
                <w:lang w:eastAsia="zh-CN"/>
              </w:rPr>
            </w:pPr>
            <w:r>
              <w:rPr>
                <w:rFonts w:hint="eastAsia" w:asciiTheme="minorEastAsia" w:hAnsiTheme="minorEastAsia" w:eastAsiaTheme="minorEastAsia" w:cstheme="minorEastAsia"/>
                <w:b/>
                <w:snapToGrid/>
                <w:sz w:val="24"/>
                <w:szCs w:val="24"/>
                <w:lang w:eastAsia="zh-CN"/>
              </w:rPr>
              <w:t>板块内容</w:t>
            </w:r>
          </w:p>
        </w:tc>
        <w:tc>
          <w:tcPr>
            <w:tcW w:w="1598" w:type="pct"/>
            <w:vAlign w:val="center"/>
          </w:tcPr>
          <w:p w14:paraId="090DDE08">
            <w:pPr>
              <w:widowControl w:val="0"/>
              <w:kinsoku/>
              <w:autoSpaceDE/>
              <w:autoSpaceDN/>
              <w:adjustRightInd/>
              <w:spacing w:line="360" w:lineRule="auto"/>
              <w:jc w:val="center"/>
              <w:textAlignment w:val="auto"/>
              <w:rPr>
                <w:rFonts w:asciiTheme="minorEastAsia" w:hAnsiTheme="minorEastAsia" w:eastAsiaTheme="minorEastAsia" w:cstheme="minorEastAsia"/>
                <w:b/>
                <w:snapToGrid/>
                <w:sz w:val="24"/>
                <w:szCs w:val="24"/>
                <w:lang w:eastAsia="zh-CN"/>
              </w:rPr>
            </w:pPr>
            <w:r>
              <w:rPr>
                <w:rFonts w:hint="eastAsia" w:asciiTheme="minorEastAsia" w:hAnsiTheme="minorEastAsia" w:eastAsiaTheme="minorEastAsia" w:cstheme="minorEastAsia"/>
                <w:b/>
                <w:snapToGrid/>
                <w:sz w:val="24"/>
                <w:szCs w:val="24"/>
                <w:lang w:eastAsia="zh-CN"/>
              </w:rPr>
              <w:t>工作量说明</w:t>
            </w:r>
          </w:p>
        </w:tc>
        <w:tc>
          <w:tcPr>
            <w:tcW w:w="734" w:type="pct"/>
            <w:vAlign w:val="center"/>
          </w:tcPr>
          <w:p w14:paraId="740B7F6B">
            <w:pPr>
              <w:widowControl w:val="0"/>
              <w:kinsoku/>
              <w:autoSpaceDE/>
              <w:autoSpaceDN/>
              <w:adjustRightInd/>
              <w:spacing w:line="360" w:lineRule="auto"/>
              <w:jc w:val="center"/>
              <w:textAlignment w:val="auto"/>
              <w:rPr>
                <w:rFonts w:asciiTheme="minorEastAsia" w:hAnsiTheme="minorEastAsia" w:eastAsiaTheme="minorEastAsia" w:cstheme="minorEastAsia"/>
                <w:b/>
                <w:snapToGrid/>
                <w:sz w:val="24"/>
                <w:szCs w:val="24"/>
                <w:lang w:eastAsia="zh-CN"/>
              </w:rPr>
            </w:pPr>
            <w:r>
              <w:rPr>
                <w:rFonts w:hint="eastAsia" w:asciiTheme="minorEastAsia" w:hAnsiTheme="minorEastAsia" w:eastAsiaTheme="minorEastAsia" w:cstheme="minorEastAsia"/>
                <w:b/>
                <w:snapToGrid/>
                <w:sz w:val="24"/>
                <w:szCs w:val="24"/>
                <w:lang w:eastAsia="zh-CN"/>
              </w:rPr>
              <w:t>备注</w:t>
            </w:r>
          </w:p>
        </w:tc>
      </w:tr>
      <w:tr w14:paraId="60865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8" w:hRule="atLeast"/>
          <w:jc w:val="center"/>
        </w:trPr>
        <w:tc>
          <w:tcPr>
            <w:tcW w:w="796" w:type="pct"/>
            <w:vAlign w:val="center"/>
          </w:tcPr>
          <w:p w14:paraId="1B1290D0">
            <w:pPr>
              <w:widowControl w:val="0"/>
              <w:kinsoku/>
              <w:autoSpaceDE/>
              <w:autoSpaceDN/>
              <w:adjustRightInd/>
              <w:spacing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医、护、技绩效方案</w:t>
            </w:r>
          </w:p>
        </w:tc>
        <w:tc>
          <w:tcPr>
            <w:tcW w:w="1870" w:type="pct"/>
          </w:tcPr>
          <w:p w14:paraId="324A3662">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1.医护技RBRVS基准设定</w:t>
            </w:r>
          </w:p>
          <w:p w14:paraId="641517A1">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2.医护技绩效公式参数设定</w:t>
            </w:r>
          </w:p>
          <w:p w14:paraId="18386703">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3.医护技工作量明细查询</w:t>
            </w:r>
          </w:p>
          <w:p w14:paraId="46D4AAAB">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4.医护技绩效考核指标设定</w:t>
            </w:r>
          </w:p>
          <w:p w14:paraId="67A42E05">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5.医护技绩效工资分配设定</w:t>
            </w:r>
          </w:p>
          <w:p w14:paraId="20867619">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6.DRGs绩效工资设定</w:t>
            </w:r>
          </w:p>
        </w:tc>
        <w:tc>
          <w:tcPr>
            <w:tcW w:w="1598" w:type="pct"/>
          </w:tcPr>
          <w:p w14:paraId="616D4F5B">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1.全面导入RBRVS</w:t>
            </w:r>
          </w:p>
          <w:p w14:paraId="398A51B1">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2.RBRVS工作量测试</w:t>
            </w:r>
          </w:p>
          <w:p w14:paraId="0A6CC1E7">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3.2~3次科室访谈、培训，与科室沟通达成共识并提供科室确认的文字说明</w:t>
            </w:r>
          </w:p>
          <w:p w14:paraId="09578327">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4.客制化系统配置</w:t>
            </w:r>
          </w:p>
        </w:tc>
        <w:tc>
          <w:tcPr>
            <w:tcW w:w="734" w:type="pct"/>
            <w:vMerge w:val="restart"/>
            <w:vAlign w:val="center"/>
          </w:tcPr>
          <w:p w14:paraId="7D4F2689">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符合新医改政策要求，结合医保支付制度改革，设计客制化绩效考核方案，全面实现医院精细化绩效管理目标</w:t>
            </w:r>
          </w:p>
        </w:tc>
      </w:tr>
      <w:tr w14:paraId="3DE53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jc w:val="center"/>
        </w:trPr>
        <w:tc>
          <w:tcPr>
            <w:tcW w:w="796" w:type="pct"/>
            <w:vAlign w:val="center"/>
          </w:tcPr>
          <w:p w14:paraId="1DF313E4">
            <w:pPr>
              <w:widowControl w:val="0"/>
              <w:kinsoku/>
              <w:autoSpaceDE/>
              <w:autoSpaceDN/>
              <w:adjustRightInd/>
              <w:spacing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行政后勤绩效方案改革模块</w:t>
            </w:r>
          </w:p>
        </w:tc>
        <w:tc>
          <w:tcPr>
            <w:tcW w:w="1870" w:type="pct"/>
            <w:vAlign w:val="center"/>
          </w:tcPr>
          <w:p w14:paraId="114EDB1C">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提供行政后勤人员绩效核算与考核方案参考</w:t>
            </w:r>
          </w:p>
        </w:tc>
        <w:tc>
          <w:tcPr>
            <w:tcW w:w="1598" w:type="pct"/>
            <w:vAlign w:val="center"/>
          </w:tcPr>
          <w:p w14:paraId="19388D60">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测算各岗位绩效系数</w:t>
            </w:r>
          </w:p>
        </w:tc>
        <w:tc>
          <w:tcPr>
            <w:tcW w:w="734" w:type="pct"/>
            <w:vMerge w:val="continue"/>
            <w:vAlign w:val="center"/>
          </w:tcPr>
          <w:p w14:paraId="29946B4D">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p>
        </w:tc>
      </w:tr>
      <w:tr w14:paraId="4D1E4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8" w:hRule="atLeast"/>
          <w:jc w:val="center"/>
        </w:trPr>
        <w:tc>
          <w:tcPr>
            <w:tcW w:w="796" w:type="pct"/>
            <w:vAlign w:val="center"/>
          </w:tcPr>
          <w:p w14:paraId="1C9A95C2">
            <w:pPr>
              <w:widowControl w:val="0"/>
              <w:kinsoku/>
              <w:autoSpaceDE/>
              <w:autoSpaceDN/>
              <w:adjustRightInd/>
              <w:spacing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科室可控成本核算模块、支出明细分析系统</w:t>
            </w:r>
          </w:p>
        </w:tc>
        <w:tc>
          <w:tcPr>
            <w:tcW w:w="1870" w:type="pct"/>
            <w:vAlign w:val="center"/>
          </w:tcPr>
          <w:p w14:paraId="716FF3FD">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1.科室可控成本分类管理</w:t>
            </w:r>
          </w:p>
          <w:p w14:paraId="6EF019CF">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2.科室可控成本领用跟踪</w:t>
            </w:r>
          </w:p>
          <w:p w14:paraId="0C1AFF6E">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3.科室可控成本耗用分析</w:t>
            </w:r>
          </w:p>
        </w:tc>
        <w:tc>
          <w:tcPr>
            <w:tcW w:w="1598" w:type="pct"/>
          </w:tcPr>
          <w:p w14:paraId="02C5E1BA">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1.科室可控成本耗用调查</w:t>
            </w:r>
          </w:p>
          <w:p w14:paraId="7C7149F9">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2.科室可控成本核算设计</w:t>
            </w:r>
          </w:p>
          <w:p w14:paraId="212FD883">
            <w:pPr>
              <w:widowControl w:val="0"/>
              <w:kinsoku/>
              <w:autoSpaceDE/>
              <w:autoSpaceDN/>
              <w:adjustRightInd/>
              <w:spacing w:line="360" w:lineRule="auto"/>
              <w:jc w:val="both"/>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3.科室可控成本使用分析</w:t>
            </w:r>
          </w:p>
        </w:tc>
        <w:tc>
          <w:tcPr>
            <w:tcW w:w="734" w:type="pct"/>
            <w:vMerge w:val="continue"/>
            <w:vAlign w:val="center"/>
          </w:tcPr>
          <w:p w14:paraId="4391D828">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p>
        </w:tc>
      </w:tr>
      <w:tr w14:paraId="0BDEF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796" w:type="pct"/>
            <w:vAlign w:val="center"/>
          </w:tcPr>
          <w:p w14:paraId="1D18540B">
            <w:pPr>
              <w:widowControl w:val="0"/>
              <w:kinsoku/>
              <w:autoSpaceDE/>
              <w:autoSpaceDN/>
              <w:adjustRightInd/>
              <w:spacing w:line="360" w:lineRule="auto"/>
              <w:jc w:val="center"/>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医院绩效考核指标库模块</w:t>
            </w:r>
          </w:p>
        </w:tc>
        <w:tc>
          <w:tcPr>
            <w:tcW w:w="1870" w:type="pct"/>
            <w:vAlign w:val="center"/>
          </w:tcPr>
          <w:p w14:paraId="495CE2F1">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1.医院绩效考核指标库和明细的指标设定</w:t>
            </w:r>
          </w:p>
          <w:p w14:paraId="0B7B1331">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2.医院绩效考核指标库各考核指标计算公式设定</w:t>
            </w:r>
          </w:p>
          <w:p w14:paraId="0B9BF7E6">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3.医院绩效考核指标查询、汇总功能设定</w:t>
            </w:r>
          </w:p>
        </w:tc>
        <w:tc>
          <w:tcPr>
            <w:tcW w:w="1598" w:type="pct"/>
            <w:vAlign w:val="center"/>
          </w:tcPr>
          <w:p w14:paraId="7981F5C3">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1.指标分类设定</w:t>
            </w:r>
          </w:p>
          <w:p w14:paraId="09BE376C">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2.指标计算公式设定</w:t>
            </w:r>
          </w:p>
          <w:p w14:paraId="6160EE31">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r>
              <w:rPr>
                <w:rFonts w:hint="eastAsia" w:asciiTheme="minorEastAsia" w:hAnsiTheme="minorEastAsia" w:eastAsiaTheme="minorEastAsia" w:cstheme="minorEastAsia"/>
                <w:snapToGrid/>
                <w:sz w:val="24"/>
                <w:szCs w:val="24"/>
                <w:lang w:eastAsia="zh-CN"/>
              </w:rPr>
              <w:t>3.指标明细对比分析</w:t>
            </w:r>
          </w:p>
        </w:tc>
        <w:tc>
          <w:tcPr>
            <w:tcW w:w="734" w:type="pct"/>
            <w:vMerge w:val="continue"/>
            <w:vAlign w:val="center"/>
          </w:tcPr>
          <w:p w14:paraId="5E9EC456">
            <w:pPr>
              <w:widowControl w:val="0"/>
              <w:kinsoku/>
              <w:autoSpaceDE/>
              <w:autoSpaceDN/>
              <w:adjustRightInd/>
              <w:spacing w:line="360" w:lineRule="auto"/>
              <w:textAlignment w:val="auto"/>
              <w:rPr>
                <w:rFonts w:asciiTheme="minorEastAsia" w:hAnsiTheme="minorEastAsia" w:eastAsiaTheme="minorEastAsia" w:cstheme="minorEastAsia"/>
                <w:snapToGrid/>
                <w:sz w:val="24"/>
                <w:szCs w:val="24"/>
                <w:lang w:eastAsia="zh-CN"/>
              </w:rPr>
            </w:pPr>
          </w:p>
        </w:tc>
      </w:tr>
    </w:tbl>
    <w:p w14:paraId="04DEACC4">
      <w:pPr>
        <w:widowControl w:val="0"/>
        <w:numPr>
          <w:ilvl w:val="0"/>
          <w:numId w:val="2"/>
        </w:numPr>
        <w:kinsoku/>
        <w:spacing w:line="360" w:lineRule="auto"/>
        <w:ind w:firstLine="544"/>
        <w:textAlignment w:val="auto"/>
        <w:rPr>
          <w:rFonts w:asciiTheme="minorEastAsia" w:hAnsiTheme="minorEastAsia" w:eastAsiaTheme="minorEastAsia" w:cstheme="minorEastAsia"/>
          <w:snapToGrid/>
          <w:spacing w:val="-4"/>
          <w:sz w:val="24"/>
          <w:szCs w:val="24"/>
          <w:lang w:eastAsia="zh-CN"/>
        </w:rPr>
      </w:pPr>
      <w:r>
        <w:rPr>
          <w:rFonts w:hint="eastAsia" w:asciiTheme="minorEastAsia" w:hAnsiTheme="minorEastAsia" w:eastAsiaTheme="minorEastAsia" w:cstheme="minorEastAsia"/>
          <w:snapToGrid/>
          <w:spacing w:val="-4"/>
          <w:sz w:val="24"/>
          <w:szCs w:val="24"/>
          <w:lang w:eastAsia="zh-CN"/>
        </w:rPr>
        <w:t>供应商拟派入本项目服务团队至少4人，能完全满足本项目的质量和进度要求；</w:t>
      </w:r>
    </w:p>
    <w:p w14:paraId="6D969F76">
      <w:pPr>
        <w:widowControl w:val="0"/>
        <w:kinsoku/>
        <w:spacing w:line="360" w:lineRule="auto"/>
        <w:ind w:firstLine="696" w:firstLineChars="300"/>
        <w:textAlignment w:val="auto"/>
        <w:rPr>
          <w:rFonts w:asciiTheme="minorEastAsia" w:hAnsiTheme="minorEastAsia" w:eastAsiaTheme="minorEastAsia" w:cstheme="minorEastAsia"/>
          <w:snapToGrid/>
          <w:spacing w:val="-4"/>
          <w:sz w:val="24"/>
          <w:szCs w:val="24"/>
          <w:lang w:eastAsia="zh-CN"/>
        </w:rPr>
      </w:pPr>
      <w:r>
        <w:rPr>
          <w:rFonts w:hint="eastAsia" w:asciiTheme="minorEastAsia" w:hAnsiTheme="minorEastAsia" w:eastAsiaTheme="minorEastAsia" w:cstheme="minorEastAsia"/>
          <w:snapToGrid/>
          <w:spacing w:val="-4"/>
          <w:sz w:val="24"/>
          <w:szCs w:val="24"/>
          <w:lang w:eastAsia="zh-CN"/>
        </w:rPr>
        <w:t>1）团队中应</w:t>
      </w:r>
      <w:r>
        <w:rPr>
          <w:rFonts w:hint="eastAsia" w:asciiTheme="minorEastAsia" w:hAnsiTheme="minorEastAsia" w:eastAsiaTheme="minorEastAsia" w:cstheme="minorEastAsia"/>
          <w:snapToGrid/>
          <w:color w:val="auto"/>
          <w:spacing w:val="-4"/>
          <w:sz w:val="24"/>
          <w:szCs w:val="24"/>
          <w:lang w:eastAsia="zh-CN"/>
        </w:rPr>
        <w:t>配备 1 名熟悉公立中医医院绩效考核、</w:t>
      </w:r>
      <w:r>
        <w:rPr>
          <w:rFonts w:hint="eastAsia" w:asciiTheme="minorEastAsia" w:hAnsiTheme="minorEastAsia" w:eastAsiaTheme="minorEastAsia" w:cstheme="minorEastAsia"/>
          <w:snapToGrid/>
          <w:spacing w:val="-4"/>
          <w:sz w:val="24"/>
          <w:szCs w:val="24"/>
          <w:lang w:eastAsia="zh-CN"/>
        </w:rPr>
        <w:t>薪酬分配、人力资源管理相关政策及业务流程，能够为医院绩效管理项目提供专业、合规的实施与咨询服务的专业人员；</w:t>
      </w:r>
    </w:p>
    <w:p w14:paraId="46705DEA">
      <w:pPr>
        <w:widowControl w:val="0"/>
        <w:kinsoku/>
        <w:spacing w:line="360" w:lineRule="auto"/>
        <w:ind w:firstLine="544"/>
        <w:textAlignment w:val="auto"/>
        <w:rPr>
          <w:rFonts w:asciiTheme="minorEastAsia" w:hAnsiTheme="minorEastAsia" w:eastAsiaTheme="minorEastAsia" w:cstheme="minorEastAsia"/>
          <w:snapToGrid/>
          <w:spacing w:val="-4"/>
          <w:sz w:val="24"/>
          <w:szCs w:val="24"/>
          <w:lang w:eastAsia="zh-CN"/>
        </w:rPr>
      </w:pPr>
      <w:r>
        <w:rPr>
          <w:rFonts w:hint="eastAsia" w:asciiTheme="minorEastAsia" w:hAnsiTheme="minorEastAsia" w:eastAsiaTheme="minorEastAsia" w:cstheme="minorEastAsia"/>
          <w:snapToGrid/>
          <w:spacing w:val="-4"/>
          <w:sz w:val="24"/>
          <w:szCs w:val="24"/>
          <w:lang w:eastAsia="zh-CN"/>
        </w:rPr>
        <w:t>2）团队中应配备 1 名具备财务会计知识、能够开展数据核查与经费绩效分析的专业人员；</w:t>
      </w:r>
    </w:p>
    <w:p w14:paraId="5FCFB126">
      <w:pPr>
        <w:widowControl w:val="0"/>
        <w:kinsoku/>
        <w:spacing w:line="360" w:lineRule="auto"/>
        <w:ind w:firstLine="544"/>
        <w:textAlignment w:val="auto"/>
        <w:rPr>
          <w:rFonts w:asciiTheme="minorEastAsia" w:hAnsiTheme="minorEastAsia" w:eastAsiaTheme="minorEastAsia" w:cstheme="minorEastAsia"/>
          <w:snapToGrid/>
          <w:spacing w:val="-4"/>
          <w:sz w:val="24"/>
          <w:szCs w:val="24"/>
          <w:lang w:eastAsia="zh-CN"/>
        </w:rPr>
      </w:pPr>
      <w:r>
        <w:rPr>
          <w:rFonts w:hint="eastAsia" w:asciiTheme="minorEastAsia" w:hAnsiTheme="minorEastAsia" w:eastAsiaTheme="minorEastAsia" w:cstheme="minorEastAsia"/>
          <w:snapToGrid/>
          <w:spacing w:val="-4"/>
          <w:sz w:val="24"/>
          <w:szCs w:val="24"/>
          <w:lang w:eastAsia="zh-CN"/>
        </w:rPr>
        <w:t>3）项目负责人 1 名应具备绩效评价项目组织实施经验，能够统筹开展现场调研、访谈、资料核查、报告编制等工作，</w:t>
      </w:r>
    </w:p>
    <w:p w14:paraId="3ABD4D8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CB5236"/>
    <w:multiLevelType w:val="multilevel"/>
    <w:tmpl w:val="D8CB5236"/>
    <w:lvl w:ilvl="0" w:tentative="0">
      <w:start w:val="3"/>
      <w:numFmt w:val="decimal"/>
      <w:lvlText w:val="%1."/>
      <w:lvlJc w:val="left"/>
      <w:pPr>
        <w:ind w:left="425" w:hanging="425"/>
      </w:pPr>
      <w:rPr>
        <w:rFonts w:hint="default"/>
      </w:rPr>
    </w:lvl>
    <w:lvl w:ilvl="1" w:tentative="0">
      <w:start w:val="1"/>
      <w:numFmt w:val="decimal"/>
      <w:suff w:val="nothing"/>
      <w:lvlText w:val="%1.%2."/>
      <w:lvlJc w:val="left"/>
      <w:pPr>
        <w:tabs>
          <w:tab w:val="left" w:pos="420"/>
        </w:tabs>
        <w:ind w:left="567" w:hanging="567"/>
      </w:pPr>
      <w:rPr>
        <w:rFonts w:hint="default"/>
      </w:rPr>
    </w:lvl>
    <w:lvl w:ilvl="2" w:tentative="0">
      <w:start w:val="1"/>
      <w:numFmt w:val="decimal"/>
      <w:suff w:val="nothing"/>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0EC8D0DB"/>
    <w:multiLevelType w:val="singleLevel"/>
    <w:tmpl w:val="0EC8D0DB"/>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097DF6"/>
    <w:rsid w:val="48097D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3"/>
    <w:next w:val="1"/>
    <w:qFormat/>
    <w:uiPriority w:val="0"/>
    <w:pPr>
      <w:keepNext/>
      <w:keepLines/>
      <w:widowControl w:val="0"/>
      <w:spacing w:before="260" w:after="260" w:line="415" w:lineRule="auto"/>
      <w:jc w:val="both"/>
      <w:outlineLvl w:val="2"/>
    </w:pPr>
    <w:rPr>
      <w:rFonts w:ascii="Calibri" w:hAnsi="Calibri" w:eastAsia="宋体" w:cs="Times New Roman"/>
      <w:b/>
      <w:color w:val="000000"/>
      <w:sz w:val="32"/>
      <w:szCs w:val="32"/>
      <w:lang w:val="en-US" w:eastAsia="zh-CN"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2026-06-10T01:54:00Z</dcterms:created>
  <dc:creator>Administrator</dc:creator>
  <cp:lastModifiedBy>Administrator</cp:lastModifiedBy>
  <dcterms:modified xsi:type="dcterms:W3CDTF">2026-06-10T01:54:57Z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DAC7A423ECE946C29AB97C83F49A413B_11</vt:lpwstr>
  </property>
  <property fmtid="{D5CDD505-2E9C-101B-9397-08002B2CF9AE}" pid="4" name="KSOTemplateDocerSaveRecord">
    <vt:lpwstr>eyJoZGlkIjoiMTlmMjlmNzBiNDJhMjM0NjhkNDk1MTk0NWEzMjEzNjAiLCJ1c2VySWQiOiIyODIzNTA4NjkifQ==</vt:lpwstr>
  </property>
</Properties>
</file>