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91D779">
      <w:pPr>
        <w:numPr>
          <w:ilvl w:val="0"/>
          <w:numId w:val="1"/>
        </w:numPr>
        <w:spacing w:line="360" w:lineRule="auto"/>
        <w:rPr>
          <w:rFonts w:asciiTheme="minorEastAsia" w:hAnsiTheme="minorEastAsia" w:eastAsiaTheme="minorEastAsia" w:cstheme="minorEastAsia"/>
          <w:b/>
          <w:bCs/>
          <w:color w:val="auto"/>
          <w:sz w:val="24"/>
          <w:szCs w:val="24"/>
          <w:highlight w:val="none"/>
          <w:lang w:eastAsia="zh-CN" w:bidi="ar"/>
        </w:rPr>
      </w:pPr>
      <w:r>
        <w:rPr>
          <w:rFonts w:hint="eastAsia" w:asciiTheme="minorEastAsia" w:hAnsiTheme="minorEastAsia" w:eastAsiaTheme="minorEastAsia" w:cstheme="minorEastAsia"/>
          <w:b/>
          <w:bCs/>
          <w:color w:val="auto"/>
          <w:sz w:val="24"/>
          <w:szCs w:val="24"/>
          <w:highlight w:val="none"/>
          <w:lang w:eastAsia="zh-CN" w:bidi="ar"/>
        </w:rPr>
        <w:t>工程概况</w:t>
      </w:r>
    </w:p>
    <w:p w14:paraId="7FA252F6">
      <w:pPr>
        <w:kinsoku/>
        <w:autoSpaceDE/>
        <w:autoSpaceDN/>
        <w:adjustRightInd/>
        <w:snapToGrid/>
        <w:spacing w:line="360" w:lineRule="auto"/>
        <w:ind w:firstLine="240" w:firstLineChars="100"/>
        <w:rPr>
          <w:rStyle w:val="6"/>
          <w:rFonts w:hAnsi="宋体" w:eastAsia="宋体" w:cs="宋体"/>
          <w:color w:val="auto"/>
          <w:kern w:val="2"/>
          <w:sz w:val="24"/>
          <w:szCs w:val="24"/>
          <w:highlight w:val="none"/>
        </w:rPr>
      </w:pPr>
      <w:r>
        <w:rPr>
          <w:rStyle w:val="6"/>
          <w:rFonts w:hint="eastAsia" w:hAnsi="宋体" w:eastAsia="宋体" w:cs="宋体"/>
          <w:color w:val="auto"/>
          <w:kern w:val="2"/>
          <w:sz w:val="24"/>
          <w:szCs w:val="24"/>
          <w:highlight w:val="none"/>
        </w:rPr>
        <w:t>改造国有土地C、D级城市危旧房430栋，建筑面积约10万平方米，其中拆除房屋约1.5万平方米，占地面积约6.3万平方米；维修房屋约8.5万平方米。改造室外配套停车场约7000平方米，改造雨</w:t>
      </w:r>
      <w:r>
        <w:rPr>
          <w:rStyle w:val="6"/>
          <w:rFonts w:hint="eastAsia" w:hAnsi="宋体" w:eastAsia="宋体" w:cs="宋体"/>
          <w:color w:val="auto"/>
          <w:kern w:val="2"/>
          <w:sz w:val="24"/>
          <w:szCs w:val="24"/>
          <w:highlight w:val="none"/>
          <w:lang w:val="en-US"/>
        </w:rPr>
        <w:t>水</w:t>
      </w:r>
      <w:r>
        <w:rPr>
          <w:rStyle w:val="6"/>
          <w:rFonts w:hint="eastAsia" w:hAnsi="宋体" w:eastAsia="宋体" w:cs="宋体"/>
          <w:color w:val="auto"/>
          <w:kern w:val="2"/>
          <w:sz w:val="24"/>
          <w:szCs w:val="24"/>
          <w:highlight w:val="none"/>
        </w:rPr>
        <w:t>、污水、</w:t>
      </w:r>
      <w:r>
        <w:rPr>
          <w:rStyle w:val="6"/>
          <w:rFonts w:hint="eastAsia" w:hAnsi="宋体" w:eastAsia="宋体" w:cs="宋体"/>
          <w:color w:val="auto"/>
          <w:kern w:val="2"/>
          <w:sz w:val="24"/>
          <w:szCs w:val="24"/>
          <w:highlight w:val="none"/>
          <w:lang w:val="en-US"/>
        </w:rPr>
        <w:t>燃气、供水管网</w:t>
      </w:r>
      <w:r>
        <w:rPr>
          <w:rStyle w:val="6"/>
          <w:rFonts w:hint="eastAsia" w:hAnsi="宋体" w:eastAsia="宋体" w:cs="宋体"/>
          <w:color w:val="auto"/>
          <w:kern w:val="2"/>
          <w:sz w:val="24"/>
          <w:szCs w:val="24"/>
          <w:highlight w:val="none"/>
        </w:rPr>
        <w:t>及其他配套基础设施建设。</w:t>
      </w:r>
    </w:p>
    <w:p w14:paraId="19C1281C">
      <w:pPr>
        <w:numPr>
          <w:ilvl w:val="0"/>
          <w:numId w:val="1"/>
        </w:numPr>
        <w:spacing w:line="360" w:lineRule="auto"/>
        <w:rPr>
          <w:rFonts w:asciiTheme="minorEastAsia" w:hAnsiTheme="minorEastAsia" w:eastAsiaTheme="minorEastAsia" w:cstheme="minorEastAsia"/>
          <w:b/>
          <w:bCs/>
          <w:color w:val="auto"/>
          <w:sz w:val="24"/>
          <w:szCs w:val="24"/>
          <w:highlight w:val="none"/>
          <w:lang w:eastAsia="zh-CN" w:bidi="ar"/>
        </w:rPr>
      </w:pPr>
      <w:r>
        <w:rPr>
          <w:rFonts w:asciiTheme="minorEastAsia" w:hAnsiTheme="minorEastAsia" w:eastAsiaTheme="minorEastAsia" w:cstheme="minorEastAsia"/>
          <w:b/>
          <w:bCs/>
          <w:color w:val="auto"/>
          <w:sz w:val="24"/>
          <w:szCs w:val="24"/>
          <w:highlight w:val="none"/>
          <w:lang w:eastAsia="zh-CN" w:bidi="ar"/>
        </w:rPr>
        <w:t>服务目标</w:t>
      </w:r>
    </w:p>
    <w:p w14:paraId="1B6B6318">
      <w:pPr>
        <w:kinsoku/>
        <w:autoSpaceDE/>
        <w:autoSpaceDN/>
        <w:adjustRightInd/>
        <w:snapToGrid/>
        <w:spacing w:line="360" w:lineRule="auto"/>
        <w:rPr>
          <w:rStyle w:val="6"/>
          <w:rFonts w:hAnsi="宋体" w:eastAsia="宋体" w:cs="宋体"/>
          <w:color w:val="auto"/>
          <w:kern w:val="2"/>
          <w:sz w:val="24"/>
          <w:szCs w:val="24"/>
          <w:highlight w:val="none"/>
        </w:rPr>
      </w:pPr>
      <w:r>
        <w:rPr>
          <w:rStyle w:val="6"/>
          <w:rFonts w:hAnsi="宋体" w:eastAsia="宋体" w:cs="宋体"/>
          <w:color w:val="auto"/>
          <w:kern w:val="2"/>
          <w:sz w:val="24"/>
          <w:szCs w:val="24"/>
          <w:highlight w:val="none"/>
        </w:rPr>
        <w:t>严格按照国家及行业现行测绘规范完成全部测绘工作，成果数据真实准确、格式合规，顺利通过行业主管部门审核验收，满足规划审批、工程建设、施工建设等实际使用需求。</w:t>
      </w:r>
    </w:p>
    <w:p w14:paraId="10C35FD6">
      <w:pPr>
        <w:pStyle w:val="2"/>
        <w:rPr>
          <w:rStyle w:val="6"/>
          <w:rFonts w:hint="eastAsia" w:hAnsi="宋体" w:eastAsia="宋体" w:cs="宋体"/>
          <w:snapToGrid w:val="0"/>
          <w:color w:val="auto"/>
          <w:kern w:val="2"/>
          <w:sz w:val="24"/>
          <w:szCs w:val="24"/>
          <w:highlight w:val="none"/>
          <w:lang w:val="en-US" w:eastAsia="zh-CN"/>
        </w:rPr>
      </w:pPr>
      <w:r>
        <w:rPr>
          <w:rStyle w:val="6"/>
          <w:rFonts w:hint="eastAsia" w:hAnsi="宋体" w:eastAsia="宋体" w:cs="宋体"/>
          <w:snapToGrid w:val="0"/>
          <w:color w:val="auto"/>
          <w:kern w:val="2"/>
          <w:sz w:val="24"/>
          <w:szCs w:val="24"/>
          <w:highlight w:val="none"/>
          <w:lang w:val="en-US" w:eastAsia="zh-CN"/>
        </w:rPr>
        <w:t>2.1 危旧房屋现状测绘</w:t>
      </w:r>
    </w:p>
    <w:p w14:paraId="4741BF95">
      <w:pPr>
        <w:pStyle w:val="3"/>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lang w:val="en-US"/>
        </w:rPr>
        <w:t>针对</w:t>
      </w:r>
      <w:r>
        <w:rPr>
          <w:rStyle w:val="6"/>
          <w:rFonts w:hint="eastAsia" w:hAnsi="宋体" w:eastAsia="宋体" w:cs="宋体"/>
          <w:color w:val="auto"/>
          <w:kern w:val="2"/>
          <w:sz w:val="24"/>
          <w:szCs w:val="24"/>
          <w:highlight w:val="none"/>
        </w:rPr>
        <w:t>国有土地C、D级城市危旧房430栋，建筑面积约10万平方米，其中拆除房屋约1.5万平方米，占地面积约6.3万平方米；维修房屋约8.5万平方米</w:t>
      </w:r>
      <w:r>
        <w:rPr>
          <w:rStyle w:val="6"/>
          <w:rFonts w:hint="eastAsia" w:hAnsi="宋体" w:eastAsia="宋体" w:cs="宋体"/>
          <w:color w:val="auto"/>
          <w:kern w:val="2"/>
          <w:sz w:val="24"/>
          <w:szCs w:val="24"/>
          <w:highlight w:val="none"/>
          <w:lang w:val="en-US"/>
        </w:rPr>
        <w:t>进行房屋现状测绘。对房屋层高、建筑面积、建筑外立面进行测绘，出具室内平面图、建筑外立面图。</w:t>
      </w:r>
    </w:p>
    <w:p w14:paraId="1C91D0D3">
      <w:pPr>
        <w:pStyle w:val="2"/>
        <w:rPr>
          <w:rStyle w:val="6"/>
          <w:rFonts w:hint="default" w:hAnsi="宋体" w:eastAsia="宋体" w:cs="宋体"/>
          <w:snapToGrid w:val="0"/>
          <w:color w:val="auto"/>
          <w:kern w:val="2"/>
          <w:sz w:val="24"/>
          <w:szCs w:val="24"/>
          <w:highlight w:val="none"/>
          <w:lang w:val="en-US" w:eastAsia="zh-CN"/>
        </w:rPr>
      </w:pPr>
      <w:r>
        <w:rPr>
          <w:rStyle w:val="6"/>
          <w:rFonts w:hint="eastAsia" w:hAnsi="宋体" w:eastAsia="宋体" w:cs="宋体"/>
          <w:snapToGrid w:val="0"/>
          <w:color w:val="auto"/>
          <w:kern w:val="2"/>
          <w:sz w:val="24"/>
          <w:szCs w:val="24"/>
          <w:highlight w:val="none"/>
          <w:lang w:val="en-US" w:eastAsia="zh-CN"/>
        </w:rPr>
        <w:t>2.2 室外配套停车场测绘</w:t>
      </w:r>
    </w:p>
    <w:p w14:paraId="25FEBD6C">
      <w:pPr>
        <w:pStyle w:val="3"/>
        <w:rPr>
          <w:rStyle w:val="6"/>
          <w:rFonts w:hint="eastAsia"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lang w:val="en-US"/>
        </w:rPr>
        <w:t>针对</w:t>
      </w:r>
      <w:r>
        <w:rPr>
          <w:rStyle w:val="6"/>
          <w:rFonts w:hint="eastAsia" w:hAnsi="宋体" w:eastAsia="宋体" w:cs="宋体"/>
          <w:color w:val="auto"/>
          <w:kern w:val="2"/>
          <w:sz w:val="24"/>
          <w:szCs w:val="24"/>
          <w:highlight w:val="none"/>
        </w:rPr>
        <w:t>室外配套停车场约7000平方米</w:t>
      </w:r>
      <w:r>
        <w:rPr>
          <w:rStyle w:val="6"/>
          <w:rFonts w:hint="eastAsia" w:hAnsi="宋体" w:eastAsia="宋体" w:cs="宋体"/>
          <w:color w:val="auto"/>
          <w:kern w:val="2"/>
          <w:sz w:val="24"/>
          <w:szCs w:val="24"/>
          <w:highlight w:val="none"/>
          <w:lang w:val="en-US"/>
        </w:rPr>
        <w:t>现状进行测绘。对停车场边界、标高及附属设施现状测绘，出具配套停车场地形平面图。</w:t>
      </w:r>
    </w:p>
    <w:p w14:paraId="7C8616A5">
      <w:pPr>
        <w:pStyle w:val="3"/>
        <w:ind w:left="0" w:leftChars="0" w:firstLine="0" w:firstLineChars="0"/>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lang w:val="en-US"/>
        </w:rPr>
        <w:t>2.3 地下管线探查测量</w:t>
      </w:r>
    </w:p>
    <w:p w14:paraId="3C4622CB">
      <w:pPr>
        <w:pStyle w:val="3"/>
        <w:rPr>
          <w:color w:val="auto"/>
        </w:rPr>
      </w:pPr>
      <w:r>
        <w:rPr>
          <w:rStyle w:val="6"/>
          <w:rFonts w:hint="eastAsia" w:hAnsi="宋体" w:eastAsia="宋体" w:cs="宋体"/>
          <w:color w:val="auto"/>
          <w:kern w:val="2"/>
          <w:sz w:val="24"/>
          <w:szCs w:val="24"/>
          <w:highlight w:val="none"/>
          <w:lang w:val="en-US" w:eastAsia="zh-CN"/>
        </w:rPr>
        <w:t>完成测区范围内现状管线探查与测绘。对雨水、污水、燃气、供水管线位置、埋深、走向、管径进行探测，采集检查井、雨水口、管线拐点坐标高程，出具管线图、管线成果表。</w:t>
      </w:r>
    </w:p>
    <w:p w14:paraId="23340552">
      <w:pPr>
        <w:numPr>
          <w:ilvl w:val="0"/>
          <w:numId w:val="1"/>
        </w:numPr>
        <w:spacing w:line="360" w:lineRule="auto"/>
        <w:rPr>
          <w:rFonts w:asciiTheme="minorEastAsia" w:hAnsiTheme="minorEastAsia" w:eastAsiaTheme="minorEastAsia" w:cstheme="minorEastAsia"/>
          <w:b/>
          <w:bCs/>
          <w:color w:val="auto"/>
          <w:sz w:val="24"/>
          <w:szCs w:val="24"/>
          <w:highlight w:val="none"/>
          <w:lang w:eastAsia="zh-CN" w:bidi="ar"/>
        </w:rPr>
      </w:pPr>
      <w:r>
        <w:rPr>
          <w:rFonts w:asciiTheme="minorEastAsia" w:hAnsiTheme="minorEastAsia" w:eastAsiaTheme="minorEastAsia" w:cstheme="minorEastAsia"/>
          <w:b/>
          <w:bCs/>
          <w:color w:val="auto"/>
          <w:sz w:val="24"/>
          <w:szCs w:val="24"/>
          <w:highlight w:val="none"/>
          <w:lang w:eastAsia="zh-CN" w:bidi="ar"/>
        </w:rPr>
        <w:t>核心采购技术要求</w:t>
      </w:r>
    </w:p>
    <w:p w14:paraId="70683BFD">
      <w:pPr>
        <w:kinsoku/>
        <w:autoSpaceDE/>
        <w:autoSpaceDN/>
        <w:adjustRightInd/>
        <w:snapToGrid/>
        <w:spacing w:line="360" w:lineRule="auto"/>
        <w:rPr>
          <w:rStyle w:val="6"/>
          <w:rFonts w:hAnsi="宋体" w:eastAsia="宋体" w:cs="宋体"/>
          <w:color w:val="auto"/>
          <w:kern w:val="2"/>
          <w:sz w:val="24"/>
          <w:szCs w:val="24"/>
          <w:highlight w:val="none"/>
        </w:rPr>
      </w:pPr>
      <w:r>
        <w:rPr>
          <w:rStyle w:val="6"/>
          <w:rFonts w:hint="eastAsia" w:hAnsi="宋体" w:eastAsia="宋体" w:cs="宋体"/>
          <w:color w:val="auto"/>
          <w:kern w:val="2"/>
          <w:sz w:val="24"/>
          <w:szCs w:val="24"/>
          <w:highlight w:val="none"/>
        </w:rPr>
        <w:t>3.1</w:t>
      </w:r>
      <w:r>
        <w:rPr>
          <w:rStyle w:val="6"/>
          <w:rFonts w:hAnsi="宋体" w:eastAsia="宋体" w:cs="宋体"/>
          <w:color w:val="auto"/>
          <w:kern w:val="2"/>
          <w:sz w:val="24"/>
          <w:szCs w:val="24"/>
          <w:highlight w:val="none"/>
        </w:rPr>
        <w:t xml:space="preserve"> 执行标准规范</w:t>
      </w:r>
    </w:p>
    <w:p w14:paraId="77C08087">
      <w:pPr>
        <w:kinsoku/>
        <w:autoSpaceDE/>
        <w:autoSpaceDN/>
        <w:adjustRightInd/>
        <w:snapToGrid/>
        <w:spacing w:line="360" w:lineRule="auto"/>
        <w:rPr>
          <w:rStyle w:val="6"/>
          <w:rFonts w:hAnsi="宋体" w:eastAsia="宋体" w:cs="宋体"/>
          <w:color w:val="auto"/>
          <w:kern w:val="2"/>
          <w:sz w:val="24"/>
          <w:szCs w:val="24"/>
          <w:highlight w:val="none"/>
        </w:rPr>
      </w:pPr>
      <w:r>
        <w:rPr>
          <w:rStyle w:val="6"/>
          <w:rFonts w:hAnsi="宋体" w:eastAsia="宋体" w:cs="宋体"/>
          <w:color w:val="auto"/>
          <w:kern w:val="2"/>
          <w:sz w:val="24"/>
          <w:szCs w:val="24"/>
          <w:highlight w:val="none"/>
        </w:rPr>
        <w:t>严格遵照以下现行国家、行业及地方标准实施：</w:t>
      </w:r>
    </w:p>
    <w:p w14:paraId="183BB275">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3.1.1</w:t>
      </w:r>
      <w:r>
        <w:rPr>
          <w:rStyle w:val="6"/>
          <w:rFonts w:hAnsi="宋体" w:eastAsia="宋体" w:cs="宋体"/>
          <w:color w:val="auto"/>
          <w:kern w:val="2"/>
          <w:sz w:val="24"/>
          <w:szCs w:val="24"/>
          <w:highlight w:val="none"/>
        </w:rPr>
        <w:t>《工程测量规范》（GB 50026-2020）</w:t>
      </w:r>
      <w:r>
        <w:rPr>
          <w:rStyle w:val="6"/>
          <w:rFonts w:hint="eastAsia" w:hAnsi="宋体" w:eastAsia="宋体" w:cs="宋体"/>
          <w:color w:val="auto"/>
          <w:kern w:val="2"/>
          <w:sz w:val="24"/>
          <w:szCs w:val="24"/>
          <w:highlight w:val="none"/>
          <w:lang w:val="en-US"/>
        </w:rPr>
        <w:t>;</w:t>
      </w:r>
    </w:p>
    <w:p w14:paraId="742D80B6">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3.1.2</w:t>
      </w:r>
      <w:r>
        <w:rPr>
          <w:rStyle w:val="6"/>
          <w:rFonts w:hAnsi="宋体" w:eastAsia="宋体" w:cs="宋体"/>
          <w:color w:val="auto"/>
          <w:kern w:val="2"/>
          <w:sz w:val="24"/>
          <w:szCs w:val="24"/>
          <w:highlight w:val="none"/>
        </w:rPr>
        <w:t>《地籍调查规程》（TD/T 1001-2012）</w:t>
      </w:r>
      <w:r>
        <w:rPr>
          <w:rStyle w:val="6"/>
          <w:rFonts w:hint="eastAsia" w:hAnsi="宋体" w:eastAsia="宋体" w:cs="宋体"/>
          <w:color w:val="auto"/>
          <w:kern w:val="2"/>
          <w:sz w:val="24"/>
          <w:szCs w:val="24"/>
          <w:highlight w:val="none"/>
          <w:lang w:val="en-US"/>
        </w:rPr>
        <w:t>;</w:t>
      </w:r>
    </w:p>
    <w:p w14:paraId="6459D5D9">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Ansi="宋体" w:eastAsia="宋体" w:cs="宋体"/>
          <w:color w:val="auto"/>
          <w:kern w:val="2"/>
          <w:sz w:val="24"/>
          <w:szCs w:val="24"/>
          <w:highlight w:val="none"/>
        </w:rPr>
        <w:t>3.</w:t>
      </w:r>
      <w:r>
        <w:rPr>
          <w:rStyle w:val="6"/>
          <w:rFonts w:hint="eastAsia" w:hAnsi="宋体" w:eastAsia="宋体" w:cs="宋体"/>
          <w:color w:val="auto"/>
          <w:kern w:val="2"/>
          <w:sz w:val="24"/>
          <w:szCs w:val="24"/>
          <w:highlight w:val="none"/>
        </w:rPr>
        <w:t>1.3</w:t>
      </w:r>
      <w:r>
        <w:rPr>
          <w:rStyle w:val="6"/>
          <w:rFonts w:hAnsi="宋体" w:eastAsia="宋体" w:cs="宋体"/>
          <w:color w:val="auto"/>
          <w:kern w:val="2"/>
          <w:sz w:val="24"/>
          <w:szCs w:val="24"/>
          <w:highlight w:val="none"/>
        </w:rPr>
        <w:t>《不动产测量规范》</w:t>
      </w:r>
      <w:r>
        <w:rPr>
          <w:rStyle w:val="6"/>
          <w:rFonts w:hint="eastAsia" w:hAnsi="宋体" w:eastAsia="宋体" w:cs="宋体"/>
          <w:color w:val="auto"/>
          <w:kern w:val="2"/>
          <w:sz w:val="24"/>
          <w:szCs w:val="24"/>
          <w:highlight w:val="none"/>
          <w:lang w:val="en-US"/>
        </w:rPr>
        <w:t>;</w:t>
      </w:r>
    </w:p>
    <w:p w14:paraId="222DBCED">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3.1.4</w:t>
      </w:r>
      <w:r>
        <w:rPr>
          <w:rStyle w:val="6"/>
          <w:rFonts w:hAnsi="宋体" w:eastAsia="宋体" w:cs="宋体"/>
          <w:color w:val="auto"/>
          <w:kern w:val="2"/>
          <w:sz w:val="24"/>
          <w:szCs w:val="24"/>
          <w:highlight w:val="none"/>
        </w:rPr>
        <w:t>《1:500/1:1000/1:2000地形图图式》</w:t>
      </w:r>
      <w:r>
        <w:rPr>
          <w:rStyle w:val="6"/>
          <w:rFonts w:hint="eastAsia" w:hAnsi="宋体" w:eastAsia="宋体" w:cs="宋体"/>
          <w:color w:val="auto"/>
          <w:kern w:val="2"/>
          <w:sz w:val="24"/>
          <w:szCs w:val="24"/>
          <w:highlight w:val="none"/>
          <w:lang w:val="en-US"/>
        </w:rPr>
        <w:t>;</w:t>
      </w:r>
    </w:p>
    <w:p w14:paraId="6D236599">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3.1.5</w:t>
      </w:r>
      <w:r>
        <w:rPr>
          <w:rStyle w:val="6"/>
          <w:rFonts w:hAnsi="宋体" w:eastAsia="宋体" w:cs="宋体"/>
          <w:color w:val="auto"/>
          <w:kern w:val="2"/>
          <w:sz w:val="24"/>
          <w:szCs w:val="24"/>
          <w:highlight w:val="none"/>
        </w:rPr>
        <w:t>《测绘成果质量检查与验收》（GB/T 24356）</w:t>
      </w:r>
      <w:r>
        <w:rPr>
          <w:rStyle w:val="6"/>
          <w:rFonts w:hint="eastAsia" w:hAnsi="宋体" w:eastAsia="宋体" w:cs="宋体"/>
          <w:color w:val="auto"/>
          <w:kern w:val="2"/>
          <w:sz w:val="24"/>
          <w:szCs w:val="24"/>
          <w:highlight w:val="none"/>
          <w:lang w:val="en-US"/>
        </w:rPr>
        <w:t>;</w:t>
      </w:r>
    </w:p>
    <w:p w14:paraId="0C325519">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3.1.6</w:t>
      </w:r>
      <w:r>
        <w:rPr>
          <w:rStyle w:val="6"/>
          <w:rFonts w:hAnsi="宋体" w:eastAsia="宋体" w:cs="宋体"/>
          <w:color w:val="auto"/>
          <w:kern w:val="2"/>
          <w:sz w:val="24"/>
          <w:szCs w:val="24"/>
          <w:highlight w:val="none"/>
        </w:rPr>
        <w:t>地方自然资源局最新测绘成果提交标准及数据格式要求</w:t>
      </w:r>
      <w:r>
        <w:rPr>
          <w:rStyle w:val="6"/>
          <w:rFonts w:hint="eastAsia" w:hAnsi="宋体" w:eastAsia="宋体" w:cs="宋体"/>
          <w:color w:val="auto"/>
          <w:kern w:val="2"/>
          <w:sz w:val="24"/>
          <w:szCs w:val="24"/>
          <w:highlight w:val="none"/>
          <w:lang w:val="en-US"/>
        </w:rPr>
        <w:t>;</w:t>
      </w:r>
    </w:p>
    <w:p w14:paraId="55E303E4">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3.2</w:t>
      </w:r>
      <w:r>
        <w:rPr>
          <w:rStyle w:val="6"/>
          <w:rFonts w:hAnsi="宋体" w:eastAsia="宋体" w:cs="宋体"/>
          <w:color w:val="auto"/>
          <w:kern w:val="2"/>
          <w:sz w:val="24"/>
          <w:szCs w:val="24"/>
          <w:highlight w:val="none"/>
        </w:rPr>
        <w:t xml:space="preserve"> 坐标与高程系统要求</w:t>
      </w:r>
      <w:r>
        <w:rPr>
          <w:rStyle w:val="6"/>
          <w:rFonts w:hint="eastAsia" w:hAnsi="宋体" w:eastAsia="宋体" w:cs="宋体"/>
          <w:color w:val="auto"/>
          <w:kern w:val="2"/>
          <w:sz w:val="24"/>
          <w:szCs w:val="24"/>
          <w:highlight w:val="none"/>
          <w:lang w:val="en-US"/>
        </w:rPr>
        <w:t>;</w:t>
      </w:r>
    </w:p>
    <w:p w14:paraId="29EC264F">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3.2.1</w:t>
      </w:r>
      <w:r>
        <w:rPr>
          <w:rStyle w:val="6"/>
          <w:rFonts w:hAnsi="宋体" w:eastAsia="宋体" w:cs="宋体"/>
          <w:color w:val="auto"/>
          <w:kern w:val="2"/>
          <w:sz w:val="24"/>
          <w:szCs w:val="24"/>
          <w:highlight w:val="none"/>
        </w:rPr>
        <w:t>平面坐标系统：2000国家大地坐标系（CGCS2000）</w:t>
      </w:r>
      <w:r>
        <w:rPr>
          <w:rStyle w:val="6"/>
          <w:rFonts w:hint="eastAsia" w:hAnsi="宋体" w:eastAsia="宋体" w:cs="宋体"/>
          <w:color w:val="auto"/>
          <w:kern w:val="2"/>
          <w:sz w:val="24"/>
          <w:szCs w:val="24"/>
          <w:highlight w:val="none"/>
          <w:lang w:val="en-US"/>
        </w:rPr>
        <w:t>;</w:t>
      </w:r>
    </w:p>
    <w:p w14:paraId="0611DDC7">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3.2.2</w:t>
      </w:r>
      <w:r>
        <w:rPr>
          <w:rStyle w:val="6"/>
          <w:rFonts w:hAnsi="宋体" w:eastAsia="宋体" w:cs="宋体"/>
          <w:color w:val="auto"/>
          <w:kern w:val="2"/>
          <w:sz w:val="24"/>
          <w:szCs w:val="24"/>
          <w:highlight w:val="none"/>
        </w:rPr>
        <w:t>高程系统：1985国家高程基准</w:t>
      </w:r>
      <w:r>
        <w:rPr>
          <w:rStyle w:val="6"/>
          <w:rFonts w:hint="eastAsia" w:hAnsi="宋体" w:eastAsia="宋体" w:cs="宋体"/>
          <w:color w:val="auto"/>
          <w:kern w:val="2"/>
          <w:sz w:val="24"/>
          <w:szCs w:val="24"/>
          <w:highlight w:val="none"/>
          <w:lang w:val="en-US"/>
        </w:rPr>
        <w:t>;</w:t>
      </w:r>
    </w:p>
    <w:p w14:paraId="2693E335">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3.2.3</w:t>
      </w:r>
      <w:r>
        <w:rPr>
          <w:rStyle w:val="6"/>
          <w:rFonts w:hAnsi="宋体" w:eastAsia="宋体" w:cs="宋体"/>
          <w:color w:val="auto"/>
          <w:kern w:val="2"/>
          <w:sz w:val="24"/>
          <w:szCs w:val="24"/>
          <w:highlight w:val="none"/>
        </w:rPr>
        <w:t>投影方式：高斯—克吕格3°带投影，严格匹配项目属地统一坐标参数</w:t>
      </w:r>
      <w:r>
        <w:rPr>
          <w:rStyle w:val="6"/>
          <w:rFonts w:hint="eastAsia" w:hAnsi="宋体" w:eastAsia="宋体" w:cs="宋体"/>
          <w:color w:val="auto"/>
          <w:kern w:val="2"/>
          <w:sz w:val="24"/>
          <w:szCs w:val="24"/>
          <w:highlight w:val="none"/>
          <w:lang w:val="en-US"/>
        </w:rPr>
        <w:t>;</w:t>
      </w:r>
    </w:p>
    <w:p w14:paraId="29B96CB7">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3.2.4</w:t>
      </w:r>
      <w:r>
        <w:rPr>
          <w:rStyle w:val="6"/>
          <w:rFonts w:hAnsi="宋体" w:eastAsia="宋体" w:cs="宋体"/>
          <w:color w:val="auto"/>
          <w:kern w:val="2"/>
          <w:sz w:val="24"/>
          <w:szCs w:val="24"/>
          <w:highlight w:val="none"/>
        </w:rPr>
        <w:t>所有测绘成果统一转换为</w:t>
      </w:r>
      <w:r>
        <w:rPr>
          <w:rStyle w:val="6"/>
          <w:rFonts w:hint="eastAsia" w:hAnsi="宋体" w:eastAsia="宋体" w:cs="宋体"/>
          <w:color w:val="auto"/>
          <w:kern w:val="2"/>
          <w:sz w:val="24"/>
          <w:szCs w:val="24"/>
          <w:highlight w:val="none"/>
        </w:rPr>
        <w:t>国家</w:t>
      </w:r>
      <w:r>
        <w:rPr>
          <w:rStyle w:val="6"/>
          <w:rFonts w:hint="eastAsia" w:hAnsi="宋体" w:eastAsia="宋体" w:cs="宋体"/>
          <w:color w:val="auto"/>
          <w:kern w:val="2"/>
          <w:sz w:val="24"/>
          <w:szCs w:val="24"/>
          <w:highlight w:val="none"/>
          <w:lang w:val="en-US"/>
        </w:rPr>
        <w:t>2000</w:t>
      </w:r>
      <w:r>
        <w:rPr>
          <w:rStyle w:val="6"/>
          <w:rFonts w:hAnsi="宋体" w:eastAsia="宋体" w:cs="宋体"/>
          <w:color w:val="auto"/>
          <w:kern w:val="2"/>
          <w:sz w:val="24"/>
          <w:szCs w:val="24"/>
          <w:highlight w:val="none"/>
        </w:rPr>
        <w:t>坐标系，不得出现坐标偏差</w:t>
      </w:r>
      <w:r>
        <w:rPr>
          <w:rStyle w:val="6"/>
          <w:rFonts w:hint="eastAsia" w:hAnsi="宋体" w:eastAsia="宋体" w:cs="宋体"/>
          <w:color w:val="auto"/>
          <w:kern w:val="2"/>
          <w:sz w:val="24"/>
          <w:szCs w:val="24"/>
          <w:highlight w:val="none"/>
          <w:lang w:val="en-US"/>
        </w:rPr>
        <w:t>;</w:t>
      </w:r>
    </w:p>
    <w:p w14:paraId="30C5A87A">
      <w:pPr>
        <w:numPr>
          <w:ilvl w:val="0"/>
          <w:numId w:val="1"/>
        </w:numPr>
        <w:spacing w:line="360" w:lineRule="auto"/>
        <w:rPr>
          <w:rFonts w:asciiTheme="minorEastAsia" w:hAnsiTheme="minorEastAsia" w:eastAsiaTheme="minorEastAsia" w:cstheme="minorEastAsia"/>
          <w:b/>
          <w:bCs/>
          <w:color w:val="auto"/>
          <w:sz w:val="24"/>
          <w:szCs w:val="24"/>
          <w:highlight w:val="none"/>
          <w:lang w:eastAsia="zh-CN" w:bidi="ar"/>
        </w:rPr>
      </w:pPr>
      <w:r>
        <w:rPr>
          <w:rFonts w:asciiTheme="minorEastAsia" w:hAnsiTheme="minorEastAsia" w:eastAsiaTheme="minorEastAsia" w:cstheme="minorEastAsia"/>
          <w:b/>
          <w:bCs/>
          <w:color w:val="auto"/>
          <w:sz w:val="24"/>
          <w:szCs w:val="24"/>
          <w:highlight w:val="none"/>
          <w:lang w:eastAsia="zh-CN" w:bidi="ar"/>
        </w:rPr>
        <w:t>测绘精度要求</w:t>
      </w:r>
    </w:p>
    <w:p w14:paraId="56CD4130">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4.1</w:t>
      </w:r>
      <w:r>
        <w:rPr>
          <w:rStyle w:val="6"/>
          <w:rFonts w:hAnsi="宋体" w:eastAsia="宋体" w:cs="宋体"/>
          <w:color w:val="auto"/>
          <w:kern w:val="2"/>
          <w:sz w:val="24"/>
          <w:szCs w:val="24"/>
          <w:highlight w:val="none"/>
        </w:rPr>
        <w:t> 平面点位中误差、高程误差严格符合对应比例尺测绘规范限值</w:t>
      </w:r>
      <w:r>
        <w:rPr>
          <w:rStyle w:val="6"/>
          <w:rFonts w:hint="eastAsia" w:hAnsi="宋体" w:eastAsia="宋体" w:cs="宋体"/>
          <w:color w:val="auto"/>
          <w:kern w:val="2"/>
          <w:sz w:val="24"/>
          <w:szCs w:val="24"/>
          <w:highlight w:val="none"/>
          <w:lang w:val="en-US"/>
        </w:rPr>
        <w:t>;</w:t>
      </w:r>
    </w:p>
    <w:p w14:paraId="79AD8FB1">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4.2</w:t>
      </w:r>
      <w:r>
        <w:rPr>
          <w:rStyle w:val="6"/>
          <w:rFonts w:hAnsi="宋体" w:eastAsia="宋体" w:cs="宋体"/>
          <w:color w:val="auto"/>
          <w:kern w:val="2"/>
          <w:sz w:val="24"/>
          <w:szCs w:val="24"/>
          <w:highlight w:val="none"/>
        </w:rPr>
        <w:t> 建筑物角点、管线点位测量精度满足行政审批入库标准</w:t>
      </w:r>
      <w:r>
        <w:rPr>
          <w:rStyle w:val="6"/>
          <w:rFonts w:hint="eastAsia" w:hAnsi="宋体" w:eastAsia="宋体" w:cs="宋体"/>
          <w:color w:val="auto"/>
          <w:kern w:val="2"/>
          <w:sz w:val="24"/>
          <w:szCs w:val="24"/>
          <w:highlight w:val="none"/>
          <w:lang w:val="en-US"/>
        </w:rPr>
        <w:t>;</w:t>
      </w:r>
    </w:p>
    <w:p w14:paraId="3FDB2D73">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 xml:space="preserve">4.3  </w:t>
      </w:r>
      <w:r>
        <w:rPr>
          <w:rStyle w:val="6"/>
          <w:rFonts w:hAnsi="宋体" w:eastAsia="宋体" w:cs="宋体"/>
          <w:color w:val="auto"/>
          <w:kern w:val="2"/>
          <w:sz w:val="24"/>
          <w:szCs w:val="24"/>
          <w:highlight w:val="none"/>
        </w:rPr>
        <w:t>面积测算、距离量算、高差测算数据精准无误，误差在规范允许范围内</w:t>
      </w:r>
      <w:r>
        <w:rPr>
          <w:rStyle w:val="6"/>
          <w:rFonts w:hint="eastAsia" w:hAnsi="宋体" w:eastAsia="宋体" w:cs="宋体"/>
          <w:color w:val="auto"/>
          <w:kern w:val="2"/>
          <w:sz w:val="24"/>
          <w:szCs w:val="24"/>
          <w:highlight w:val="none"/>
          <w:lang w:val="en-US"/>
        </w:rPr>
        <w:t>;</w:t>
      </w:r>
    </w:p>
    <w:p w14:paraId="467BED50">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4.4</w:t>
      </w:r>
      <w:r>
        <w:rPr>
          <w:rStyle w:val="6"/>
          <w:rFonts w:hAnsi="宋体" w:eastAsia="宋体" w:cs="宋体"/>
          <w:color w:val="auto"/>
          <w:kern w:val="2"/>
          <w:sz w:val="24"/>
          <w:szCs w:val="24"/>
          <w:highlight w:val="none"/>
        </w:rPr>
        <w:t> 外业实测数据真实有效，严禁编造、篡改测量原始数据</w:t>
      </w:r>
      <w:r>
        <w:rPr>
          <w:rStyle w:val="6"/>
          <w:rFonts w:hint="eastAsia" w:hAnsi="宋体" w:eastAsia="宋体" w:cs="宋体"/>
          <w:color w:val="auto"/>
          <w:kern w:val="2"/>
          <w:sz w:val="24"/>
          <w:szCs w:val="24"/>
          <w:highlight w:val="none"/>
          <w:lang w:val="en-US"/>
        </w:rPr>
        <w:t>;</w:t>
      </w:r>
    </w:p>
    <w:p w14:paraId="0AFDDFD2">
      <w:pPr>
        <w:numPr>
          <w:ilvl w:val="0"/>
          <w:numId w:val="1"/>
        </w:numPr>
        <w:spacing w:line="360" w:lineRule="auto"/>
        <w:rPr>
          <w:rFonts w:asciiTheme="minorEastAsia" w:hAnsiTheme="minorEastAsia" w:eastAsiaTheme="minorEastAsia" w:cstheme="minorEastAsia"/>
          <w:b/>
          <w:bCs/>
          <w:color w:val="auto"/>
          <w:sz w:val="24"/>
          <w:szCs w:val="24"/>
          <w:highlight w:val="none"/>
          <w:lang w:eastAsia="zh-CN" w:bidi="ar"/>
        </w:rPr>
      </w:pPr>
      <w:r>
        <w:rPr>
          <w:rFonts w:asciiTheme="minorEastAsia" w:hAnsiTheme="minorEastAsia" w:eastAsiaTheme="minorEastAsia" w:cstheme="minorEastAsia"/>
          <w:b/>
          <w:bCs/>
          <w:color w:val="auto"/>
          <w:sz w:val="24"/>
          <w:szCs w:val="24"/>
          <w:highlight w:val="none"/>
          <w:lang w:eastAsia="zh-CN" w:bidi="ar"/>
        </w:rPr>
        <w:t xml:space="preserve"> 成果内容及交付要求</w:t>
      </w:r>
    </w:p>
    <w:p w14:paraId="69CFD37F">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5.1</w:t>
      </w:r>
      <w:r>
        <w:rPr>
          <w:rStyle w:val="6"/>
          <w:rFonts w:hAnsi="宋体" w:eastAsia="宋体" w:cs="宋体"/>
          <w:color w:val="auto"/>
          <w:kern w:val="2"/>
          <w:sz w:val="24"/>
          <w:szCs w:val="24"/>
          <w:highlight w:val="none"/>
        </w:rPr>
        <w:t>纸质成果</w:t>
      </w:r>
    </w:p>
    <w:p w14:paraId="25C8DD3B">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5.1.1</w:t>
      </w:r>
      <w:r>
        <w:rPr>
          <w:rStyle w:val="6"/>
          <w:rFonts w:hAnsi="宋体" w:eastAsia="宋体" w:cs="宋体"/>
          <w:color w:val="auto"/>
          <w:kern w:val="2"/>
          <w:sz w:val="24"/>
          <w:szCs w:val="24"/>
          <w:highlight w:val="none"/>
        </w:rPr>
        <w:t> 标准测绘成果图件</w:t>
      </w:r>
      <w:r>
        <w:rPr>
          <w:rStyle w:val="6"/>
          <w:rFonts w:hint="eastAsia" w:hAnsi="宋体" w:eastAsia="宋体" w:cs="宋体"/>
          <w:color w:val="auto"/>
          <w:kern w:val="2"/>
          <w:sz w:val="24"/>
          <w:szCs w:val="24"/>
          <w:highlight w:val="none"/>
          <w:lang w:val="en-US"/>
        </w:rPr>
        <w:t>2</w:t>
      </w:r>
      <w:r>
        <w:rPr>
          <w:rStyle w:val="6"/>
          <w:rFonts w:hAnsi="宋体" w:eastAsia="宋体" w:cs="宋体"/>
          <w:color w:val="auto"/>
          <w:kern w:val="2"/>
          <w:sz w:val="24"/>
          <w:szCs w:val="24"/>
          <w:highlight w:val="none"/>
        </w:rPr>
        <w:t>套</w:t>
      </w:r>
      <w:r>
        <w:rPr>
          <w:rStyle w:val="6"/>
          <w:rFonts w:hint="eastAsia" w:hAnsi="宋体" w:eastAsia="宋体" w:cs="宋体"/>
          <w:color w:val="auto"/>
          <w:kern w:val="2"/>
          <w:sz w:val="24"/>
          <w:szCs w:val="24"/>
          <w:highlight w:val="none"/>
          <w:lang w:val="en-US"/>
        </w:rPr>
        <w:t>;</w:t>
      </w:r>
    </w:p>
    <w:p w14:paraId="5E03CEA0">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5.1.2</w:t>
      </w:r>
      <w:r>
        <w:rPr>
          <w:rStyle w:val="6"/>
          <w:rFonts w:hAnsi="宋体" w:eastAsia="宋体" w:cs="宋体"/>
          <w:color w:val="auto"/>
          <w:kern w:val="2"/>
          <w:sz w:val="24"/>
          <w:szCs w:val="24"/>
          <w:highlight w:val="none"/>
        </w:rPr>
        <w:t> 测绘技术总结、质量检查报告</w:t>
      </w:r>
      <w:r>
        <w:rPr>
          <w:rStyle w:val="6"/>
          <w:rFonts w:hint="eastAsia" w:hAnsi="宋体" w:eastAsia="宋体" w:cs="宋体"/>
          <w:color w:val="auto"/>
          <w:kern w:val="2"/>
          <w:sz w:val="24"/>
          <w:szCs w:val="24"/>
          <w:highlight w:val="none"/>
          <w:lang w:val="en-US"/>
        </w:rPr>
        <w:t>;</w:t>
      </w:r>
    </w:p>
    <w:p w14:paraId="0F1EDFE2">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5.1.3</w:t>
      </w:r>
      <w:r>
        <w:rPr>
          <w:rStyle w:val="6"/>
          <w:rFonts w:hAnsi="宋体" w:eastAsia="宋体" w:cs="宋体"/>
          <w:color w:val="auto"/>
          <w:kern w:val="2"/>
          <w:sz w:val="24"/>
          <w:szCs w:val="24"/>
          <w:highlight w:val="none"/>
        </w:rPr>
        <w:t> 测量原始记录表、控制点成果表</w:t>
      </w:r>
      <w:r>
        <w:rPr>
          <w:rStyle w:val="6"/>
          <w:rFonts w:hint="eastAsia" w:hAnsi="宋体" w:eastAsia="宋体" w:cs="宋体"/>
          <w:color w:val="auto"/>
          <w:kern w:val="2"/>
          <w:sz w:val="24"/>
          <w:szCs w:val="24"/>
          <w:highlight w:val="none"/>
          <w:lang w:val="en-US"/>
        </w:rPr>
        <w:t>;</w:t>
      </w:r>
    </w:p>
    <w:p w14:paraId="2166598C">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5.1.4</w:t>
      </w:r>
      <w:r>
        <w:rPr>
          <w:rStyle w:val="6"/>
          <w:rFonts w:hAnsi="宋体" w:eastAsia="宋体" w:cs="宋体"/>
          <w:color w:val="auto"/>
          <w:kern w:val="2"/>
          <w:sz w:val="24"/>
          <w:szCs w:val="24"/>
          <w:highlight w:val="none"/>
        </w:rPr>
        <w:t> 面积统计表配套资料</w:t>
      </w:r>
      <w:r>
        <w:rPr>
          <w:rStyle w:val="6"/>
          <w:rFonts w:hint="eastAsia" w:hAnsi="宋体" w:eastAsia="宋体" w:cs="宋体"/>
          <w:color w:val="auto"/>
          <w:kern w:val="2"/>
          <w:sz w:val="24"/>
          <w:szCs w:val="24"/>
          <w:highlight w:val="none"/>
          <w:lang w:val="en-US"/>
        </w:rPr>
        <w:t>;</w:t>
      </w:r>
    </w:p>
    <w:p w14:paraId="67730451">
      <w:pPr>
        <w:kinsoku/>
        <w:autoSpaceDE/>
        <w:autoSpaceDN/>
        <w:adjustRightInd/>
        <w:snapToGrid/>
        <w:spacing w:line="360" w:lineRule="auto"/>
        <w:rPr>
          <w:rStyle w:val="6"/>
          <w:rFonts w:hAnsi="宋体" w:eastAsia="宋体" w:cs="宋体"/>
          <w:color w:val="auto"/>
          <w:kern w:val="2"/>
          <w:sz w:val="24"/>
          <w:szCs w:val="24"/>
          <w:highlight w:val="none"/>
        </w:rPr>
      </w:pPr>
      <w:r>
        <w:rPr>
          <w:rStyle w:val="6"/>
          <w:rFonts w:hint="eastAsia" w:hAnsi="宋体" w:eastAsia="宋体" w:cs="宋体"/>
          <w:color w:val="auto"/>
          <w:kern w:val="2"/>
          <w:sz w:val="24"/>
          <w:szCs w:val="24"/>
          <w:highlight w:val="none"/>
        </w:rPr>
        <w:t xml:space="preserve">5.2 </w:t>
      </w:r>
      <w:r>
        <w:rPr>
          <w:rStyle w:val="6"/>
          <w:rFonts w:hAnsi="宋体" w:eastAsia="宋体" w:cs="宋体"/>
          <w:color w:val="auto"/>
          <w:kern w:val="2"/>
          <w:sz w:val="24"/>
          <w:szCs w:val="24"/>
          <w:highlight w:val="none"/>
        </w:rPr>
        <w:t>电子成果</w:t>
      </w:r>
    </w:p>
    <w:p w14:paraId="506AC9B6">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5.2.1</w:t>
      </w:r>
      <w:r>
        <w:rPr>
          <w:rStyle w:val="6"/>
          <w:rFonts w:hAnsi="宋体" w:eastAsia="宋体" w:cs="宋体"/>
          <w:color w:val="auto"/>
          <w:kern w:val="2"/>
          <w:sz w:val="24"/>
          <w:szCs w:val="24"/>
          <w:highlight w:val="none"/>
        </w:rPr>
        <w:t> CAD格式（.dwg）标准地形图、</w:t>
      </w:r>
      <w:r>
        <w:rPr>
          <w:rStyle w:val="6"/>
          <w:rFonts w:hint="eastAsia" w:hAnsi="宋体" w:eastAsia="宋体" w:cs="宋体"/>
          <w:color w:val="auto"/>
          <w:kern w:val="2"/>
          <w:sz w:val="24"/>
          <w:szCs w:val="24"/>
          <w:highlight w:val="none"/>
        </w:rPr>
        <w:t>立面</w:t>
      </w:r>
      <w:r>
        <w:rPr>
          <w:rStyle w:val="6"/>
          <w:rFonts w:hAnsi="宋体" w:eastAsia="宋体" w:cs="宋体"/>
          <w:color w:val="auto"/>
          <w:kern w:val="2"/>
          <w:sz w:val="24"/>
          <w:szCs w:val="24"/>
          <w:highlight w:val="none"/>
        </w:rPr>
        <w:t>图</w:t>
      </w:r>
      <w:r>
        <w:rPr>
          <w:rStyle w:val="6"/>
          <w:rFonts w:hint="eastAsia" w:hAnsi="宋体" w:eastAsia="宋体" w:cs="宋体"/>
          <w:color w:val="auto"/>
          <w:kern w:val="2"/>
          <w:sz w:val="24"/>
          <w:szCs w:val="24"/>
          <w:highlight w:val="none"/>
          <w:lang w:val="en-US"/>
        </w:rPr>
        <w:t>;</w:t>
      </w:r>
    </w:p>
    <w:p w14:paraId="4E7985FB">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5.2.2</w:t>
      </w:r>
      <w:r>
        <w:rPr>
          <w:rStyle w:val="6"/>
          <w:rFonts w:hAnsi="宋体" w:eastAsia="宋体" w:cs="宋体"/>
          <w:color w:val="auto"/>
          <w:kern w:val="2"/>
          <w:sz w:val="24"/>
          <w:szCs w:val="24"/>
          <w:highlight w:val="none"/>
        </w:rPr>
        <w:t> 面积数据表格、Excel成果台账</w:t>
      </w:r>
      <w:r>
        <w:rPr>
          <w:rStyle w:val="6"/>
          <w:rFonts w:hint="eastAsia" w:hAnsi="宋体" w:eastAsia="宋体" w:cs="宋体"/>
          <w:color w:val="auto"/>
          <w:kern w:val="2"/>
          <w:sz w:val="24"/>
          <w:szCs w:val="24"/>
          <w:highlight w:val="none"/>
          <w:lang w:val="en-US"/>
        </w:rPr>
        <w:t>;</w:t>
      </w:r>
    </w:p>
    <w:p w14:paraId="19AE03B0">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5.2.3</w:t>
      </w:r>
      <w:r>
        <w:rPr>
          <w:rStyle w:val="6"/>
          <w:rFonts w:hAnsi="宋体" w:eastAsia="宋体" w:cs="宋体"/>
          <w:color w:val="auto"/>
          <w:kern w:val="2"/>
          <w:sz w:val="24"/>
          <w:szCs w:val="24"/>
          <w:highlight w:val="none"/>
        </w:rPr>
        <w:t> 航测正射影像DOM、点云数据、航拍影像（如有）</w:t>
      </w:r>
      <w:r>
        <w:rPr>
          <w:rStyle w:val="6"/>
          <w:rFonts w:hint="eastAsia" w:hAnsi="宋体" w:eastAsia="宋体" w:cs="宋体"/>
          <w:color w:val="auto"/>
          <w:kern w:val="2"/>
          <w:sz w:val="24"/>
          <w:szCs w:val="24"/>
          <w:highlight w:val="none"/>
          <w:lang w:val="en-US"/>
        </w:rPr>
        <w:t>;</w:t>
      </w:r>
    </w:p>
    <w:p w14:paraId="39C95A8D">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5.2.4</w:t>
      </w:r>
      <w:r>
        <w:rPr>
          <w:rStyle w:val="6"/>
          <w:rFonts w:hAnsi="宋体" w:eastAsia="宋体" w:cs="宋体"/>
          <w:color w:val="auto"/>
          <w:kern w:val="2"/>
          <w:sz w:val="24"/>
          <w:szCs w:val="24"/>
          <w:highlight w:val="none"/>
        </w:rPr>
        <w:t> 符合自然资源部门入库标准矢量数据、shp格式数据</w:t>
      </w:r>
      <w:r>
        <w:rPr>
          <w:rStyle w:val="6"/>
          <w:rFonts w:hint="eastAsia" w:hAnsi="宋体" w:eastAsia="宋体" w:cs="宋体"/>
          <w:color w:val="auto"/>
          <w:kern w:val="2"/>
          <w:sz w:val="24"/>
          <w:szCs w:val="24"/>
          <w:highlight w:val="none"/>
          <w:lang w:val="en-US"/>
        </w:rPr>
        <w:t>;</w:t>
      </w:r>
    </w:p>
    <w:p w14:paraId="3BA18C03">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5.2.5</w:t>
      </w:r>
      <w:r>
        <w:rPr>
          <w:rStyle w:val="6"/>
          <w:rFonts w:hAnsi="宋体" w:eastAsia="宋体" w:cs="宋体"/>
          <w:color w:val="auto"/>
          <w:kern w:val="2"/>
          <w:sz w:val="24"/>
          <w:szCs w:val="24"/>
          <w:highlight w:val="none"/>
        </w:rPr>
        <w:t> 全套成果刻录U盘</w:t>
      </w:r>
      <w:r>
        <w:rPr>
          <w:rStyle w:val="6"/>
          <w:rFonts w:hint="eastAsia" w:hAnsi="宋体" w:eastAsia="宋体" w:cs="宋体"/>
          <w:color w:val="auto"/>
          <w:kern w:val="2"/>
          <w:sz w:val="24"/>
          <w:szCs w:val="24"/>
          <w:highlight w:val="none"/>
          <w:lang w:val="en-US"/>
        </w:rPr>
        <w:t>或</w:t>
      </w:r>
      <w:r>
        <w:rPr>
          <w:rStyle w:val="6"/>
          <w:rFonts w:hAnsi="宋体" w:eastAsia="宋体" w:cs="宋体"/>
          <w:color w:val="auto"/>
          <w:kern w:val="2"/>
          <w:sz w:val="24"/>
          <w:szCs w:val="24"/>
          <w:highlight w:val="none"/>
        </w:rPr>
        <w:t>光盘归档交付</w:t>
      </w:r>
      <w:r>
        <w:rPr>
          <w:rStyle w:val="6"/>
          <w:rFonts w:hint="eastAsia" w:hAnsi="宋体" w:eastAsia="宋体" w:cs="宋体"/>
          <w:color w:val="auto"/>
          <w:kern w:val="2"/>
          <w:sz w:val="24"/>
          <w:szCs w:val="24"/>
          <w:highlight w:val="none"/>
          <w:lang w:val="en-US"/>
        </w:rPr>
        <w:t>;</w:t>
      </w:r>
    </w:p>
    <w:p w14:paraId="5AAD9358">
      <w:pPr>
        <w:numPr>
          <w:ilvl w:val="0"/>
          <w:numId w:val="1"/>
        </w:numPr>
        <w:spacing w:line="360" w:lineRule="auto"/>
        <w:rPr>
          <w:rFonts w:asciiTheme="minorEastAsia" w:hAnsiTheme="minorEastAsia" w:eastAsiaTheme="minorEastAsia" w:cstheme="minorEastAsia"/>
          <w:b/>
          <w:bCs/>
          <w:color w:val="auto"/>
          <w:sz w:val="24"/>
          <w:szCs w:val="24"/>
          <w:highlight w:val="none"/>
          <w:lang w:eastAsia="zh-CN" w:bidi="ar"/>
        </w:rPr>
      </w:pPr>
      <w:r>
        <w:rPr>
          <w:rFonts w:asciiTheme="minorEastAsia" w:hAnsiTheme="minorEastAsia" w:eastAsiaTheme="minorEastAsia" w:cstheme="minorEastAsia"/>
          <w:b/>
          <w:bCs/>
          <w:color w:val="auto"/>
          <w:sz w:val="24"/>
          <w:szCs w:val="24"/>
          <w:highlight w:val="none"/>
          <w:lang w:eastAsia="zh-CN" w:bidi="ar"/>
        </w:rPr>
        <w:t xml:space="preserve"> 人员要求</w:t>
      </w:r>
    </w:p>
    <w:p w14:paraId="3613C426">
      <w:pPr>
        <w:kinsoku/>
        <w:autoSpaceDE/>
        <w:autoSpaceDN/>
        <w:adjustRightInd/>
        <w:snapToGrid/>
        <w:spacing w:line="360" w:lineRule="auto"/>
        <w:rPr>
          <w:rStyle w:val="6"/>
          <w:rFonts w:hint="eastAsia" w:hAnsi="宋体" w:eastAsia="宋体" w:cs="宋体"/>
          <w:b w:val="0"/>
          <w:bCs w:val="0"/>
          <w:color w:val="auto"/>
          <w:kern w:val="2"/>
          <w:sz w:val="24"/>
          <w:szCs w:val="24"/>
          <w:highlight w:val="none"/>
          <w:lang w:val="en-US" w:eastAsia="zh-CN"/>
        </w:rPr>
      </w:pPr>
      <w:r>
        <w:rPr>
          <w:rStyle w:val="6"/>
          <w:rFonts w:hint="eastAsia" w:hAnsi="宋体" w:eastAsia="宋体" w:cs="宋体"/>
          <w:b w:val="0"/>
          <w:bCs w:val="0"/>
          <w:color w:val="auto"/>
          <w:kern w:val="2"/>
          <w:sz w:val="24"/>
          <w:szCs w:val="24"/>
          <w:highlight w:val="none"/>
          <w:lang w:val="en-US"/>
        </w:rPr>
        <w:t>6.1 </w:t>
      </w:r>
      <w:r>
        <w:rPr>
          <w:rStyle w:val="6"/>
          <w:rFonts w:hint="eastAsia" w:hAnsi="宋体" w:eastAsia="宋体" w:cs="宋体"/>
          <w:b w:val="0"/>
          <w:bCs w:val="0"/>
          <w:color w:val="auto"/>
          <w:kern w:val="2"/>
          <w:sz w:val="24"/>
          <w:szCs w:val="24"/>
          <w:highlight w:val="none"/>
          <w:lang w:val="en-US" w:eastAsia="zh-CN"/>
        </w:rPr>
        <w:t>项目负责人须具备测绘相关专业中级或以上职称.(提供相关证书佐证)</w:t>
      </w:r>
    </w:p>
    <w:p w14:paraId="7418BB65">
      <w:pPr>
        <w:kinsoku/>
        <w:autoSpaceDE/>
        <w:autoSpaceDN/>
        <w:adjustRightInd/>
        <w:snapToGrid/>
        <w:spacing w:line="360" w:lineRule="auto"/>
        <w:rPr>
          <w:rStyle w:val="6"/>
          <w:rFonts w:hint="eastAsia" w:hAnsi="宋体" w:eastAsia="宋体" w:cs="宋体"/>
          <w:b/>
          <w:bCs/>
          <w:color w:val="auto"/>
          <w:kern w:val="2"/>
          <w:sz w:val="24"/>
          <w:szCs w:val="24"/>
          <w:highlight w:val="none"/>
          <w:lang w:val="en-US"/>
        </w:rPr>
      </w:pPr>
      <w:r>
        <w:rPr>
          <w:rStyle w:val="6"/>
          <w:rFonts w:hint="eastAsia" w:hAnsi="宋体" w:eastAsia="宋体" w:cs="宋体"/>
          <w:b w:val="0"/>
          <w:bCs w:val="0"/>
          <w:color w:val="auto"/>
          <w:kern w:val="2"/>
          <w:sz w:val="24"/>
          <w:szCs w:val="24"/>
          <w:highlight w:val="none"/>
          <w:lang w:val="en-US"/>
        </w:rPr>
        <w:t>6.2 </w:t>
      </w:r>
      <w:r>
        <w:rPr>
          <w:rStyle w:val="6"/>
          <w:rFonts w:hint="eastAsia" w:hAnsi="宋体" w:eastAsia="宋体" w:cs="宋体"/>
          <w:b w:val="0"/>
          <w:bCs w:val="0"/>
          <w:color w:val="auto"/>
          <w:kern w:val="2"/>
          <w:sz w:val="24"/>
          <w:szCs w:val="24"/>
          <w:highlight w:val="none"/>
          <w:lang w:val="en-US" w:eastAsia="zh-CN"/>
        </w:rPr>
        <w:t>拟派本项目的相关技术人员不少于10人（除项目负责人外）（提供本单位为其缴纳的开标截止时间前 6个月内任意1个月的社保证明材料加盖投标单位公章佐证）</w:t>
      </w:r>
    </w:p>
    <w:p w14:paraId="215A06CD">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b/>
          <w:bCs/>
          <w:color w:val="auto"/>
          <w:kern w:val="2"/>
          <w:sz w:val="24"/>
          <w:szCs w:val="24"/>
          <w:highlight w:val="none"/>
          <w:lang w:val="en-US"/>
        </w:rPr>
        <w:t>7、设备要求:</w:t>
      </w:r>
    </w:p>
    <w:p w14:paraId="11DE0E39">
      <w:pPr>
        <w:kinsoku/>
        <w:autoSpaceDE/>
        <w:autoSpaceDN/>
        <w:adjustRightInd/>
        <w:snapToGrid/>
        <w:spacing w:line="360" w:lineRule="auto"/>
        <w:rPr>
          <w:rStyle w:val="6"/>
          <w:rFonts w:hint="eastAsia"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lang w:val="en-US"/>
        </w:rPr>
        <w:t>7.1</w:t>
      </w:r>
      <w:r>
        <w:rPr>
          <w:rStyle w:val="6"/>
          <w:rFonts w:hAnsi="宋体" w:eastAsia="宋体" w:cs="宋体"/>
          <w:color w:val="auto"/>
          <w:kern w:val="2"/>
          <w:sz w:val="24"/>
          <w:szCs w:val="24"/>
          <w:highlight w:val="none"/>
        </w:rPr>
        <w:t> </w:t>
      </w:r>
      <w:r>
        <w:rPr>
          <w:rStyle w:val="6"/>
          <w:rFonts w:hint="eastAsia" w:hAnsi="宋体" w:eastAsia="宋体" w:cs="宋体"/>
          <w:color w:val="auto"/>
          <w:kern w:val="2"/>
          <w:sz w:val="24"/>
          <w:szCs w:val="24"/>
          <w:highlight w:val="none"/>
          <w:lang w:val="en-US"/>
        </w:rPr>
        <w:t>具</w:t>
      </w:r>
      <w:r>
        <w:rPr>
          <w:rStyle w:val="6"/>
          <w:rFonts w:hAnsi="宋体" w:eastAsia="宋体" w:cs="宋体"/>
          <w:color w:val="auto"/>
          <w:kern w:val="2"/>
          <w:sz w:val="24"/>
          <w:szCs w:val="24"/>
          <w:highlight w:val="none"/>
        </w:rPr>
        <w:t>有专业测绘设备：</w:t>
      </w:r>
      <w:r>
        <w:rPr>
          <w:rStyle w:val="6"/>
          <w:rFonts w:hint="eastAsia" w:hAnsi="宋体" w:eastAsia="宋体" w:cs="宋体"/>
          <w:color w:val="auto"/>
          <w:kern w:val="2"/>
          <w:sz w:val="24"/>
          <w:szCs w:val="24"/>
          <w:highlight w:val="none"/>
          <w:lang w:val="en-US"/>
        </w:rPr>
        <w:t>全站仪2台、GNSS接收机2台、无人机1台</w:t>
      </w:r>
    </w:p>
    <w:p w14:paraId="6E56C74D">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rPr>
        <w:t>（</w:t>
      </w:r>
      <w:r>
        <w:rPr>
          <w:rStyle w:val="6"/>
          <w:rFonts w:hint="eastAsia" w:hAnsi="宋体" w:eastAsia="宋体" w:cs="宋体"/>
          <w:color w:val="auto"/>
          <w:kern w:val="2"/>
          <w:sz w:val="24"/>
          <w:szCs w:val="24"/>
          <w:highlight w:val="none"/>
          <w:lang w:val="en-US" w:eastAsia="zh-CN"/>
        </w:rPr>
        <w:t>自有设备提供投标人设备购置发票复印件加盖投标单位公章佐证；租赁设备提供租赁合同以及租赁人设备购置发票复印件加盖投标单位公章佐证）;</w:t>
      </w:r>
    </w:p>
    <w:p w14:paraId="72F1F605">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lang w:val="en-US"/>
        </w:rPr>
        <w:t>7.2</w:t>
      </w:r>
      <w:r>
        <w:rPr>
          <w:rStyle w:val="6"/>
          <w:rFonts w:hAnsi="宋体" w:eastAsia="宋体" w:cs="宋体"/>
          <w:color w:val="auto"/>
          <w:kern w:val="2"/>
          <w:sz w:val="24"/>
          <w:szCs w:val="24"/>
          <w:highlight w:val="none"/>
        </w:rPr>
        <w:t> 具备独立外业踏勘、实地测量、内业数据处理、成果自检全套作业能力</w:t>
      </w:r>
      <w:r>
        <w:rPr>
          <w:rStyle w:val="6"/>
          <w:rFonts w:hint="eastAsia" w:hAnsi="宋体" w:eastAsia="宋体" w:cs="宋体"/>
          <w:color w:val="auto"/>
          <w:kern w:val="2"/>
          <w:sz w:val="24"/>
          <w:szCs w:val="24"/>
          <w:highlight w:val="none"/>
          <w:lang w:val="en-US"/>
        </w:rPr>
        <w:t>;</w:t>
      </w:r>
    </w:p>
    <w:p w14:paraId="5709117B">
      <w:pPr>
        <w:numPr>
          <w:ilvl w:val="0"/>
          <w:numId w:val="0"/>
        </w:numPr>
        <w:spacing w:line="360" w:lineRule="auto"/>
        <w:rPr>
          <w:rFonts w:asciiTheme="minorEastAsia" w:hAnsiTheme="minorEastAsia" w:eastAsiaTheme="minorEastAsia" w:cstheme="minorEastAsia"/>
          <w:b/>
          <w:bCs/>
          <w:color w:val="auto"/>
          <w:sz w:val="24"/>
          <w:szCs w:val="24"/>
          <w:highlight w:val="none"/>
          <w:lang w:eastAsia="zh-CN" w:bidi="ar"/>
        </w:rPr>
      </w:pPr>
      <w:r>
        <w:rPr>
          <w:rFonts w:hint="eastAsia" w:asciiTheme="minorEastAsia" w:hAnsiTheme="minorEastAsia" w:eastAsiaTheme="minorEastAsia" w:cstheme="minorEastAsia"/>
          <w:b/>
          <w:bCs/>
          <w:color w:val="auto"/>
          <w:sz w:val="24"/>
          <w:szCs w:val="24"/>
          <w:highlight w:val="none"/>
          <w:lang w:val="en-US" w:eastAsia="zh-CN" w:bidi="ar"/>
        </w:rPr>
        <w:t>8、</w:t>
      </w:r>
      <w:r>
        <w:rPr>
          <w:rFonts w:asciiTheme="minorEastAsia" w:hAnsiTheme="minorEastAsia" w:eastAsiaTheme="minorEastAsia" w:cstheme="minorEastAsia"/>
          <w:b/>
          <w:bCs/>
          <w:color w:val="auto"/>
          <w:sz w:val="24"/>
          <w:szCs w:val="24"/>
          <w:highlight w:val="none"/>
          <w:lang w:eastAsia="zh-CN" w:bidi="ar"/>
        </w:rPr>
        <w:t>作业流程要求</w:t>
      </w:r>
    </w:p>
    <w:p w14:paraId="35BF0711">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lang w:val="en-US"/>
        </w:rPr>
        <w:t>8.</w:t>
      </w:r>
      <w:r>
        <w:rPr>
          <w:rStyle w:val="6"/>
          <w:rFonts w:hint="eastAsia" w:hAnsi="宋体" w:eastAsia="宋体" w:cs="宋体"/>
          <w:color w:val="auto"/>
          <w:kern w:val="2"/>
          <w:sz w:val="24"/>
          <w:szCs w:val="24"/>
          <w:highlight w:val="none"/>
        </w:rPr>
        <w:t>1</w:t>
      </w:r>
      <w:r>
        <w:rPr>
          <w:rStyle w:val="6"/>
          <w:rFonts w:hAnsi="宋体" w:eastAsia="宋体" w:cs="宋体"/>
          <w:color w:val="auto"/>
          <w:kern w:val="2"/>
          <w:sz w:val="24"/>
          <w:szCs w:val="24"/>
          <w:highlight w:val="none"/>
        </w:rPr>
        <w:t> 前期现场踏勘，核对项目范围、地界、权属现状</w:t>
      </w:r>
      <w:r>
        <w:rPr>
          <w:rStyle w:val="6"/>
          <w:rFonts w:hint="eastAsia" w:hAnsi="宋体" w:eastAsia="宋体" w:cs="宋体"/>
          <w:color w:val="auto"/>
          <w:kern w:val="2"/>
          <w:sz w:val="24"/>
          <w:szCs w:val="24"/>
          <w:highlight w:val="none"/>
          <w:lang w:val="en-US"/>
        </w:rPr>
        <w:t>;</w:t>
      </w:r>
    </w:p>
    <w:p w14:paraId="00E1C251">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lang w:val="en-US"/>
        </w:rPr>
        <w:t>8.</w:t>
      </w:r>
      <w:r>
        <w:rPr>
          <w:rStyle w:val="6"/>
          <w:rFonts w:hint="eastAsia" w:hAnsi="宋体" w:eastAsia="宋体" w:cs="宋体"/>
          <w:color w:val="auto"/>
          <w:kern w:val="2"/>
          <w:sz w:val="24"/>
          <w:szCs w:val="24"/>
          <w:highlight w:val="none"/>
        </w:rPr>
        <w:t>2</w:t>
      </w:r>
      <w:r>
        <w:rPr>
          <w:rStyle w:val="6"/>
          <w:rFonts w:hAnsi="宋体" w:eastAsia="宋体" w:cs="宋体"/>
          <w:color w:val="auto"/>
          <w:kern w:val="2"/>
          <w:sz w:val="24"/>
          <w:szCs w:val="24"/>
          <w:highlight w:val="none"/>
        </w:rPr>
        <w:t> 布设平面及高程控制网，完成控制点引测与复核</w:t>
      </w:r>
      <w:r>
        <w:rPr>
          <w:rStyle w:val="6"/>
          <w:rFonts w:hint="eastAsia" w:hAnsi="宋体" w:eastAsia="宋体" w:cs="宋体"/>
          <w:color w:val="auto"/>
          <w:kern w:val="2"/>
          <w:sz w:val="24"/>
          <w:szCs w:val="24"/>
          <w:highlight w:val="none"/>
          <w:lang w:val="en-US"/>
        </w:rPr>
        <w:t>;</w:t>
      </w:r>
    </w:p>
    <w:p w14:paraId="42516870">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lang w:val="en-US"/>
        </w:rPr>
        <w:t>8.</w:t>
      </w:r>
      <w:r>
        <w:rPr>
          <w:rStyle w:val="6"/>
          <w:rFonts w:hint="eastAsia" w:hAnsi="宋体" w:eastAsia="宋体" w:cs="宋体"/>
          <w:color w:val="auto"/>
          <w:kern w:val="2"/>
          <w:sz w:val="24"/>
          <w:szCs w:val="24"/>
          <w:highlight w:val="none"/>
        </w:rPr>
        <w:t>3</w:t>
      </w:r>
      <w:r>
        <w:rPr>
          <w:rStyle w:val="6"/>
          <w:rFonts w:hAnsi="宋体" w:eastAsia="宋体" w:cs="宋体"/>
          <w:color w:val="auto"/>
          <w:kern w:val="2"/>
          <w:sz w:val="24"/>
          <w:szCs w:val="24"/>
          <w:highlight w:val="none"/>
        </w:rPr>
        <w:t> 全范围实地外业数据采集，无漏测、错测</w:t>
      </w:r>
      <w:r>
        <w:rPr>
          <w:rStyle w:val="6"/>
          <w:rFonts w:hint="eastAsia" w:hAnsi="宋体" w:eastAsia="宋体" w:cs="宋体"/>
          <w:color w:val="auto"/>
          <w:kern w:val="2"/>
          <w:sz w:val="24"/>
          <w:szCs w:val="24"/>
          <w:highlight w:val="none"/>
          <w:lang w:val="en-US"/>
        </w:rPr>
        <w:t>;</w:t>
      </w:r>
    </w:p>
    <w:p w14:paraId="50168669">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lang w:val="en-US"/>
        </w:rPr>
        <w:t>8.</w:t>
      </w:r>
      <w:r>
        <w:rPr>
          <w:rStyle w:val="6"/>
          <w:rFonts w:hint="eastAsia" w:hAnsi="宋体" w:eastAsia="宋体" w:cs="宋体"/>
          <w:color w:val="auto"/>
          <w:kern w:val="2"/>
          <w:sz w:val="24"/>
          <w:szCs w:val="24"/>
          <w:highlight w:val="none"/>
        </w:rPr>
        <w:t>4</w:t>
      </w:r>
      <w:r>
        <w:rPr>
          <w:rStyle w:val="6"/>
          <w:rFonts w:hAnsi="宋体" w:eastAsia="宋体" w:cs="宋体"/>
          <w:color w:val="auto"/>
          <w:kern w:val="2"/>
          <w:sz w:val="24"/>
          <w:szCs w:val="24"/>
          <w:highlight w:val="none"/>
        </w:rPr>
        <w:t> 内业成图、数据整理、图面整饰</w:t>
      </w:r>
      <w:r>
        <w:rPr>
          <w:rStyle w:val="6"/>
          <w:rFonts w:hint="eastAsia" w:hAnsi="宋体" w:eastAsia="宋体" w:cs="宋体"/>
          <w:color w:val="auto"/>
          <w:kern w:val="2"/>
          <w:sz w:val="24"/>
          <w:szCs w:val="24"/>
          <w:highlight w:val="none"/>
          <w:lang w:val="en-US"/>
        </w:rPr>
        <w:t>;</w:t>
      </w:r>
    </w:p>
    <w:p w14:paraId="7CD8B9E2">
      <w:pPr>
        <w:kinsoku/>
        <w:autoSpaceDE/>
        <w:autoSpaceDN/>
        <w:adjustRightInd/>
        <w:snapToGrid/>
        <w:spacing w:line="360" w:lineRule="auto"/>
        <w:rPr>
          <w:rStyle w:val="6"/>
          <w:rFonts w:hint="default" w:hAnsi="宋体" w:eastAsia="宋体" w:cs="宋体"/>
          <w:color w:val="auto"/>
          <w:kern w:val="2"/>
          <w:sz w:val="24"/>
          <w:szCs w:val="24"/>
          <w:highlight w:val="none"/>
          <w:lang w:val="en-US"/>
        </w:rPr>
      </w:pPr>
      <w:r>
        <w:rPr>
          <w:rStyle w:val="6"/>
          <w:rFonts w:hint="eastAsia" w:hAnsi="宋体" w:eastAsia="宋体" w:cs="宋体"/>
          <w:color w:val="auto"/>
          <w:kern w:val="2"/>
          <w:sz w:val="24"/>
          <w:szCs w:val="24"/>
          <w:highlight w:val="none"/>
          <w:lang w:val="en-US"/>
        </w:rPr>
        <w:t>8.</w:t>
      </w:r>
      <w:r>
        <w:rPr>
          <w:rStyle w:val="6"/>
          <w:rFonts w:hint="eastAsia" w:hAnsi="宋体" w:eastAsia="宋体" w:cs="宋体"/>
          <w:color w:val="auto"/>
          <w:kern w:val="2"/>
          <w:sz w:val="24"/>
          <w:szCs w:val="24"/>
          <w:highlight w:val="none"/>
        </w:rPr>
        <w:t>5</w:t>
      </w:r>
      <w:r>
        <w:rPr>
          <w:rStyle w:val="6"/>
          <w:rFonts w:hAnsi="宋体" w:eastAsia="宋体" w:cs="宋体"/>
          <w:color w:val="auto"/>
          <w:kern w:val="2"/>
          <w:sz w:val="24"/>
          <w:szCs w:val="24"/>
          <w:highlight w:val="none"/>
        </w:rPr>
        <w:t> 内部三级质量自查自纠，整改合格后提交甲方</w:t>
      </w:r>
      <w:r>
        <w:rPr>
          <w:rStyle w:val="6"/>
          <w:rFonts w:hint="eastAsia" w:hAnsi="宋体" w:eastAsia="宋体" w:cs="宋体"/>
          <w:color w:val="auto"/>
          <w:kern w:val="2"/>
          <w:sz w:val="24"/>
          <w:szCs w:val="24"/>
          <w:highlight w:val="none"/>
        </w:rPr>
        <w:t>审核</w:t>
      </w:r>
      <w:r>
        <w:rPr>
          <w:rStyle w:val="6"/>
          <w:rFonts w:hint="eastAsia" w:hAnsi="宋体" w:eastAsia="宋体" w:cs="宋体"/>
          <w:color w:val="auto"/>
          <w:kern w:val="2"/>
          <w:sz w:val="24"/>
          <w:szCs w:val="24"/>
          <w:highlight w:val="none"/>
          <w:lang w:val="en-US"/>
        </w:rPr>
        <w:t>;</w:t>
      </w:r>
    </w:p>
    <w:p w14:paraId="703B1D61">
      <w:pPr>
        <w:kinsoku/>
        <w:autoSpaceDE/>
        <w:autoSpaceDN/>
        <w:adjustRightInd/>
        <w:snapToGrid/>
        <w:spacing w:line="360" w:lineRule="auto"/>
        <w:rPr>
          <w:rStyle w:val="6"/>
          <w:rFonts w:hAnsi="宋体" w:eastAsia="宋体" w:cs="宋体"/>
          <w:b/>
          <w:bCs/>
          <w:color w:val="auto"/>
          <w:kern w:val="2"/>
          <w:sz w:val="24"/>
          <w:szCs w:val="24"/>
          <w:highlight w:val="none"/>
        </w:rPr>
      </w:pPr>
      <w:r>
        <w:rPr>
          <w:rStyle w:val="6"/>
          <w:rFonts w:hint="eastAsia" w:hAnsi="宋体" w:eastAsia="宋体" w:cs="宋体"/>
          <w:b/>
          <w:bCs/>
          <w:color w:val="auto"/>
          <w:kern w:val="2"/>
          <w:sz w:val="24"/>
          <w:szCs w:val="24"/>
          <w:highlight w:val="none"/>
        </w:rPr>
        <w:t>注：①本项目采用固定总价方式进行，供应商应根据项目要求和现场情况，详细列明项目所需的所有费用，如一旦成为本项目成交供应商，在项目实施中出现任何遗漏，均由成交供应商免费提供，采购人不再支付任何费用。</w:t>
      </w:r>
    </w:p>
    <w:p w14:paraId="1A798E6B">
      <w:pPr>
        <w:kinsoku/>
        <w:autoSpaceDE/>
        <w:autoSpaceDN/>
        <w:adjustRightInd/>
        <w:snapToGrid/>
        <w:spacing w:line="360" w:lineRule="auto"/>
        <w:rPr>
          <w:rStyle w:val="6"/>
          <w:rFonts w:hAnsi="宋体" w:eastAsia="宋体" w:cs="宋体"/>
          <w:b/>
          <w:bCs/>
          <w:color w:val="auto"/>
          <w:kern w:val="2"/>
          <w:sz w:val="24"/>
          <w:szCs w:val="24"/>
          <w:highlight w:val="none"/>
        </w:rPr>
      </w:pPr>
      <w:r>
        <w:rPr>
          <w:rStyle w:val="6"/>
          <w:rFonts w:hint="eastAsia" w:hAnsi="宋体" w:eastAsia="宋体" w:cs="宋体"/>
          <w:b/>
          <w:bCs/>
          <w:color w:val="auto"/>
          <w:kern w:val="2"/>
          <w:sz w:val="24"/>
          <w:szCs w:val="24"/>
          <w:highlight w:val="none"/>
        </w:rPr>
        <w:t xml:space="preserve">②本项目不组织踏勘，响应供应商如有需要请自行到施工现场踏勘，踏勘现场所发生的费用由潜在供应商自己承担。 </w:t>
      </w:r>
    </w:p>
    <w:p w14:paraId="5AD8219A">
      <w:pPr>
        <w:kinsoku/>
        <w:autoSpaceDE/>
        <w:autoSpaceDN/>
        <w:adjustRightInd/>
        <w:snapToGrid/>
        <w:spacing w:line="360" w:lineRule="auto"/>
        <w:rPr>
          <w:rStyle w:val="6"/>
          <w:rFonts w:hAnsi="宋体" w:eastAsia="宋体" w:cs="宋体"/>
          <w:b/>
          <w:bCs/>
          <w:color w:val="auto"/>
          <w:kern w:val="2"/>
          <w:sz w:val="24"/>
          <w:szCs w:val="24"/>
          <w:highlight w:val="none"/>
        </w:rPr>
      </w:pPr>
      <w:r>
        <w:rPr>
          <w:rStyle w:val="6"/>
          <w:rFonts w:hint="eastAsia" w:hAnsi="宋体" w:eastAsia="宋体" w:cs="宋体"/>
          <w:b/>
          <w:bCs/>
          <w:color w:val="auto"/>
          <w:kern w:val="2"/>
          <w:sz w:val="24"/>
          <w:szCs w:val="24"/>
          <w:highlight w:val="none"/>
        </w:rPr>
        <w:t>③以上技术要求供应商必须全部满足或优于,不得负偏离，否则作无效投标处理。</w:t>
      </w:r>
    </w:p>
    <w:p w14:paraId="35641601">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F80C41"/>
    <w:multiLevelType w:val="singleLevel"/>
    <w:tmpl w:val="A3F80C41"/>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63534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character" w:customStyle="1" w:styleId="6">
    <w:name w:val="NormalCharacter"/>
    <w:qFormat/>
    <w:uiPriority w:val="0"/>
    <w:rPr>
      <w:rFonts w:ascii="宋体" w:eastAsia="仿宋"/>
      <w:sz w:val="28"/>
      <w:szCs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Office_12.1.0.26373_F1E327BC-269C-435d-A152-05C5408002CA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2026-06-10T07:15:40Z</dcterms:created>
  <dc:creator>Administrator</dc:creator>
  <cp:lastModifiedBy>Administrator</cp:lastModifiedBy>
  <dcterms:modified xsi:type="dcterms:W3CDTF">2026-06-10T07:15:52Z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2052-12.1.0.26373</vt:lpwstr>
  </property>
  <property fmtid="{D5CDD505-2E9C-101B-9397-08002B2CF9AE}" pid="3" name="KSOTemplateDocerSaveRecord">
    <vt:lpwstr>eyJoZGlkIjoiZjlkY2QwYWU1ZWRmYTc3NGJkYjBkNDQ1MGY0OTQyNjQifQ==</vt:lpwstr>
  </property>
  <property fmtid="{D5CDD505-2E9C-101B-9397-08002B2CF9AE}" pid="4" name="ICV">
    <vt:lpwstr>B697AB06A9FB4CDF8672860DA7817029_12</vt:lpwstr>
  </property>
</Properties>
</file>