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A16A9D">
      <w:pPr>
        <w:widowControl w:val="0"/>
        <w:spacing w:before="63" w:line="224" w:lineRule="auto"/>
        <w:jc w:val="center"/>
        <w:rPr>
          <w:rFonts w:hint="eastAsia" w:ascii="宋体" w:hAnsi="宋体" w:eastAsia="宋体" w:cs="宋体"/>
          <w:color w:val="auto"/>
          <w:sz w:val="31"/>
          <w:szCs w:val="31"/>
          <w:highlight w:val="none"/>
          <w:lang w:eastAsia="zh-CN"/>
        </w:rPr>
      </w:pPr>
      <w:bookmarkStart w:id="2" w:name="_GoBack"/>
      <w:bookmarkEnd w:id="2"/>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3083C162">
      <w:pPr>
        <w:widowControl w:val="0"/>
        <w:spacing w:before="78" w:line="220" w:lineRule="auto"/>
        <w:outlineLvl w:val="1"/>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pPr>
    </w:p>
    <w:p w14:paraId="499E96DB">
      <w:pPr>
        <w:widowControl w:val="0"/>
        <w:spacing w:before="78" w:after="240" w:afterLines="100" w:line="220" w:lineRule="auto"/>
        <w:jc w:val="center"/>
        <w:outlineLvl w:val="1"/>
        <w:rPr>
          <w:color w:val="auto"/>
          <w:highlight w:val="none"/>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4"/>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062EA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640E299F">
            <w:pPr>
              <w:spacing w:line="360" w:lineRule="auto"/>
              <w:ind w:firstLine="465"/>
              <w:rPr>
                <w:rFonts w:hint="eastAsia" w:asciiTheme="minorEastAsia" w:hAnsiTheme="minorEastAsia" w:eastAsiaTheme="minorEastAsia" w:cstheme="minorEastAsia"/>
                <w:color w:val="auto"/>
                <w:sz w:val="24"/>
                <w:highlight w:val="none"/>
              </w:rPr>
            </w:pPr>
          </w:p>
          <w:p w14:paraId="0E5F9F58">
            <w:pPr>
              <w:spacing w:line="360" w:lineRule="auto"/>
              <w:ind w:firstLine="1300" w:firstLineChars="542"/>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057099A3">
            <w:pPr>
              <w:spacing w:line="360" w:lineRule="auto"/>
              <w:ind w:firstLine="465"/>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4BC2AB33">
            <w:pPr>
              <w:spacing w:line="900" w:lineRule="exact"/>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val="en-US" w:eastAsia="zh-CN"/>
              </w:rPr>
              <w:t>图书馆改造装修升级工程</w:t>
            </w:r>
          </w:p>
        </w:tc>
      </w:tr>
      <w:tr w14:paraId="580F1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3" w:hRule="atLeast"/>
        </w:trPr>
        <w:tc>
          <w:tcPr>
            <w:tcW w:w="2835" w:type="dxa"/>
            <w:tcBorders>
              <w:left w:val="single" w:color="auto" w:sz="4" w:space="0"/>
            </w:tcBorders>
            <w:vAlign w:val="center"/>
          </w:tcPr>
          <w:p w14:paraId="4765F927">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2E1433AC">
            <w:pPr>
              <w:spacing w:line="900" w:lineRule="exact"/>
              <w:jc w:val="center"/>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1项</w:t>
            </w:r>
          </w:p>
        </w:tc>
      </w:tr>
      <w:tr w14:paraId="4BE82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3" w:hRule="atLeast"/>
        </w:trPr>
        <w:tc>
          <w:tcPr>
            <w:tcW w:w="2835" w:type="dxa"/>
            <w:tcBorders>
              <w:left w:val="single" w:color="auto" w:sz="4" w:space="0"/>
            </w:tcBorders>
            <w:vAlign w:val="center"/>
          </w:tcPr>
          <w:p w14:paraId="556D8EF7">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工期</w:t>
            </w:r>
          </w:p>
        </w:tc>
        <w:tc>
          <w:tcPr>
            <w:tcW w:w="6368" w:type="dxa"/>
            <w:tcBorders>
              <w:right w:val="single" w:color="auto" w:sz="4" w:space="0"/>
            </w:tcBorders>
            <w:vAlign w:val="center"/>
          </w:tcPr>
          <w:p w14:paraId="671280E8">
            <w:pPr>
              <w:spacing w:line="900" w:lineRule="exact"/>
              <w:jc w:val="center"/>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自合同签订之日起45天内完工并交付验收</w:t>
            </w:r>
          </w:p>
        </w:tc>
      </w:tr>
      <w:tr w14:paraId="39FA2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3" w:hRule="atLeast"/>
        </w:trPr>
        <w:tc>
          <w:tcPr>
            <w:tcW w:w="2835" w:type="dxa"/>
            <w:tcBorders>
              <w:left w:val="single" w:color="auto" w:sz="4" w:space="0"/>
            </w:tcBorders>
            <w:vAlign w:val="center"/>
          </w:tcPr>
          <w:p w14:paraId="2387B50C">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lang w:eastAsia="zh-CN"/>
              </w:rPr>
              <w:t>工程</w:t>
            </w:r>
            <w:r>
              <w:rPr>
                <w:rFonts w:hint="eastAsia" w:asciiTheme="minorEastAsia" w:hAnsiTheme="minorEastAsia" w:eastAsiaTheme="minorEastAsia" w:cstheme="minorEastAsia"/>
                <w:color w:val="auto"/>
                <w:sz w:val="24"/>
                <w:highlight w:val="none"/>
              </w:rPr>
              <w:t>地点</w:t>
            </w:r>
          </w:p>
        </w:tc>
        <w:tc>
          <w:tcPr>
            <w:tcW w:w="6368" w:type="dxa"/>
            <w:tcBorders>
              <w:right w:val="single" w:color="auto" w:sz="4" w:space="0"/>
            </w:tcBorders>
            <w:vAlign w:val="center"/>
          </w:tcPr>
          <w:p w14:paraId="2839518C">
            <w:pPr>
              <w:spacing w:line="900" w:lineRule="exact"/>
              <w:jc w:val="center"/>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采购人指定地点</w:t>
            </w:r>
          </w:p>
        </w:tc>
      </w:tr>
      <w:tr w14:paraId="5C03F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63" w:hRule="atLeast"/>
        </w:trPr>
        <w:tc>
          <w:tcPr>
            <w:tcW w:w="2835" w:type="dxa"/>
            <w:tcBorders>
              <w:left w:val="single" w:color="auto" w:sz="4" w:space="0"/>
              <w:bottom w:val="single" w:color="auto" w:sz="4" w:space="0"/>
            </w:tcBorders>
            <w:vAlign w:val="center"/>
          </w:tcPr>
          <w:p w14:paraId="4CA6B084">
            <w:pPr>
              <w:spacing w:line="900" w:lineRule="exact"/>
              <w:jc w:val="center"/>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31CE8CFF">
            <w:pPr>
              <w:spacing w:line="900" w:lineRule="exact"/>
              <w:jc w:val="center"/>
              <w:rPr>
                <w:rFonts w:hint="eastAsia" w:asciiTheme="minorEastAsia" w:hAnsiTheme="minorEastAsia" w:eastAsiaTheme="minorEastAsia" w:cstheme="minorEastAsia"/>
                <w:color w:val="auto"/>
                <w:sz w:val="24"/>
                <w:highlight w:val="none"/>
                <w:lang w:val="en-US" w:eastAsia="zh-CN"/>
              </w:rPr>
            </w:pPr>
            <w:r>
              <w:rPr>
                <w:rFonts w:hint="eastAsia" w:asciiTheme="minorEastAsia" w:hAnsiTheme="minorEastAsia" w:eastAsiaTheme="minorEastAsia" w:cstheme="minorEastAsia"/>
                <w:color w:val="auto"/>
                <w:sz w:val="24"/>
                <w:highlight w:val="none"/>
                <w:lang w:val="en-US" w:eastAsia="zh-CN"/>
              </w:rPr>
              <w:t>/</w:t>
            </w:r>
          </w:p>
        </w:tc>
      </w:tr>
    </w:tbl>
    <w:p w14:paraId="2EFC3DDF">
      <w:pPr>
        <w:jc w:val="center"/>
        <w:rPr>
          <w:rFonts w:hint="eastAsia" w:asciiTheme="minorEastAsia" w:hAnsiTheme="minorEastAsia" w:eastAsiaTheme="minorEastAsia" w:cstheme="minorEastAsia"/>
          <w:color w:val="auto"/>
          <w:spacing w:val="-6"/>
          <w:sz w:val="52"/>
          <w:highlight w:val="none"/>
          <w:lang w:eastAsia="zh-CN"/>
        </w:rPr>
      </w:pPr>
    </w:p>
    <w:p w14:paraId="0C599F97">
      <w:pPr>
        <w:pStyle w:val="2"/>
        <w:rPr>
          <w:color w:val="auto"/>
          <w:highlight w:val="none"/>
          <w:lang w:eastAsia="zh-CN"/>
        </w:rPr>
      </w:pPr>
    </w:p>
    <w:p w14:paraId="654C2AD0">
      <w:pPr>
        <w:jc w:val="center"/>
        <w:rPr>
          <w:rFonts w:hint="eastAsia" w:asciiTheme="minorEastAsia" w:hAnsiTheme="minorEastAsia" w:eastAsiaTheme="minorEastAsia" w:cstheme="minorEastAsia"/>
          <w:color w:val="auto"/>
          <w:spacing w:val="-6"/>
          <w:sz w:val="52"/>
          <w:highlight w:val="none"/>
          <w:lang w:eastAsia="zh-CN"/>
        </w:rPr>
        <w:sectPr>
          <w:footerReference r:id="rId3" w:type="default"/>
          <w:pgSz w:w="11906" w:h="16838"/>
          <w:pgMar w:top="1440" w:right="1028" w:bottom="1440" w:left="1418" w:header="851" w:footer="851" w:gutter="0"/>
          <w:cols w:space="425" w:num="1"/>
          <w:docGrid w:linePitch="312" w:charSpace="0"/>
        </w:sectPr>
      </w:pPr>
    </w:p>
    <w:p w14:paraId="361347ED">
      <w:pPr>
        <w:widowControl w:val="0"/>
        <w:spacing w:before="47" w:after="482" w:afterLines="201" w:line="219" w:lineRule="auto"/>
        <w:ind w:left="3805"/>
        <w:outlineLvl w:val="1"/>
        <w:rPr>
          <w:color w:val="auto"/>
          <w:highlight w:val="none"/>
          <w:lang w:eastAsia="zh-CN"/>
        </w:rPr>
      </w:pPr>
      <w:bookmarkStart w:id="0" w:name="_Toc507597381"/>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二、采购要求</w:t>
      </w:r>
      <w:bookmarkEnd w:id="0"/>
    </w:p>
    <w:p w14:paraId="1285361D">
      <w:pPr>
        <w:spacing w:line="360" w:lineRule="auto"/>
        <w:jc w:val="both"/>
        <w:rPr>
          <w:rFonts w:hint="eastAsia" w:ascii="宋体" w:hAnsi="宋体" w:eastAsia="宋体" w:cs="宋体"/>
          <w:color w:val="auto"/>
          <w:sz w:val="24"/>
          <w:szCs w:val="24"/>
          <w:highlight w:val="none"/>
          <w:lang w:eastAsia="zh-CN"/>
        </w:rPr>
      </w:pPr>
      <w:bookmarkStart w:id="1" w:name="bookmark82"/>
      <w:bookmarkEnd w:id="1"/>
      <w:r>
        <w:rPr>
          <w:rFonts w:hint="eastAsia" w:ascii="宋体" w:hAnsi="宋体" w:eastAsia="宋体" w:cs="宋体"/>
          <w:color w:val="auto"/>
          <w:sz w:val="24"/>
          <w:szCs w:val="24"/>
          <w:highlight w:val="none"/>
          <w:lang w:eastAsia="zh-CN"/>
        </w:rPr>
        <w:t>（一）技术规格（工程需求）</w:t>
      </w:r>
    </w:p>
    <w:p w14:paraId="4282CD24">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1、工程量清单（含编制说明）</w:t>
      </w:r>
    </w:p>
    <w:p w14:paraId="1D8BE183">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1.1 详见磋商文件附件。</w:t>
      </w:r>
    </w:p>
    <w:p w14:paraId="3FCBA13A">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2、工程要求</w:t>
      </w:r>
    </w:p>
    <w:p w14:paraId="389A0ED6">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2.1磋商文件工程量清单中的暂列金、安全文明施工费、规费、税金均属于不可竞争费，不得让利，</w:t>
      </w:r>
      <w:r>
        <w:rPr>
          <w:rFonts w:hint="eastAsia" w:ascii="宋体" w:hAnsi="宋体" w:eastAsia="宋体" w:cs="宋体"/>
          <w:b/>
          <w:bCs/>
          <w:color w:val="auto"/>
          <w:sz w:val="24"/>
          <w:szCs w:val="24"/>
          <w:highlight w:val="none"/>
          <w:lang w:eastAsia="zh-CN"/>
        </w:rPr>
        <w:t>否则视为无效响应。</w:t>
      </w:r>
    </w:p>
    <w:p w14:paraId="613BF2AA">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2.2磋商文件的分部分项工程量清单中项目特征描述若与图纸不一致的，以工程量清单项目特征描述为准。</w:t>
      </w:r>
    </w:p>
    <w:p w14:paraId="4098362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2.3响应文件中提供本项目的施工方案，内容须包含：</w:t>
      </w:r>
    </w:p>
    <w:p w14:paraId="6481E1DC">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（1）编制依据、原则</w:t>
      </w:r>
    </w:p>
    <w:p w14:paraId="5B8982C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（2）施工组织部署</w:t>
      </w:r>
    </w:p>
    <w:p w14:paraId="7A195132">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（3）施工进度计划（含横道图、网络图）及工期保证措施</w:t>
      </w:r>
    </w:p>
    <w:p w14:paraId="7A1DCEDC">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（4）施工质量目标体系及保证措施</w:t>
      </w:r>
    </w:p>
    <w:p w14:paraId="1AC001BF">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（5）劳动力安排计划和施工机械配置、进场计划</w:t>
      </w:r>
    </w:p>
    <w:p w14:paraId="7A557A2C">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2.4其他要求：</w:t>
      </w:r>
    </w:p>
    <w:p w14:paraId="380B212F">
      <w:pPr>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color w:val="auto"/>
          <w:sz w:val="24"/>
          <w:szCs w:val="24"/>
          <w:highlight w:val="none"/>
          <w:lang w:eastAsia="zh-CN"/>
        </w:rPr>
        <w:t>（1）磋商文件工程量清单中的项目编码、项目名称、项目特征、计量单位、工程量均须完全响应，</w:t>
      </w:r>
      <w:r>
        <w:rPr>
          <w:rFonts w:hint="eastAsia" w:ascii="宋体" w:hAnsi="宋体" w:eastAsia="宋体" w:cs="宋体"/>
          <w:b/>
          <w:bCs/>
          <w:color w:val="auto"/>
          <w:sz w:val="24"/>
          <w:szCs w:val="24"/>
          <w:highlight w:val="none"/>
          <w:lang w:eastAsia="zh-CN"/>
        </w:rPr>
        <w:t>否则视为无效响应。</w:t>
      </w:r>
    </w:p>
    <w:p w14:paraId="1BECB83F">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（2）本项目严禁转包。未经采购人同意不允许分包。一经发现以上情况，采购人有权没收履约保证金，情节严重的将终止合同。</w:t>
      </w:r>
    </w:p>
    <w:p w14:paraId="43ADDA60">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3、质量与安全</w:t>
      </w:r>
    </w:p>
    <w:p w14:paraId="36662622">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 工程质量</w:t>
      </w:r>
    </w:p>
    <w:p w14:paraId="19F9EAD8">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3.1.1 本工程的工程质量应符合国家工程质量验收标准合格及以上要求，供应商应按现行的国家施工验收规范和质量评定标准、施工说明书、设备说明书等技术文件为依据施工。</w:t>
      </w:r>
    </w:p>
    <w:p w14:paraId="083E2FB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3.1.2 因供应商原因，如工程质量达不到约定条件的部分，一经发现。可要求供应商返工，直到达到合同约定条件，并由供应商承担返工费用，工期不顺延。返工后仍达不到约定条件，应继续返工到约定条件。</w:t>
      </w:r>
    </w:p>
    <w:p w14:paraId="0B228FF4">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3.1.3 供应商在合同约定工期时间内返工整改不到位的，采购人有权委托第三方进行整改，所需费用从合同金额中相应扣除，同时采购人的损失全部由供应商赔偿。</w:t>
      </w:r>
    </w:p>
    <w:p w14:paraId="47232394">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3.1.4 因采购人原因达不到质量等级约定条件，由采购人承担返工的费用支出，工期相应顺延。</w:t>
      </w:r>
    </w:p>
    <w:p w14:paraId="5133F234">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3.2 工程安全</w:t>
      </w:r>
    </w:p>
    <w:p w14:paraId="5362B34B">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3.2.1 严格执行《中华人民共和国安全生产法》、《中华人民共和国建筑法》、《建设工程安全生产管理条例》、《安全生产许可证条例》等法律和法规的规定。</w:t>
      </w:r>
    </w:p>
    <w:p w14:paraId="35BA7856">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4、合同价款</w:t>
      </w:r>
    </w:p>
    <w:p w14:paraId="68230F9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4.1采用固定综合单价合同，合同价款中包括的风险范围：①清单工程量的增减变化影响；②市场人工、材料、机械台班单价或机械使用费发生变化影响。</w:t>
      </w:r>
    </w:p>
    <w:p w14:paraId="799AEA05">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4.2双方约定合同价款的其他调整因素和调整方法：</w:t>
      </w:r>
    </w:p>
    <w:p w14:paraId="7877D7CC">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（1）经采购人认可的设计变更；采购人根据实际情况有权取消部分施工项目，供应商按照采购人意见执行，不得提出异议。</w:t>
      </w:r>
    </w:p>
    <w:p w14:paraId="01A4E8B8">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（2）经采购人计量确定的工程量增减；</w:t>
      </w:r>
    </w:p>
    <w:p w14:paraId="517ED1E4">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（3）施工图已设计而采购人提供的清单中未包含的工程量或清单子目；</w:t>
      </w:r>
    </w:p>
    <w:p w14:paraId="207753E2">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（4）合同签订后1个月之内供应商如对工程量清单有疑义应书面提出，否则视同认可；</w:t>
      </w:r>
    </w:p>
    <w:p w14:paraId="5107C47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（5）工程量清单漏项、新增工程、设计变更中出现的工程量清单以外的工程计价项目，其综合单价按照以下办法执行：</w:t>
      </w:r>
    </w:p>
    <w:p w14:paraId="47F91663">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a、合同中已有适用的综合单价的，按合同中已有的综合单价确定；</w:t>
      </w:r>
    </w:p>
    <w:p w14:paraId="36F4F71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b、合同中有类似的综合单价的，参照类似的综合单价确定；</w:t>
      </w:r>
    </w:p>
    <w:p w14:paraId="7909D5DA">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c、合同中没有适用或类似的综合单价的，由供应商提出综合单价，经采购人审核确认后执行，其综合单价按供应商响应时人工和机械价格、施工当期材料价格、取费标准、现行定额，并按响应报价时的总价让利幅度同比例下浮计算确定。</w:t>
      </w:r>
    </w:p>
    <w:p w14:paraId="2BCC117D">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5、人员配置及要求</w:t>
      </w:r>
    </w:p>
    <w:p w14:paraId="2A356A41">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5.1人员配置：</w:t>
      </w:r>
    </w:p>
    <w:p w14:paraId="1F00ADB3">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5.1.1拟派本项目的技术负责人须具有机电类助理（含）以上工程师证书。</w:t>
      </w:r>
    </w:p>
    <w:p w14:paraId="689638A9">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5.1.2拟派本项目团队技术成员</w:t>
      </w:r>
      <w:r>
        <w:rPr>
          <w:rFonts w:hint="eastAsia" w:ascii="宋体" w:hAnsi="宋体" w:eastAsia="宋体" w:cs="宋体"/>
          <w:color w:val="auto"/>
          <w:sz w:val="24"/>
          <w:szCs w:val="24"/>
          <w:highlight w:val="none"/>
          <w:lang w:val="en-US" w:eastAsia="zh-CN"/>
        </w:rPr>
        <w:t>不少于1</w:t>
      </w:r>
      <w:r>
        <w:rPr>
          <w:rFonts w:hint="eastAsia" w:ascii="宋体" w:hAnsi="宋体" w:eastAsia="宋体" w:cs="宋体"/>
          <w:color w:val="auto"/>
          <w:sz w:val="24"/>
          <w:szCs w:val="24"/>
          <w:highlight w:val="none"/>
          <w:lang w:eastAsia="zh-CN"/>
        </w:rPr>
        <w:t>名具备高压电工证。</w:t>
      </w:r>
    </w:p>
    <w:p w14:paraId="6F8C5820">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5.2供应商所投入的工程管理人员应与响应文件保持一致，采购人不要求更换时不得更换。因特殊情况确需更换的，供应商应至少提前15天以书面形式向采购人提出意向（附后任人员的详细履历资料），经采购人签署意见后向采购人提出申请，并征得采购人同意。供应商必须保证后任人员的资质、资历、业绩、实际工作能力不低于前任人员的素质，凡未经采购人同意而供应商擅自更换的，供应商须承担违约责任。</w:t>
      </w:r>
    </w:p>
    <w:p w14:paraId="5B24405F">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5.3项目经理、技术负责人、安全员必须全职在现场办公，不得兼职或擅自离岗，他们在现场的时间不少于6天/周，每天不少于8小时。因特殊情况需短暂离岗的，应当事先报采购人批准。供应商如上述内容违约则按每天2000元向采购人支付违约金。</w:t>
      </w:r>
    </w:p>
    <w:p w14:paraId="2F22D836">
      <w:pPr>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6、材料、设备供应要求</w:t>
      </w:r>
    </w:p>
    <w:p w14:paraId="44768F00">
      <w:pPr>
        <w:spacing w:line="360" w:lineRule="auto"/>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6.1 供应商采购材料、设备：本合同材料、设备由供应商自行采购，但品牌和质量应得到采购人确认，否则不能进场使用。各供应商应在响应文件中提供下表所列材料、设备的品牌，未按要求提供的作无效响应处理。</w:t>
      </w:r>
    </w:p>
    <w:p w14:paraId="4F95872C">
      <w:pPr>
        <w:spacing w:line="360" w:lineRule="auto"/>
        <w:jc w:val="both"/>
        <w:rPr>
          <w:rFonts w:hint="eastAsia" w:ascii="宋体" w:hAnsi="宋体" w:eastAsia="宋体" w:cs="宋体"/>
          <w:color w:val="auto"/>
          <w:sz w:val="24"/>
          <w:szCs w:val="24"/>
          <w:highlight w:val="none"/>
          <w:lang w:val="en-US" w:eastAsia="zh-CN"/>
        </w:rPr>
      </w:pPr>
    </w:p>
    <w:p w14:paraId="3806B5A0">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（二）商务条款</w:t>
      </w:r>
    </w:p>
    <w:p w14:paraId="09915E0D">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1、响应报价：</w:t>
      </w:r>
    </w:p>
    <w:p w14:paraId="3EDA034C">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b/>
          <w:bCs/>
          <w:color w:val="auto"/>
          <w:sz w:val="24"/>
          <w:szCs w:val="24"/>
          <w:highlight w:val="none"/>
          <w:lang w:val="en-US" w:eastAsia="zh-CN"/>
        </w:rPr>
        <w:t>供应商在编制响应报价时，必须严格执行现行《建设工程工程量清单计价标准》的强制性条文，违反强制性条文的，视为无效响应。</w:t>
      </w:r>
      <w:r>
        <w:rPr>
          <w:rFonts w:hint="eastAsia" w:ascii="宋体" w:hAnsi="宋体" w:eastAsia="宋体" w:cs="宋体"/>
          <w:color w:val="auto"/>
          <w:sz w:val="24"/>
          <w:szCs w:val="24"/>
          <w:highlight w:val="none"/>
          <w:lang w:val="en-US" w:eastAsia="zh-CN"/>
        </w:rPr>
        <w:t>本项目采用工程量清单进行采购，供应商的报价表后应当附完整工程量清单，报价表的总价应与组成工程量清单的分部分项工程费、措施项目费、其他项目费和规费、税金的合计金额一致。采购人提供的工程量清单与计价表中列明的所有需要填写单价和合价的项目，供应商均应填写且只允许有一个价格，未填写单价和合价的项目，视为此项费用已包含在已标价工程量清单中其他项目的单价和合价之中。</w:t>
      </w:r>
    </w:p>
    <w:p w14:paraId="565B2D0C">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1.2供应商按工程量清单进行报价，</w:t>
      </w:r>
      <w:r>
        <w:rPr>
          <w:rFonts w:hint="eastAsia" w:ascii="宋体" w:hAnsi="宋体" w:eastAsia="宋体" w:cs="宋体"/>
          <w:b/>
          <w:bCs/>
          <w:color w:val="auto"/>
          <w:sz w:val="24"/>
          <w:szCs w:val="24"/>
          <w:highlight w:val="none"/>
          <w:lang w:val="en-US" w:eastAsia="zh-CN"/>
        </w:rPr>
        <w:t>投标分项综合单价不得超过“分部分项工程和单价措施项目清单与计价表”中单项综合单价（若有），超过作无效响应处理。本项目最高限价700000.00元，投标总报价超过700000.00元作无效响应处理。</w:t>
      </w:r>
    </w:p>
    <w:p w14:paraId="091FC86A">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1.3建筑垃圾外运运距按采购工程量清单结算，以后不做调整。</w:t>
      </w:r>
    </w:p>
    <w:p w14:paraId="7656FF99">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1.4最后报价时，供应商只进行总价报价，工程量清单的综合单价随总价的比例一并调整。</w:t>
      </w:r>
    </w:p>
    <w:p w14:paraId="0A87FDDF">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1.5在施工过程中，除因工程变更外所产生的一切费用均包含在本项目报价中，供应商应充分考虑风险。</w:t>
      </w:r>
    </w:p>
    <w:p w14:paraId="640743D5">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磋商小组认为供应商的报价明显低于其他通过符合性审查的供应商报价的，有可能影响工程质量或者不能诚信履约的，应当要求其在评审现场合理的时间内提供书面说明，必要时提交相关证明材料；供应商不能证明其报价合理性的，磋商小组应当将其响应文件作为无效处理。供应商的书面说明材料应当按照国家财务会计制度的规定要求，逐项就供应商提供的工程及其有关的货物、服务的主营业务成本、税金及附加、销售费用、管理费用、财务费用等成本构成事项详细陈述。</w:t>
      </w:r>
    </w:p>
    <w:p w14:paraId="53EA4040">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1.6.1 供应商提供的证明其报价合理性的书面说明每页均应加盖供应商签章，否则无效。</w:t>
      </w:r>
    </w:p>
    <w:p w14:paraId="1A339233">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1.6.2 供应商提供书面说明后，磋商小组应当结合采购项目采购需求、专业实际情况、供应商财务状况报告、与其他供应商比较情况等就供应商书面说明进行审查评价。供应商拒绝或者变相拒绝提供有效书面说明或者书面说明不能证明其报价合理性的或未在规定时间内递交有效书面说明书的，磋商小组应当将其磋商响应文件作为无效磋商处理。</w:t>
      </w:r>
    </w:p>
    <w:p w14:paraId="0229ABBA">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2、安全施工</w:t>
      </w:r>
    </w:p>
    <w:p w14:paraId="5D7F80EA">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2.1施工现场一切因供应商原因引起的安全事故责任及所产生的费用均由供应商承担。</w:t>
      </w:r>
    </w:p>
    <w:p w14:paraId="40DE7B24">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2.2进场施工，涉及到动火作业的操作前必须向医院安全保卫部报备，在安全保卫部允许且在场的情况下进行操作，现场备好灭火器等消防用品用具。</w:t>
      </w:r>
    </w:p>
    <w:p w14:paraId="190D69B7">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3、工期：自合同签订之日起45天内完工并交付验收。</w:t>
      </w:r>
    </w:p>
    <w:p w14:paraId="0809FA15">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付款方式：按工程量清单及图纸施工，项目经相关部门验收合格后，支付合同总价的80%；经结算审核后，支付至结算价的97%，剩余3%工程款质保期满后一次性结清或经结算审核后，收到成交供应商开户银行开具的金额为结算价款3%以采购人为受益人的保函正本后，支付至结算价款的100%，质保期满且无质量问题后将此保函退回给供应商。采购人每次支付工程款前，成交供应商均需开具正式发票。</w:t>
      </w:r>
    </w:p>
    <w:p w14:paraId="3B313194">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5、验收标准：本项目高低压设备必须通过国家供电部门验收，符合现行电力工程施工验收规范和标准的合格要求。</w:t>
      </w:r>
    </w:p>
    <w:p w14:paraId="67CD76FE">
      <w:pPr>
        <w:spacing w:line="360" w:lineRule="auto"/>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6、质量保证期为2年，其他法律法规有规定的按相关规定执行。</w:t>
      </w:r>
    </w:p>
    <w:p w14:paraId="77228659">
      <w:pPr>
        <w:spacing w:line="360" w:lineRule="auto"/>
        <w:jc w:val="both"/>
        <w:rPr>
          <w:rFonts w:hint="default"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r>
        <w:rPr>
          <w:rFonts w:hint="eastAsia" w:ascii="宋体" w:hAnsi="宋体" w:eastAsia="宋体" w:cs="宋体"/>
          <w:b/>
          <w:bCs/>
          <w:color w:val="auto"/>
          <w:sz w:val="24"/>
          <w:szCs w:val="24"/>
          <w:highlight w:val="none"/>
          <w:lang w:val="en-US" w:eastAsia="zh-CN"/>
        </w:rPr>
        <w:t>其他：需留好智慧消防接口。监控需要接入到学院总监控平台，图书馆内的设备（如闸机类的电子设备）如有需要，也接入到现有智慧图书馆系统中。</w:t>
      </w:r>
    </w:p>
    <w:p w14:paraId="25700876">
      <w:pPr>
        <w:spacing w:line="360" w:lineRule="auto"/>
        <w:jc w:val="both"/>
        <w:rPr>
          <w:rFonts w:hint="eastAsia"/>
          <w:color w:val="auto"/>
          <w:highlight w:val="none"/>
          <w:lang w:val="en-US" w:eastAsia="zh-CN"/>
        </w:rPr>
      </w:pPr>
    </w:p>
    <w:p w14:paraId="7919C3E3">
      <w:pPr>
        <w:spacing w:line="360" w:lineRule="auto"/>
        <w:jc w:val="both"/>
        <w:rPr>
          <w:rFonts w:hint="eastAsia" w:ascii="宋体" w:hAnsi="宋体" w:eastAsia="宋体" w:cs="宋体"/>
          <w:b/>
          <w:bCs/>
          <w:color w:val="auto"/>
          <w:sz w:val="24"/>
          <w:szCs w:val="24"/>
          <w:highlight w:val="none"/>
          <w:lang w:eastAsia="zh-CN"/>
        </w:rPr>
      </w:pPr>
    </w:p>
    <w:p w14:paraId="600A6AFC">
      <w:r>
        <w:rPr>
          <w:rFonts w:hint="eastAsia" w:ascii="宋体" w:hAnsi="宋体" w:eastAsia="宋体" w:cs="宋体"/>
          <w:b/>
          <w:bCs/>
          <w:color w:val="auto"/>
          <w:sz w:val="24"/>
          <w:szCs w:val="24"/>
          <w:highlight w:val="none"/>
          <w:lang w:eastAsia="zh-CN"/>
        </w:rPr>
        <w:t>注：以上所有技术规格（工程需求）和商务条款必须完全满足，否则视为无效响应。</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2DC2F">
    <w:pPr>
      <w:pStyle w:val="3"/>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42</w:t>
    </w:r>
    <w:r>
      <w:rPr>
        <w:rStyle w:val="6"/>
      </w:rPr>
      <w:fldChar w:fldCharType="end"/>
    </w:r>
  </w:p>
  <w:p w14:paraId="6B05DD59">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D027EC"/>
    <w:rsid w:val="2CD027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character" w:styleId="6">
    <w:name w:val="page number"/>
    <w:basedOn w:val="5"/>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2026-06-10T06:26:00Z</dcterms:created>
  <dc:creator>大毛</dc:creator>
  <cp:lastModifiedBy>大毛</cp:lastModifiedBy>
  <dcterms:modified xsi:type="dcterms:W3CDTF">2026-06-10T06:27:06Z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C4484D85A0E14E35B9B0FBABA04589EA_11</vt:lpwstr>
  </property>
  <property fmtid="{D5CDD505-2E9C-101B-9397-08002B2CF9AE}" pid="4" name="KSOTemplateDocerSaveRecord">
    <vt:lpwstr>eyJoZGlkIjoiZWYyYjI5MjIzYjkwNjliNWU4OWRiZWNmNWIzMmUyZWIiLCJ1c2VySWQiOiI0MDE4MDE0MzQifQ==</vt:lpwstr>
  </property>
</Properties>
</file>