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134F56">
      <w:pPr>
        <w:pageBreakBefore w:val="0"/>
        <w:widowControl w:val="0"/>
        <w:numPr>
          <w:ilvl w:val="0"/>
          <w:numId w:val="0"/>
        </w:numPr>
        <w:wordWrap/>
        <w:overflowPunct/>
        <w:topLinePunct w:val="0"/>
        <w:bidi w:val="0"/>
        <w:spacing w:before="78" w:line="219" w:lineRule="auto"/>
        <w:rPr>
          <w:rFonts w:ascii="宋体" w:hAnsi="宋体" w:eastAsia="宋体" w:cs="宋体"/>
          <w:b/>
          <w:bCs/>
          <w:color w:val="auto"/>
          <w:spacing w:val="-5"/>
          <w:sz w:val="24"/>
          <w:szCs w:val="24"/>
          <w:highlight w:val="none"/>
        </w:rPr>
      </w:pPr>
      <w:r>
        <w:rPr>
          <w:rFonts w:hint="eastAsia" w:ascii="宋体" w:hAnsi="宋体" w:eastAsia="宋体" w:cs="宋体"/>
          <w:b/>
          <w:bCs/>
          <w:snapToGrid w:val="0"/>
          <w:color w:val="auto"/>
          <w:spacing w:val="-5"/>
          <w:sz w:val="24"/>
          <w:szCs w:val="24"/>
          <w:lang w:val="en-US" w:eastAsia="en-US" w:bidi="ar-SA"/>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363617B3">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firstLine="480" w:firstLineChars="200"/>
        <w:textAlignment w:val="baseline"/>
        <w:rPr>
          <w:rFonts w:hint="eastAsia" w:ascii="宋体" w:hAnsi="宋体" w:eastAsia="宋体" w:cs="宋体"/>
          <w:color w:val="auto"/>
          <w:spacing w:val="0"/>
          <w:w w:val="100"/>
          <w:position w:val="0"/>
          <w:sz w:val="24"/>
          <w:szCs w:val="24"/>
          <w:highlight w:val="none"/>
          <w:lang w:val="en-US" w:eastAsia="en-US"/>
        </w:rPr>
      </w:pPr>
      <w:r>
        <w:rPr>
          <w:rFonts w:hint="eastAsia" w:ascii="宋体" w:hAnsi="宋体" w:eastAsia="宋体" w:cs="宋体"/>
          <w:color w:val="auto"/>
          <w:spacing w:val="0"/>
          <w:w w:val="100"/>
          <w:position w:val="0"/>
          <w:sz w:val="24"/>
          <w:szCs w:val="24"/>
          <w:highlight w:val="none"/>
          <w:lang w:val="en-US" w:eastAsia="zh-CN"/>
        </w:rPr>
        <w:t>1、供应商须提供全新、原装符合质量标准的服务。</w:t>
      </w:r>
    </w:p>
    <w:p w14:paraId="2C70D79A">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firstLine="480" w:firstLineChars="200"/>
        <w:textAlignment w:val="baseline"/>
        <w:rPr>
          <w:rFonts w:hint="eastAsia" w:ascii="宋体" w:hAnsi="宋体" w:eastAsia="宋体" w:cs="宋体"/>
          <w:color w:val="auto"/>
          <w:spacing w:val="0"/>
          <w:w w:val="100"/>
          <w:position w:val="0"/>
          <w:sz w:val="24"/>
          <w:szCs w:val="24"/>
          <w:highlight w:val="none"/>
          <w:lang w:val="en-US" w:eastAsia="en-US"/>
        </w:rPr>
      </w:pPr>
      <w:r>
        <w:rPr>
          <w:rFonts w:hint="eastAsia" w:ascii="宋体" w:hAnsi="宋体" w:eastAsia="宋体" w:cs="宋体"/>
          <w:color w:val="auto"/>
          <w:spacing w:val="0"/>
          <w:w w:val="100"/>
          <w:position w:val="0"/>
          <w:sz w:val="24"/>
          <w:szCs w:val="24"/>
          <w:highlight w:val="none"/>
          <w:lang w:val="en-US" w:eastAsia="zh-CN"/>
        </w:rPr>
        <w:t>2、所有服务的知识产权问题，由各供应商自行负责。</w:t>
      </w:r>
    </w:p>
    <w:p w14:paraId="21F60B26">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3、本磋商文件提出的是最低限度的要求，响应供应商的方案应达到或优于本磋商文件要求，且符合国家有关标准和规范要求。本部分“三、采购项目需求”均属于不允许偏离的实质性要求和条件。</w:t>
      </w:r>
    </w:p>
    <w:p w14:paraId="19E0E357">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4、服务需求</w:t>
      </w:r>
    </w:p>
    <w:p w14:paraId="71F34077">
      <w:pPr>
        <w:kinsoku w:val="0"/>
        <w:autoSpaceDE w:val="0"/>
        <w:autoSpaceDN w:val="0"/>
        <w:adjustRightInd w:val="0"/>
        <w:snapToGrid w:val="0"/>
        <w:spacing w:line="460" w:lineRule="exact"/>
        <w:ind w:firstLine="480" w:firstLineChars="200"/>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项目概况：对工业污水管网点位维修、清掏服务，专业服务包括井盖损坏维修、进水口及检查井的清掏、UPVC管的维修更换、泵站设施日常巡查检修、服务范围内管网的日常巡检、检查井螺丝更换、防坠网更换安装等工作。</w:t>
      </w:r>
    </w:p>
    <w:p w14:paraId="49AD3257">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vertAlign w:val="baseli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4.1 主要内容：</w:t>
      </w:r>
      <w:r>
        <w:rPr>
          <w:rFonts w:hint="eastAsia" w:ascii="宋体" w:hAnsi="宋体" w:eastAsia="宋体" w:cs="宋体"/>
          <w:snapToGrid w:val="0"/>
          <w:color w:val="auto"/>
          <w:sz w:val="24"/>
          <w:szCs w:val="24"/>
          <w:highlight w:val="none"/>
          <w:lang w:val="en-US" w:eastAsia="zh-CN" w:bidi="ar-SA"/>
        </w:rPr>
        <w:t>37.6公里污水管网、</w:t>
      </w:r>
      <w:r>
        <w:rPr>
          <w:rFonts w:hint="eastAsia" w:ascii="宋体" w:hAnsi="宋体" w:eastAsia="宋体" w:cs="宋体"/>
          <w:snapToGrid w:val="0"/>
          <w:color w:val="auto"/>
          <w:spacing w:val="0"/>
          <w:w w:val="100"/>
          <w:position w:val="0"/>
          <w:sz w:val="24"/>
          <w:szCs w:val="24"/>
          <w:highlight w:val="none"/>
          <w:lang w:val="en-US" w:eastAsia="zh-CN" w:bidi="ar-SA"/>
        </w:rPr>
        <w:t>泵站设施、设备、控制系统、仪器等日常巡查检修；进口端检查井或格栅井、垃圾(淤泥)清掏处置、及时排除运行故障保障泵站正常运行，同时对破损污水井盖、雨水井盖及格栅进行更换。在规定的工期内完成维修工作，并落实每周一次对污水管网及泵房巡查，具体情况如下：</w:t>
      </w:r>
    </w:p>
    <w:p w14:paraId="65DF7C49">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（1）1#污水提升泵站：3台45kw污水提升泵，1套电器控制系统，高/低压配电柜、电缆、变频器；</w:t>
      </w:r>
    </w:p>
    <w:p w14:paraId="571B6C2C">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（2）2#污水提升泵站：3台18kw污水提升泵，1套电器控制系统，高/低压配电柜、电缆、变频器；</w:t>
      </w:r>
    </w:p>
    <w:p w14:paraId="5278C44D">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（3）3#污水提升泵站：3台45kw污水提升泵，1套电器控制系统，高/低压配电柜、电缆、变频器；</w:t>
      </w:r>
    </w:p>
    <w:p w14:paraId="1F2C6F61">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（4）4#污水提升泵站：3台45kw污水提升泵，1套电器控制系统，高/低压配电柜、电缆、变频器；</w:t>
      </w:r>
    </w:p>
    <w:p w14:paraId="41DB8584">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（5）5#污水提升泵站：3台45kw污水提升泵，1套电器控制系统，高/低压配电柜、电缆、变频器；</w:t>
      </w:r>
    </w:p>
    <w:p w14:paraId="65140895">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（6）6#污水提升泵站：3台37kw污水提升泵，1套电器控制系统，高/低压配电柜、电缆、变频器；</w:t>
      </w:r>
    </w:p>
    <w:p w14:paraId="49DD2419">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（7）7#污水提升泵站：3台37kw污水提升泵，1套电器控制系统，高/低压配电柜、电缆、变频器，1套回转式格栅除污机；</w:t>
      </w:r>
    </w:p>
    <w:p w14:paraId="212F03AF">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（8）秧基河污水总管倒虹吸井：倒虹吸井2座，污水管径800mm，每年不少于1次疏通清淤。</w:t>
      </w:r>
    </w:p>
    <w:p w14:paraId="5CCE7DC2">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9）日常易损件的更换，维修涉及配件更换的，以单个配件8000（含8000）元为界限。单个配件价格在界限及以下的，零配件费用由成交供应商承担；单个配件价格为界限以上的，则成交供应商需以书面通知采购人，由采购人具体决定采购方式后执行，费用由采购人承担，否则由成交供应商自行承担。</w:t>
      </w:r>
    </w:p>
    <w:p w14:paraId="334F511B">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（10）工程项目维修费用，污水管网和污水提升泵站的设备、雨水及污水井小修和应急抢修，单笔工程费用10000元以下（含10000元），由成交供应商承担。</w:t>
      </w:r>
    </w:p>
    <w:p w14:paraId="212529EA">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仿宋" w:hAnsi="仿宋" w:eastAsia="仿宋" w:cs="仿宋"/>
          <w:snapToGrid w:val="0"/>
          <w:color w:val="auto"/>
          <w:sz w:val="30"/>
          <w:szCs w:val="30"/>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（11）建立运维管理队伍，落实专业管理人员，设置一名驻点人员；负责污水处理站及配套设施的安全、运行、管理，临时故障的检查、排除，并做好相应记录。</w:t>
      </w:r>
    </w:p>
    <w:p w14:paraId="53B21CEF">
      <w:pPr>
        <w:keepNext w:val="0"/>
        <w:keepLines w:val="0"/>
        <w:pageBreakBefore w:val="0"/>
        <w:widowControl/>
        <w:kinsoku w:val="0"/>
        <w:wordWrap/>
        <w:overflowPunct/>
        <w:topLinePunct w:val="0"/>
        <w:autoSpaceDE w:val="0"/>
        <w:autoSpaceDN w:val="0"/>
        <w:bidi w:val="0"/>
        <w:adjustRightInd w:val="0"/>
        <w:snapToGrid w:val="0"/>
        <w:spacing w:line="460" w:lineRule="exact"/>
        <w:ind w:firstLine="482" w:firstLineChars="200"/>
        <w:textAlignment w:val="baseline"/>
        <w:rPr>
          <w:rFonts w:hint="eastAsia" w:ascii="宋体" w:hAnsi="宋体" w:eastAsia="宋体" w:cs="宋体"/>
          <w:b/>
          <w:bCs/>
          <w:snapToGrid w:val="0"/>
          <w:color w:val="auto"/>
          <w:spacing w:val="0"/>
          <w:w w:val="100"/>
          <w:position w:val="0"/>
          <w:sz w:val="24"/>
          <w:szCs w:val="24"/>
          <w:highlight w:val="none"/>
          <w:lang w:val="en-US" w:eastAsia="zh-CN" w:bidi="ar-SA"/>
        </w:rPr>
      </w:pPr>
      <w:r>
        <w:rPr>
          <w:rFonts w:hint="eastAsia" w:ascii="宋体" w:hAnsi="宋体" w:eastAsia="宋体" w:cs="宋体"/>
          <w:b/>
          <w:bCs/>
          <w:snapToGrid w:val="0"/>
          <w:color w:val="auto"/>
          <w:spacing w:val="0"/>
          <w:w w:val="100"/>
          <w:position w:val="0"/>
          <w:sz w:val="24"/>
          <w:szCs w:val="24"/>
          <w:highlight w:val="none"/>
          <w:lang w:val="en-US" w:eastAsia="zh-CN" w:bidi="ar-SA"/>
        </w:rPr>
        <w:t>4.2 定期检修</w:t>
      </w:r>
    </w:p>
    <w:p w14:paraId="21213043">
      <w:pPr>
        <w:keepNext w:val="0"/>
        <w:keepLines w:val="0"/>
        <w:pageBreakBefore w:val="0"/>
        <w:widowControl/>
        <w:kinsoku w:val="0"/>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（1）需根据各泵站设备情况要求对设备进行定期检修保养、定期试验。定期检修周期为：定期检查周期为每季一次；除以上规定周期的定期检修外，以下情况要特别增加检修工作：</w:t>
      </w:r>
    </w:p>
    <w:p w14:paraId="3E558DC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default"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a、恶劣天气、洪水、地质危害等</w:t>
      </w:r>
    </w:p>
    <w:p w14:paraId="56B9998D">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b、有缺陷的设备</w:t>
      </w:r>
    </w:p>
    <w:p w14:paraId="29C93F1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c、修后试运行的设备</w:t>
      </w:r>
    </w:p>
    <w:p w14:paraId="0BE3F3AE">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d、新设备试运行阶段</w:t>
      </w:r>
    </w:p>
    <w:p w14:paraId="3E3C5C3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e、事故处理后</w:t>
      </w:r>
    </w:p>
    <w:p w14:paraId="5C3F1539">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firstLineChars="200"/>
        <w:contextualSpacing/>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（2）应参照GB/T 30948-2021《泵站技术管理规程》组织对泵站建（构）筑物、水泵机组、电气设备、清污设备、辅助设备等机电设备和配套设施进行一次全面彻底的检查维修，并制定检修计划报采购人同意后组织实施，实施过程中应接受采购人的监督检查。</w:t>
      </w:r>
    </w:p>
    <w:p w14:paraId="7306F640">
      <w:pPr>
        <w:keepNext w:val="0"/>
        <w:keepLines w:val="0"/>
        <w:pageBreakBefore w:val="0"/>
        <w:widowControl/>
        <w:kinsoku w:val="0"/>
        <w:wordWrap/>
        <w:overflowPunct/>
        <w:topLinePunct w:val="0"/>
        <w:autoSpaceDE w:val="0"/>
        <w:autoSpaceDN w:val="0"/>
        <w:bidi w:val="0"/>
        <w:adjustRightInd w:val="0"/>
        <w:snapToGrid w:val="0"/>
        <w:spacing w:line="460" w:lineRule="exact"/>
        <w:ind w:firstLine="482" w:firstLineChars="200"/>
        <w:textAlignment w:val="baseline"/>
        <w:rPr>
          <w:rFonts w:ascii="仿宋" w:hAnsi="仿宋" w:eastAsia="仿宋" w:cs="仿宋"/>
          <w:b/>
          <w:bCs/>
          <w:snapToGrid w:val="0"/>
          <w:color w:val="auto"/>
          <w:sz w:val="30"/>
          <w:szCs w:val="30"/>
          <w:highlight w:val="none"/>
          <w:lang w:val="en-US" w:eastAsia="en-US" w:bidi="ar-SA"/>
        </w:rPr>
      </w:pPr>
      <w:r>
        <w:rPr>
          <w:rFonts w:hint="eastAsia" w:ascii="宋体" w:hAnsi="宋体" w:eastAsia="宋体" w:cs="宋体"/>
          <w:b/>
          <w:bCs/>
          <w:snapToGrid w:val="0"/>
          <w:color w:val="auto"/>
          <w:spacing w:val="0"/>
          <w:w w:val="100"/>
          <w:position w:val="0"/>
          <w:sz w:val="24"/>
          <w:szCs w:val="24"/>
          <w:highlight w:val="none"/>
          <w:lang w:val="en-US" w:eastAsia="zh-CN" w:bidi="ar-SA"/>
        </w:rPr>
        <w:t>4.3 安全管理</w:t>
      </w:r>
    </w:p>
    <w:p w14:paraId="4F07D3C8">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68"/>
        <w:contextualSpacing/>
        <w:jc w:val="left"/>
        <w:textAlignment w:val="baseline"/>
        <w:rPr>
          <w:rFonts w:ascii="宋体" w:hAnsi="宋体" w:eastAsia="宋体" w:cs="宋体"/>
          <w:snapToGrid w:val="0"/>
          <w:color w:val="auto"/>
          <w:kern w:val="0"/>
          <w:sz w:val="24"/>
          <w:szCs w:val="21"/>
          <w:highlight w:val="none"/>
          <w:lang w:val="en-US" w:eastAsia="en-US" w:bidi="ar-SA"/>
        </w:rPr>
      </w:pPr>
      <w:r>
        <w:rPr>
          <w:rFonts w:hint="eastAsia" w:ascii="宋体" w:hAnsi="宋体" w:eastAsia="宋体" w:cs="宋体"/>
          <w:snapToGrid w:val="0"/>
          <w:color w:val="auto"/>
          <w:spacing w:val="0"/>
          <w:kern w:val="0"/>
          <w:position w:val="0"/>
          <w:sz w:val="24"/>
          <w:szCs w:val="24"/>
          <w:highlight w:val="none"/>
          <w:lang w:val="en-US" w:eastAsia="zh-CN" w:bidi="ar-SA"/>
        </w:rPr>
        <w:t>（1）</w:t>
      </w:r>
      <w:r>
        <w:rPr>
          <w:rFonts w:hint="eastAsia" w:ascii="宋体" w:hAnsi="宋体" w:eastAsia="宋体" w:cs="宋体"/>
          <w:snapToGrid w:val="0"/>
          <w:color w:val="auto"/>
          <w:spacing w:val="0"/>
          <w:kern w:val="0"/>
          <w:position w:val="0"/>
          <w:sz w:val="24"/>
          <w:szCs w:val="24"/>
          <w:highlight w:val="none"/>
          <w:lang w:val="en-US" w:eastAsia="en-US" w:bidi="ar-SA"/>
        </w:rPr>
        <w:t>运行维护人员应穿戴安全防护用品，严格按操作规程操作和检修设备,确保人身财产安全。</w:t>
      </w:r>
    </w:p>
    <w:p w14:paraId="53FC21B2">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80"/>
        <w:contextualSpacing/>
        <w:jc w:val="left"/>
        <w:textAlignment w:val="baseline"/>
        <w:rPr>
          <w:rFonts w:ascii="宋体" w:hAnsi="宋体" w:eastAsia="宋体" w:cs="宋体"/>
          <w:snapToGrid w:val="0"/>
          <w:color w:val="auto"/>
          <w:kern w:val="0"/>
          <w:sz w:val="24"/>
          <w:szCs w:val="21"/>
          <w:highlight w:val="none"/>
          <w:lang w:val="en-US" w:eastAsia="en-US" w:bidi="ar-SA"/>
        </w:rPr>
      </w:pPr>
      <w:r>
        <w:rPr>
          <w:rFonts w:hint="eastAsia" w:ascii="宋体" w:hAnsi="宋体" w:eastAsia="宋体" w:cs="宋体"/>
          <w:snapToGrid w:val="0"/>
          <w:color w:val="auto"/>
          <w:spacing w:val="0"/>
          <w:kern w:val="0"/>
          <w:position w:val="0"/>
          <w:sz w:val="24"/>
          <w:szCs w:val="24"/>
          <w:highlight w:val="none"/>
          <w:lang w:val="en-US" w:eastAsia="zh-CN" w:bidi="ar-SA"/>
        </w:rPr>
        <w:t>（2）</w:t>
      </w:r>
      <w:r>
        <w:rPr>
          <w:rFonts w:hint="eastAsia" w:ascii="宋体" w:hAnsi="宋体" w:eastAsia="宋体" w:cs="宋体"/>
          <w:snapToGrid w:val="0"/>
          <w:color w:val="auto"/>
          <w:spacing w:val="0"/>
          <w:kern w:val="0"/>
          <w:position w:val="0"/>
          <w:sz w:val="24"/>
          <w:szCs w:val="24"/>
          <w:highlight w:val="none"/>
          <w:lang w:val="en-US" w:eastAsia="en-US" w:bidi="ar-SA"/>
        </w:rPr>
        <w:t>消防器材、警示标识及劳动保护工具</w:t>
      </w:r>
      <w:r>
        <w:rPr>
          <w:rFonts w:hint="eastAsia" w:ascii="宋体" w:hAnsi="宋体" w:eastAsia="宋体" w:cs="宋体"/>
          <w:snapToGrid w:val="0"/>
          <w:color w:val="auto"/>
          <w:spacing w:val="0"/>
          <w:kern w:val="0"/>
          <w:position w:val="0"/>
          <w:sz w:val="24"/>
          <w:szCs w:val="24"/>
          <w:highlight w:val="none"/>
          <w:lang w:val="en-US" w:eastAsia="zh-CN" w:bidi="ar-SA"/>
        </w:rPr>
        <w:t>等</w:t>
      </w:r>
      <w:r>
        <w:rPr>
          <w:rFonts w:hint="eastAsia" w:ascii="宋体" w:hAnsi="宋体" w:eastAsia="宋体" w:cs="宋体"/>
          <w:snapToGrid w:val="0"/>
          <w:color w:val="auto"/>
          <w:spacing w:val="0"/>
          <w:kern w:val="0"/>
          <w:position w:val="0"/>
          <w:sz w:val="24"/>
          <w:szCs w:val="24"/>
          <w:highlight w:val="none"/>
          <w:lang w:val="en-US" w:eastAsia="en-US" w:bidi="ar-SA"/>
        </w:rPr>
        <w:t>应配备齐全，并定期检查、维护保养，确保整洁完好，满足正常使用需求。</w:t>
      </w:r>
    </w:p>
    <w:p w14:paraId="4C40AC7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6"/>
        <w:contextualSpacing/>
        <w:jc w:val="left"/>
        <w:textAlignment w:val="baseline"/>
        <w:rPr>
          <w:rFonts w:ascii="宋体" w:hAnsi="宋体" w:eastAsia="宋体" w:cs="宋体"/>
          <w:snapToGrid w:val="0"/>
          <w:color w:val="auto"/>
          <w:kern w:val="0"/>
          <w:sz w:val="24"/>
          <w:szCs w:val="21"/>
          <w:highlight w:val="none"/>
          <w:lang w:val="en-US" w:eastAsia="en-US" w:bidi="ar-SA"/>
        </w:rPr>
      </w:pPr>
      <w:r>
        <w:rPr>
          <w:rFonts w:hint="eastAsia" w:ascii="宋体" w:hAnsi="宋体" w:eastAsia="宋体" w:cs="宋体"/>
          <w:snapToGrid w:val="0"/>
          <w:color w:val="auto"/>
          <w:spacing w:val="0"/>
          <w:kern w:val="0"/>
          <w:position w:val="0"/>
          <w:sz w:val="24"/>
          <w:szCs w:val="24"/>
          <w:highlight w:val="none"/>
          <w:lang w:val="en-US" w:eastAsia="zh-CN" w:bidi="ar-SA"/>
        </w:rPr>
        <w:t>（3）</w:t>
      </w:r>
      <w:r>
        <w:rPr>
          <w:rFonts w:hint="eastAsia" w:ascii="宋体" w:hAnsi="宋体" w:eastAsia="宋体" w:cs="宋体"/>
          <w:snapToGrid w:val="0"/>
          <w:color w:val="auto"/>
          <w:spacing w:val="0"/>
          <w:kern w:val="0"/>
          <w:position w:val="0"/>
          <w:sz w:val="24"/>
          <w:szCs w:val="24"/>
          <w:highlight w:val="none"/>
          <w:lang w:val="en-US" w:eastAsia="en-US" w:bidi="ar-SA"/>
        </w:rPr>
        <w:t>负责安排员工参加上岗培训和定期学习，达到相应岗位上岗资格，掌握安全用电及设备操作规程，并逐渐提高工作素质和操作水平。</w:t>
      </w:r>
    </w:p>
    <w:p w14:paraId="4D12456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62"/>
        <w:contextualSpacing/>
        <w:jc w:val="left"/>
        <w:textAlignment w:val="baseline"/>
        <w:rPr>
          <w:rFonts w:ascii="宋体" w:hAnsi="宋体" w:eastAsia="宋体" w:cs="宋体"/>
          <w:snapToGrid w:val="0"/>
          <w:color w:val="auto"/>
          <w:kern w:val="0"/>
          <w:sz w:val="24"/>
          <w:szCs w:val="21"/>
          <w:highlight w:val="none"/>
          <w:lang w:val="en-US" w:eastAsia="en-US" w:bidi="ar-SA"/>
        </w:rPr>
      </w:pPr>
      <w:r>
        <w:rPr>
          <w:rFonts w:hint="eastAsia" w:ascii="宋体" w:hAnsi="宋体" w:eastAsia="宋体" w:cs="宋体"/>
          <w:snapToGrid w:val="0"/>
          <w:color w:val="auto"/>
          <w:spacing w:val="0"/>
          <w:kern w:val="0"/>
          <w:position w:val="0"/>
          <w:sz w:val="24"/>
          <w:szCs w:val="24"/>
          <w:highlight w:val="none"/>
          <w:lang w:val="en-US" w:eastAsia="zh-CN" w:bidi="ar-SA"/>
        </w:rPr>
        <w:t>（4）</w:t>
      </w:r>
      <w:r>
        <w:rPr>
          <w:rFonts w:hint="eastAsia" w:ascii="宋体" w:hAnsi="宋体" w:eastAsia="宋体" w:cs="宋体"/>
          <w:snapToGrid w:val="0"/>
          <w:color w:val="auto"/>
          <w:spacing w:val="0"/>
          <w:kern w:val="0"/>
          <w:position w:val="0"/>
          <w:sz w:val="24"/>
          <w:szCs w:val="24"/>
          <w:highlight w:val="none"/>
          <w:lang w:val="en-US" w:eastAsia="en-US" w:bidi="ar-SA"/>
        </w:rPr>
        <w:t>负责处理在履行本合同服务期间发生的一切安全事故并承担因此产生的所有费用。</w:t>
      </w:r>
    </w:p>
    <w:p w14:paraId="48EA52F6">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en-US" w:bidi="ar-SA"/>
        </w:rPr>
      </w:pPr>
      <w:r>
        <w:rPr>
          <w:rFonts w:hint="eastAsia" w:ascii="宋体" w:hAnsi="宋体" w:eastAsia="宋体" w:cs="宋体"/>
          <w:snapToGrid w:val="0"/>
          <w:color w:val="auto"/>
          <w:spacing w:val="0"/>
          <w:kern w:val="0"/>
          <w:position w:val="0"/>
          <w:sz w:val="24"/>
          <w:szCs w:val="24"/>
          <w:highlight w:val="none"/>
          <w:lang w:val="en-US" w:eastAsia="zh-CN" w:bidi="ar-SA"/>
        </w:rPr>
        <w:t>（5）成交供应商</w:t>
      </w:r>
      <w:r>
        <w:rPr>
          <w:rFonts w:hint="eastAsia" w:ascii="宋体" w:hAnsi="宋体" w:eastAsia="宋体" w:cs="宋体"/>
          <w:snapToGrid w:val="0"/>
          <w:color w:val="auto"/>
          <w:spacing w:val="0"/>
          <w:kern w:val="0"/>
          <w:position w:val="0"/>
          <w:sz w:val="24"/>
          <w:szCs w:val="24"/>
          <w:highlight w:val="none"/>
          <w:lang w:val="en-US" w:eastAsia="en-US" w:bidi="ar-SA"/>
        </w:rPr>
        <w:t>应严格遵守各项法律、法规，抓好劳务、计生、治安、维稳等内部工作，不得发生违法乱纪、扰乱治安等事件。</w:t>
      </w:r>
    </w:p>
    <w:p w14:paraId="328BF3C0">
      <w:pPr>
        <w:keepNext w:val="0"/>
        <w:keepLines w:val="0"/>
        <w:pageBreakBefore w:val="0"/>
        <w:widowControl/>
        <w:kinsoku w:val="0"/>
        <w:wordWrap/>
        <w:overflowPunct/>
        <w:topLinePunct w:val="0"/>
        <w:autoSpaceDE w:val="0"/>
        <w:autoSpaceDN w:val="0"/>
        <w:bidi w:val="0"/>
        <w:adjustRightInd w:val="0"/>
        <w:snapToGrid w:val="0"/>
        <w:spacing w:line="460" w:lineRule="exact"/>
        <w:ind w:firstLine="482" w:firstLineChars="200"/>
        <w:textAlignment w:val="baseline"/>
        <w:rPr>
          <w:rFonts w:hint="eastAsia" w:ascii="宋体" w:hAnsi="宋体" w:eastAsia="宋体" w:cs="宋体"/>
          <w:b/>
          <w:bCs/>
          <w:snapToGrid w:val="0"/>
          <w:color w:val="auto"/>
          <w:spacing w:val="0"/>
          <w:w w:val="100"/>
          <w:position w:val="0"/>
          <w:sz w:val="24"/>
          <w:szCs w:val="24"/>
          <w:highlight w:val="none"/>
          <w:lang w:val="en-US" w:eastAsia="zh-CN" w:bidi="ar-SA"/>
        </w:rPr>
      </w:pPr>
      <w:r>
        <w:rPr>
          <w:rFonts w:hint="eastAsia" w:ascii="宋体" w:hAnsi="宋体" w:eastAsia="宋体" w:cs="宋体"/>
          <w:b/>
          <w:bCs/>
          <w:snapToGrid w:val="0"/>
          <w:color w:val="auto"/>
          <w:spacing w:val="0"/>
          <w:w w:val="100"/>
          <w:position w:val="0"/>
          <w:sz w:val="24"/>
          <w:szCs w:val="24"/>
          <w:highlight w:val="none"/>
          <w:lang w:val="en-US" w:eastAsia="zh-CN" w:bidi="ar-SA"/>
        </w:rPr>
        <w:t>4.4 其他要求</w:t>
      </w:r>
    </w:p>
    <w:p w14:paraId="69A9CBBA">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（1）及时完成采购人安排的其它临时性工作，并服从采购人调度。</w:t>
      </w:r>
    </w:p>
    <w:p w14:paraId="1503848B">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（2）成交供应商每季向采购单位报送运维范围的运行情况报告，报告内容中包含运维过程中存在的隐患问题。</w:t>
      </w:r>
    </w:p>
    <w:p w14:paraId="7CA9996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（3）成交供应商在泵站维修改造过程中，更换配件不得低于原有标准要求。</w:t>
      </w:r>
    </w:p>
    <w:p w14:paraId="557D422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（4）服从合同采购人的工作要求，遇重大事项或活动，积极配合工作及时到位。</w:t>
      </w:r>
    </w:p>
    <w:p w14:paraId="50FF3AC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（5）服务期满成交供应商保证所有设施设备运行正常，若存在损坏、故障、淤堵等问题，由成交供应商负责养护维修好再移交(或者扣除相关费用后再移交)。</w:t>
      </w:r>
    </w:p>
    <w:p w14:paraId="462BABB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b/>
          <w:bCs/>
          <w:snapToGrid w:val="0"/>
          <w:color w:val="auto"/>
          <w:spacing w:val="0"/>
          <w:kern w:val="0"/>
          <w:position w:val="0"/>
          <w:sz w:val="24"/>
          <w:szCs w:val="24"/>
          <w:highlight w:val="none"/>
          <w:lang w:val="en-US" w:eastAsia="zh-CN" w:bidi="ar-SA"/>
        </w:rPr>
      </w:pPr>
      <w:r>
        <w:rPr>
          <w:rFonts w:hint="eastAsia" w:ascii="宋体" w:hAnsi="宋体" w:eastAsia="宋体" w:cs="宋体"/>
          <w:b/>
          <w:bCs/>
          <w:snapToGrid w:val="0"/>
          <w:color w:val="auto"/>
          <w:spacing w:val="0"/>
          <w:kern w:val="0"/>
          <w:position w:val="0"/>
          <w:sz w:val="24"/>
          <w:szCs w:val="24"/>
          <w:highlight w:val="none"/>
          <w:lang w:val="en-US" w:eastAsia="zh-CN" w:bidi="ar-SA"/>
        </w:rPr>
        <w:t>4.5 日常工作考核：</w:t>
      </w:r>
    </w:p>
    <w:p w14:paraId="569FD92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478"/>
        <w:contextualSpacing/>
        <w:jc w:val="left"/>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日常工作考核详见下表，甲方每半年对项目进行检查，项目考核实行扣分制，定期检查总分100分，低于90分者，每降低1分扣该半年经费的1%（被扣除费用用于其他维修项目等，因此项费用存在不可预见性，经业主方批准实施以实际发生计量为准）。</w:t>
      </w:r>
    </w:p>
    <w:p w14:paraId="4FD5BCDA">
      <w:pPr>
        <w:rPr>
          <w:rFonts w:hint="eastAsia" w:ascii="宋体" w:hAnsi="宋体" w:eastAsia="宋体" w:cs="宋体"/>
          <w:b/>
          <w:bCs/>
          <w:snapToGrid w:val="0"/>
          <w:color w:val="auto"/>
          <w:kern w:val="0"/>
          <w:sz w:val="28"/>
          <w:szCs w:val="28"/>
          <w:highlight w:val="none"/>
          <w:lang w:val="en-US" w:eastAsia="zh-CN" w:bidi="ar"/>
        </w:rPr>
      </w:pPr>
      <w:r>
        <w:rPr>
          <w:rFonts w:hint="eastAsia" w:ascii="宋体" w:hAnsi="宋体" w:eastAsia="宋体" w:cs="宋体"/>
          <w:b/>
          <w:bCs/>
          <w:snapToGrid w:val="0"/>
          <w:color w:val="auto"/>
          <w:kern w:val="0"/>
          <w:sz w:val="28"/>
          <w:szCs w:val="28"/>
          <w:highlight w:val="none"/>
          <w:lang w:val="en-US" w:eastAsia="zh-CN" w:bidi="ar"/>
        </w:rPr>
        <w:br w:type="page"/>
      </w:r>
    </w:p>
    <w:p w14:paraId="0D57FE5A">
      <w:pPr>
        <w:keepNext w:val="0"/>
        <w:keepLines w:val="0"/>
        <w:widowControl/>
        <w:suppressLineNumbers w:val="0"/>
        <w:jc w:val="center"/>
        <w:rPr>
          <w:rFonts w:hint="default" w:ascii="宋体" w:hAnsi="宋体" w:eastAsia="宋体" w:cs="宋体"/>
          <w:b w:val="0"/>
          <w:bCs w:val="0"/>
          <w:snapToGrid w:val="0"/>
          <w:color w:val="auto"/>
          <w:kern w:val="0"/>
          <w:sz w:val="32"/>
          <w:szCs w:val="32"/>
          <w:highlight w:val="none"/>
          <w:lang w:val="en-US" w:eastAsia="zh-CN" w:bidi="ar"/>
        </w:rPr>
      </w:pPr>
      <w:r>
        <w:rPr>
          <w:rFonts w:hint="eastAsia" w:ascii="宋体" w:hAnsi="宋体" w:eastAsia="宋体" w:cs="宋体"/>
          <w:b/>
          <w:bCs/>
          <w:snapToGrid w:val="0"/>
          <w:color w:val="auto"/>
          <w:kern w:val="0"/>
          <w:sz w:val="32"/>
          <w:szCs w:val="32"/>
          <w:highlight w:val="none"/>
          <w:lang w:val="en-US" w:eastAsia="zh-CN" w:bidi="ar"/>
        </w:rPr>
        <w:t>考核评分表</w:t>
      </w:r>
    </w:p>
    <w:tbl>
      <w:tblPr>
        <w:tblStyle w:val="5"/>
        <w:tblW w:w="9930" w:type="dxa"/>
        <w:tblInd w:w="-28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110"/>
        <w:gridCol w:w="675"/>
        <w:gridCol w:w="3390"/>
        <w:gridCol w:w="630"/>
        <w:gridCol w:w="3300"/>
        <w:gridCol w:w="825"/>
      </w:tblGrid>
      <w:tr w14:paraId="22B85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12" w:hRule="atLeast"/>
        </w:trPr>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C43193">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b/>
                <w:bCs/>
                <w:snapToGrid w:val="0"/>
                <w:color w:val="auto"/>
                <w:ker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类别</w:t>
            </w:r>
          </w:p>
        </w:tc>
        <w:tc>
          <w:tcPr>
            <w:tcW w:w="6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B1E8C8">
            <w:pPr>
              <w:keepNext w:val="0"/>
              <w:keepLines w:val="0"/>
              <w:widowControl/>
              <w:suppressLineNumbers w:val="0"/>
              <w:kinsoku w:val="0"/>
              <w:autoSpaceDE w:val="0"/>
              <w:autoSpaceDN w:val="0"/>
              <w:adjustRightInd w:val="0"/>
              <w:snapToGrid w:val="0"/>
              <w:spacing w:before="100" w:beforeAutospacing="1" w:after="100" w:afterAutospacing="1" w:line="262" w:lineRule="auto"/>
              <w:ind w:left="0" w:hanging="4"/>
              <w:jc w:val="center"/>
              <w:textAlignment w:val="center"/>
              <w:rPr>
                <w:rFonts w:hint="eastAsia" w:ascii="仿宋" w:hAnsi="仿宋" w:eastAsia="仿宋" w:cs="仿宋"/>
                <w:b/>
                <w:bCs/>
                <w:snapToGrid w:val="0"/>
                <w:color w:val="auto"/>
                <w:ker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检查项目</w:t>
            </w:r>
          </w:p>
        </w:tc>
        <w:tc>
          <w:tcPr>
            <w:tcW w:w="3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D94D23">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b/>
                <w:bCs/>
                <w:snapToGrid w:val="0"/>
                <w:color w:val="auto"/>
                <w:ker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检查内容</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F381F4">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b/>
                <w:bCs/>
                <w:snapToGrid w:val="0"/>
                <w:color w:val="auto"/>
                <w:ker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标准分</w:t>
            </w:r>
          </w:p>
        </w:tc>
        <w:tc>
          <w:tcPr>
            <w:tcW w:w="3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E4500B">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b/>
                <w:bCs/>
                <w:snapToGrid w:val="0"/>
                <w:color w:val="auto"/>
                <w:ker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评分细则</w:t>
            </w:r>
          </w:p>
        </w:tc>
        <w:tc>
          <w:tcPr>
            <w:tcW w:w="8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B2F4A5">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b/>
                <w:bCs/>
                <w:snapToGrid w:val="0"/>
                <w:color w:val="auto"/>
                <w:spacing w:val="0"/>
                <w:kern w:val="0"/>
                <w:position w:val="0"/>
                <w:sz w:val="28"/>
                <w:szCs w:val="28"/>
                <w:highlight w:val="none"/>
                <w:lang w:val="en-US" w:eastAsia="en-US" w:bidi="ar-SA"/>
              </w:rPr>
            </w:pPr>
            <w:r>
              <w:rPr>
                <w:rFonts w:hint="eastAsia" w:ascii="仿宋" w:hAnsi="仿宋" w:eastAsia="仿宋" w:cs="仿宋"/>
                <w:b/>
                <w:bCs/>
                <w:snapToGrid w:val="0"/>
                <w:color w:val="auto"/>
                <w:spacing w:val="0"/>
                <w:kern w:val="0"/>
                <w:position w:val="0"/>
                <w:sz w:val="28"/>
                <w:szCs w:val="28"/>
                <w:highlight w:val="none"/>
                <w:lang w:val="en-US" w:eastAsia="en-US" w:bidi="ar-SA"/>
              </w:rPr>
              <w:t>考评得分</w:t>
            </w:r>
          </w:p>
        </w:tc>
      </w:tr>
      <w:tr w14:paraId="044E3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051" w:hRule="atLeast"/>
        </w:trPr>
        <w:tc>
          <w:tcPr>
            <w:tcW w:w="1110" w:type="dxa"/>
            <w:vMerge w:val="restart"/>
            <w:tcBorders>
              <w:top w:val="single" w:color="000000" w:sz="4" w:space="0"/>
              <w:left w:val="single" w:color="000000" w:sz="4" w:space="0"/>
              <w:right w:val="single" w:color="000000" w:sz="4" w:space="0"/>
            </w:tcBorders>
            <w:shd w:val="clear" w:color="auto" w:fill="FFFFFF"/>
            <w:vAlign w:val="center"/>
          </w:tcPr>
          <w:p w14:paraId="36E4B5FB">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0"/>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一、运行管理（</w:t>
            </w:r>
            <w:r>
              <w:rPr>
                <w:rFonts w:hint="eastAsia" w:ascii="仿宋" w:hAnsi="仿宋" w:eastAsia="仿宋" w:cs="仿宋"/>
                <w:snapToGrid w:val="0"/>
                <w:color w:val="auto"/>
                <w:spacing w:val="0"/>
                <w:kern w:val="0"/>
                <w:position w:val="0"/>
                <w:sz w:val="28"/>
                <w:szCs w:val="28"/>
                <w:highlight w:val="none"/>
                <w:lang w:val="en-US" w:eastAsia="zh-CN" w:bidi="ar-SA"/>
              </w:rPr>
              <w:t>20</w:t>
            </w:r>
            <w:r>
              <w:rPr>
                <w:rFonts w:hint="eastAsia" w:ascii="仿宋" w:hAnsi="仿宋" w:eastAsia="仿宋" w:cs="仿宋"/>
                <w:snapToGrid w:val="0"/>
                <w:color w:val="auto"/>
                <w:spacing w:val="0"/>
                <w:kern w:val="0"/>
                <w:position w:val="0"/>
                <w:sz w:val="28"/>
                <w:szCs w:val="28"/>
                <w:highlight w:val="none"/>
                <w:lang w:val="en-US" w:eastAsia="en-US" w:bidi="ar-SA"/>
              </w:rPr>
              <w:t>分）</w:t>
            </w:r>
          </w:p>
        </w:tc>
        <w:tc>
          <w:tcPr>
            <w:tcW w:w="6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11F2A9">
            <w:pPr>
              <w:keepNext w:val="0"/>
              <w:keepLines w:val="0"/>
              <w:widowControl/>
              <w:suppressLineNumbers w:val="0"/>
              <w:kinsoku w:val="0"/>
              <w:autoSpaceDE w:val="0"/>
              <w:autoSpaceDN w:val="0"/>
              <w:adjustRightInd w:val="0"/>
              <w:snapToGrid w:val="0"/>
              <w:spacing w:before="100" w:beforeAutospacing="1" w:after="100" w:afterAutospacing="1" w:line="262" w:lineRule="auto"/>
              <w:ind w:left="0" w:hanging="6"/>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值班管理</w:t>
            </w:r>
          </w:p>
        </w:tc>
        <w:tc>
          <w:tcPr>
            <w:tcW w:w="3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E7F15B">
            <w:pPr>
              <w:keepNext w:val="0"/>
              <w:keepLines w:val="0"/>
              <w:pageBreakBefore w:val="0"/>
              <w:widowControl/>
              <w:suppressLineNumbers w:val="0"/>
              <w:kinsoku w:val="0"/>
              <w:wordWrap/>
              <w:overflowPunct/>
              <w:topLinePunct w:val="0"/>
              <w:autoSpaceDE w:val="0"/>
              <w:autoSpaceDN w:val="0"/>
              <w:bidi w:val="0"/>
              <w:adjustRightInd w:val="0"/>
              <w:snapToGrid w:val="0"/>
              <w:spacing w:before="100" w:beforeAutospacing="1" w:after="100" w:afterAutospacing="1"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kern w:val="0"/>
                <w:sz w:val="28"/>
                <w:szCs w:val="28"/>
                <w:highlight w:val="none"/>
                <w:lang w:val="en-US" w:eastAsia="zh-CN" w:bidi="ar-SA"/>
              </w:rPr>
              <w:t>①是否按合同要求足额定时安排值守人员，值守人要坚守工作岗位，不脱岗、不睡岗、不醉岗；②值守人在工作时间内，不得在站内从事扑克、麻将等与工作无关的娱乐活动，非泵站运维相关工作人员未经许可不得进入泵站；③值守人是否熟练掌握污水提升泵站排水设施操作方法，熟悉工艺流程，相应专业技术能力，严格执行操作规程。</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963B3C">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5</w:t>
            </w:r>
          </w:p>
        </w:tc>
        <w:tc>
          <w:tcPr>
            <w:tcW w:w="3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4038F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1、每站发现脱岗、睡岗一次各扣1分；发现醉岗、赌博的，每次扣3分。</w:t>
            </w:r>
          </w:p>
          <w:p w14:paraId="1D454E51">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2、值班人员脱岗造成无人值守，本项不得分。</w:t>
            </w:r>
          </w:p>
          <w:p w14:paraId="2ED7FC44">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3、值班人员变动未及时上报每人扣1分。</w:t>
            </w:r>
          </w:p>
          <w:p w14:paraId="6DE4A35C">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4、未及时上报值班考勤每次扣1分。</w:t>
            </w:r>
          </w:p>
          <w:p w14:paraId="343712E5">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5、违章操作或未按规定操作的，每发现一次扣2分。</w:t>
            </w:r>
          </w:p>
          <w:p w14:paraId="6E47866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6、因抽排不及时造成污水外溢的，本项不得分。</w:t>
            </w:r>
          </w:p>
          <w:p w14:paraId="25FF06E3">
            <w:pPr>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kern w:val="0"/>
                <w:sz w:val="28"/>
                <w:szCs w:val="28"/>
                <w:highlight w:val="none"/>
                <w:lang w:val="en-US" w:eastAsia="zh-CN" w:bidi="ar-SA"/>
              </w:rPr>
              <w:t>7、自动泵站未按规定进行巡站检查，每发现一次扣2分。</w:t>
            </w:r>
          </w:p>
        </w:tc>
        <w:tc>
          <w:tcPr>
            <w:tcW w:w="8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39321E">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left"/>
              <w:textAlignment w:val="center"/>
              <w:rPr>
                <w:rFonts w:hint="eastAsia" w:ascii="仿宋" w:hAnsi="仿宋" w:eastAsia="仿宋" w:cs="仿宋"/>
                <w:snapToGrid w:val="0"/>
                <w:color w:val="auto"/>
                <w:spacing w:val="0"/>
                <w:kern w:val="0"/>
                <w:position w:val="0"/>
                <w:sz w:val="28"/>
                <w:szCs w:val="28"/>
                <w:highlight w:val="none"/>
                <w:lang w:val="en-US" w:eastAsia="en-US" w:bidi="ar-SA"/>
              </w:rPr>
            </w:pPr>
          </w:p>
        </w:tc>
      </w:tr>
      <w:tr w14:paraId="2CE11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81" w:hRule="atLeast"/>
        </w:trPr>
        <w:tc>
          <w:tcPr>
            <w:tcW w:w="1110" w:type="dxa"/>
            <w:vMerge w:val="continue"/>
            <w:tcBorders>
              <w:left w:val="single" w:color="000000" w:sz="4" w:space="0"/>
              <w:bottom w:val="single" w:color="auto" w:sz="4" w:space="0"/>
              <w:right w:val="single" w:color="000000" w:sz="4" w:space="0"/>
            </w:tcBorders>
            <w:shd w:val="clear" w:color="auto" w:fill="FFFFFF"/>
            <w:vAlign w:val="center"/>
          </w:tcPr>
          <w:p w14:paraId="03CFAA37">
            <w:pPr>
              <w:jc w:val="center"/>
              <w:rPr>
                <w:rFonts w:hint="eastAsia" w:ascii="仿宋" w:hAnsi="仿宋" w:eastAsia="仿宋" w:cs="仿宋"/>
                <w:color w:val="auto"/>
                <w:sz w:val="28"/>
                <w:szCs w:val="28"/>
                <w:highlight w:val="none"/>
              </w:rPr>
            </w:pPr>
          </w:p>
        </w:tc>
        <w:tc>
          <w:tcPr>
            <w:tcW w:w="675" w:type="dxa"/>
            <w:tcBorders>
              <w:top w:val="single" w:color="000000" w:sz="4" w:space="0"/>
              <w:left w:val="single" w:color="000000" w:sz="4" w:space="0"/>
              <w:bottom w:val="single" w:color="auto" w:sz="4" w:space="0"/>
              <w:right w:val="single" w:color="000000" w:sz="4" w:space="0"/>
            </w:tcBorders>
            <w:shd w:val="clear" w:color="auto" w:fill="FFFFFF"/>
            <w:vAlign w:val="center"/>
          </w:tcPr>
          <w:p w14:paraId="40110FC3">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2"/>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调度运行</w:t>
            </w:r>
          </w:p>
        </w:tc>
        <w:tc>
          <w:tcPr>
            <w:tcW w:w="339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5BCB3F39">
            <w:pPr>
              <w:keepNext w:val="0"/>
              <w:keepLines w:val="0"/>
              <w:widowControl/>
              <w:suppressLineNumbers w:val="0"/>
              <w:kinsoku w:val="0"/>
              <w:autoSpaceDE w:val="0"/>
              <w:autoSpaceDN w:val="0"/>
              <w:adjustRightInd w:val="0"/>
              <w:snapToGrid w:val="0"/>
              <w:spacing w:before="100" w:beforeAutospacing="1" w:after="100" w:afterAutospacing="1" w:line="262" w:lineRule="auto"/>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制定并完善泵站管理的相关制度、规范以及设备操作规程，并组织运行人员学习，运行人员严格按照设备操作规程进行操作：运行人员根据现场实际情况或上级主管部门的指令进行调度运行。</w:t>
            </w:r>
          </w:p>
        </w:tc>
        <w:tc>
          <w:tcPr>
            <w:tcW w:w="63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3C6174D9">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default"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spacing w:val="0"/>
                <w:kern w:val="0"/>
                <w:position w:val="0"/>
                <w:sz w:val="28"/>
                <w:szCs w:val="28"/>
                <w:highlight w:val="none"/>
                <w:lang w:val="en-US" w:eastAsia="zh-CN" w:bidi="ar-SA"/>
              </w:rPr>
              <w:t>15</w:t>
            </w:r>
          </w:p>
        </w:tc>
        <w:tc>
          <w:tcPr>
            <w:tcW w:w="330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22CC519C">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1.运行人员不了解相关制度规范，不熟悉泵站及其设备基本情况和设备操作规程的，每次扣5分；</w:t>
            </w:r>
          </w:p>
          <w:p w14:paraId="000A7F88">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2.运行人员未按照设备操作规程进行操作，造成设备非正常运行，影响泵站正常抽排，每次扣5分；</w:t>
            </w:r>
          </w:p>
          <w:p w14:paraId="221FF872">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3.运行人员接受其他任何单位和个人指令进行调度运行的，本项不得分。</w:t>
            </w:r>
          </w:p>
        </w:tc>
        <w:tc>
          <w:tcPr>
            <w:tcW w:w="8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3D3DD7">
            <w:pPr>
              <w:keepNext w:val="0"/>
              <w:keepLines w:val="0"/>
              <w:widowControl/>
              <w:suppressLineNumbers w:val="0"/>
              <w:kinsoku w:val="0"/>
              <w:autoSpaceDE w:val="0"/>
              <w:autoSpaceDN w:val="0"/>
              <w:adjustRightInd w:val="0"/>
              <w:snapToGrid w:val="0"/>
              <w:spacing w:before="0" w:beforeAutospacing="0" w:after="0" w:afterAutospacing="0" w:line="262" w:lineRule="auto"/>
              <w:ind w:left="0" w:firstLine="560" w:firstLineChars="200"/>
              <w:contextualSpacing w:val="0"/>
              <w:jc w:val="left"/>
              <w:textAlignment w:val="baseline"/>
              <w:rPr>
                <w:rFonts w:hint="eastAsia" w:ascii="仿宋" w:hAnsi="仿宋" w:eastAsia="仿宋" w:cs="仿宋"/>
                <w:snapToGrid w:val="0"/>
                <w:color w:val="auto"/>
                <w:spacing w:val="0"/>
                <w:kern w:val="0"/>
                <w:position w:val="0"/>
                <w:sz w:val="28"/>
                <w:szCs w:val="28"/>
                <w:highlight w:val="none"/>
                <w:lang w:val="en-US" w:eastAsia="en-US" w:bidi="ar-SA"/>
              </w:rPr>
            </w:pPr>
          </w:p>
        </w:tc>
      </w:tr>
      <w:tr w14:paraId="30136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1110" w:type="dxa"/>
            <w:vMerge w:val="restart"/>
            <w:tcBorders>
              <w:top w:val="single" w:color="auto" w:sz="4" w:space="0"/>
              <w:left w:val="single" w:color="auto" w:sz="4" w:space="0"/>
              <w:right w:val="single" w:color="000000" w:sz="4" w:space="0"/>
            </w:tcBorders>
            <w:shd w:val="clear" w:color="auto" w:fill="FFFFFF"/>
            <w:vAlign w:val="center"/>
          </w:tcPr>
          <w:p w14:paraId="539B837E">
            <w:pPr>
              <w:keepNext w:val="0"/>
              <w:keepLines w:val="0"/>
              <w:widowControl/>
              <w:suppressLineNumbers w:val="0"/>
              <w:kinsoku w:val="0"/>
              <w:autoSpaceDE w:val="0"/>
              <w:autoSpaceDN w:val="0"/>
              <w:adjustRightInd w:val="0"/>
              <w:snapToGrid w:val="0"/>
              <w:spacing w:before="100" w:beforeAutospacing="1" w:after="100" w:afterAutospacing="1" w:line="262" w:lineRule="auto"/>
              <w:jc w:val="center"/>
              <w:textAlignment w:val="center"/>
              <w:rPr>
                <w:rFonts w:hint="eastAsia" w:ascii="仿宋" w:hAnsi="仿宋" w:eastAsia="仿宋" w:cs="仿宋"/>
                <w:snapToGrid w:val="0"/>
                <w:color w:val="auto"/>
                <w:spacing w:val="0"/>
                <w:kern w:val="0"/>
                <w:positio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二、设备日常维护（</w:t>
            </w:r>
            <w:r>
              <w:rPr>
                <w:rFonts w:hint="eastAsia" w:ascii="仿宋" w:hAnsi="仿宋" w:eastAsia="仿宋" w:cs="仿宋"/>
                <w:snapToGrid w:val="0"/>
                <w:color w:val="auto"/>
                <w:spacing w:val="0"/>
                <w:kern w:val="0"/>
                <w:position w:val="0"/>
                <w:sz w:val="28"/>
                <w:szCs w:val="28"/>
                <w:highlight w:val="none"/>
                <w:lang w:val="en-US" w:eastAsia="zh-CN" w:bidi="ar-SA"/>
              </w:rPr>
              <w:t>45</w:t>
            </w:r>
            <w:r>
              <w:rPr>
                <w:rFonts w:hint="eastAsia" w:ascii="仿宋" w:hAnsi="仿宋" w:eastAsia="仿宋" w:cs="仿宋"/>
                <w:snapToGrid w:val="0"/>
                <w:color w:val="auto"/>
                <w:spacing w:val="0"/>
                <w:kern w:val="0"/>
                <w:position w:val="0"/>
                <w:sz w:val="28"/>
                <w:szCs w:val="28"/>
                <w:highlight w:val="none"/>
                <w:lang w:val="en-US" w:eastAsia="en-US" w:bidi="ar-SA"/>
              </w:rPr>
              <w:t>分</w:t>
            </w:r>
            <w:r>
              <w:rPr>
                <w:rFonts w:hint="eastAsia" w:ascii="仿宋" w:hAnsi="仿宋" w:eastAsia="仿宋" w:cs="仿宋"/>
                <w:snapToGrid w:val="0"/>
                <w:color w:val="auto"/>
                <w:spacing w:val="0"/>
                <w:kern w:val="0"/>
                <w:position w:val="0"/>
                <w:sz w:val="28"/>
                <w:szCs w:val="28"/>
                <w:highlight w:val="none"/>
                <w:lang w:val="en-US" w:eastAsia="zh-CN" w:bidi="ar-SA"/>
              </w:rPr>
              <w:t>）</w:t>
            </w:r>
          </w:p>
          <w:p w14:paraId="380F1EBB">
            <w:pPr>
              <w:jc w:val="center"/>
              <w:rPr>
                <w:rFonts w:hint="eastAsia" w:ascii="仿宋" w:hAnsi="仿宋" w:eastAsia="仿宋" w:cs="仿宋"/>
                <w:color w:val="auto"/>
                <w:sz w:val="28"/>
                <w:szCs w:val="28"/>
                <w:highlight w:val="none"/>
                <w:lang w:val="en-US" w:eastAsia="zh-CN"/>
              </w:rPr>
            </w:pPr>
          </w:p>
        </w:tc>
        <w:tc>
          <w:tcPr>
            <w:tcW w:w="675" w:type="dxa"/>
            <w:tcBorders>
              <w:top w:val="single" w:color="auto" w:sz="4" w:space="0"/>
              <w:left w:val="single" w:color="000000" w:sz="4" w:space="0"/>
              <w:bottom w:val="single" w:color="auto" w:sz="4" w:space="0"/>
              <w:right w:val="single" w:color="000000" w:sz="4" w:space="0"/>
            </w:tcBorders>
            <w:shd w:val="clear" w:color="auto" w:fill="FFFFFF"/>
            <w:vAlign w:val="center"/>
          </w:tcPr>
          <w:p w14:paraId="65FE57B2">
            <w:pPr>
              <w:keepNext w:val="0"/>
              <w:keepLines w:val="0"/>
              <w:widowControl/>
              <w:suppressLineNumbers w:val="0"/>
              <w:kinsoku w:val="0"/>
              <w:autoSpaceDE w:val="0"/>
              <w:autoSpaceDN w:val="0"/>
              <w:adjustRightInd w:val="0"/>
              <w:snapToGrid w:val="0"/>
              <w:spacing w:before="100" w:beforeAutospacing="1" w:after="100" w:afterAutospacing="1" w:line="240" w:lineRule="auto"/>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设施巡视检查</w:t>
            </w:r>
          </w:p>
        </w:tc>
        <w:tc>
          <w:tcPr>
            <w:tcW w:w="3390" w:type="dxa"/>
            <w:tcBorders>
              <w:top w:val="single" w:color="auto" w:sz="4" w:space="0"/>
              <w:left w:val="single" w:color="000000" w:sz="4" w:space="0"/>
              <w:bottom w:val="single" w:color="auto" w:sz="4" w:space="0"/>
              <w:right w:val="single" w:color="auto" w:sz="4" w:space="0"/>
            </w:tcBorders>
            <w:shd w:val="clear" w:color="auto" w:fill="FFFFFF"/>
            <w:vAlign w:val="top"/>
          </w:tcPr>
          <w:p w14:paraId="4EA2DD73">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2"/>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按要求对设施进行巡视检查，并做好巡视检查记录。</w:t>
            </w:r>
          </w:p>
        </w:tc>
        <w:tc>
          <w:tcPr>
            <w:tcW w:w="630" w:type="dxa"/>
            <w:tcBorders>
              <w:top w:val="single" w:color="auto" w:sz="4" w:space="0"/>
              <w:left w:val="single" w:color="auto" w:sz="4" w:space="0"/>
              <w:bottom w:val="single" w:color="auto" w:sz="4" w:space="0"/>
              <w:right w:val="single" w:color="000000" w:sz="4" w:space="0"/>
            </w:tcBorders>
            <w:shd w:val="clear" w:color="auto" w:fill="FFFFFF"/>
            <w:vAlign w:val="center"/>
          </w:tcPr>
          <w:p w14:paraId="0C8310C3">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spacing w:val="0"/>
                <w:kern w:val="0"/>
                <w:position w:val="0"/>
                <w:sz w:val="28"/>
                <w:szCs w:val="28"/>
                <w:highlight w:val="none"/>
                <w:lang w:val="en-US" w:eastAsia="en-US" w:bidi="ar-SA"/>
              </w:rPr>
              <w:t>1</w:t>
            </w:r>
            <w:r>
              <w:rPr>
                <w:rFonts w:hint="eastAsia" w:ascii="仿宋" w:hAnsi="仿宋" w:eastAsia="仿宋" w:cs="仿宋"/>
                <w:snapToGrid w:val="0"/>
                <w:color w:val="auto"/>
                <w:spacing w:val="0"/>
                <w:kern w:val="0"/>
                <w:position w:val="0"/>
                <w:sz w:val="28"/>
                <w:szCs w:val="28"/>
                <w:highlight w:val="none"/>
                <w:lang w:val="en-US" w:eastAsia="zh-CN" w:bidi="ar-SA"/>
              </w:rPr>
              <w:t>5</w:t>
            </w:r>
          </w:p>
        </w:tc>
        <w:tc>
          <w:tcPr>
            <w:tcW w:w="3300" w:type="dxa"/>
            <w:tcBorders>
              <w:top w:val="single" w:color="auto" w:sz="4" w:space="0"/>
              <w:left w:val="single" w:color="000000" w:sz="4" w:space="0"/>
              <w:bottom w:val="single" w:color="auto" w:sz="4" w:space="0"/>
              <w:right w:val="single" w:color="auto" w:sz="4" w:space="0"/>
            </w:tcBorders>
            <w:shd w:val="clear" w:color="auto" w:fill="FFFFFF"/>
            <w:vAlign w:val="center"/>
          </w:tcPr>
          <w:p w14:paraId="721BAED2">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zh-CN" w:bidi="ar-SA"/>
              </w:rPr>
              <w:t>1.</w:t>
            </w:r>
            <w:r>
              <w:rPr>
                <w:rFonts w:hint="eastAsia" w:ascii="仿宋" w:hAnsi="仿宋" w:eastAsia="仿宋" w:cs="仿宋"/>
                <w:snapToGrid w:val="0"/>
                <w:color w:val="auto"/>
                <w:spacing w:val="0"/>
                <w:kern w:val="0"/>
                <w:position w:val="0"/>
                <w:sz w:val="28"/>
                <w:szCs w:val="28"/>
                <w:highlight w:val="none"/>
                <w:lang w:val="en-US" w:eastAsia="en-US" w:bidi="ar-SA"/>
              </w:rPr>
              <w:t>管理单位工作人员定期和不定期检查时发现设施缺陷，运行人员未发现、未及时上报或未及时处理的，每次扣</w:t>
            </w:r>
            <w:r>
              <w:rPr>
                <w:rFonts w:hint="eastAsia" w:ascii="仿宋" w:hAnsi="仿宋" w:eastAsia="仿宋" w:cs="仿宋"/>
                <w:snapToGrid w:val="0"/>
                <w:color w:val="auto"/>
                <w:spacing w:val="0"/>
                <w:kern w:val="0"/>
                <w:position w:val="0"/>
                <w:sz w:val="28"/>
                <w:szCs w:val="28"/>
                <w:highlight w:val="none"/>
                <w:lang w:val="en-US" w:eastAsia="zh-CN" w:bidi="ar-SA"/>
              </w:rPr>
              <w:t>2</w:t>
            </w:r>
            <w:r>
              <w:rPr>
                <w:rFonts w:hint="eastAsia" w:ascii="仿宋" w:hAnsi="仿宋" w:eastAsia="仿宋" w:cs="仿宋"/>
                <w:snapToGrid w:val="0"/>
                <w:color w:val="auto"/>
                <w:spacing w:val="0"/>
                <w:kern w:val="0"/>
                <w:position w:val="0"/>
                <w:sz w:val="28"/>
                <w:szCs w:val="28"/>
                <w:highlight w:val="none"/>
                <w:lang w:val="en-US" w:eastAsia="en-US" w:bidi="ar-SA"/>
              </w:rPr>
              <w:t>分。</w:t>
            </w:r>
          </w:p>
        </w:tc>
        <w:tc>
          <w:tcPr>
            <w:tcW w:w="825" w:type="dxa"/>
            <w:tcBorders>
              <w:top w:val="single" w:color="000000" w:sz="4" w:space="0"/>
              <w:left w:val="single" w:color="auto" w:sz="4" w:space="0"/>
              <w:bottom w:val="single" w:color="000000" w:sz="4" w:space="0"/>
              <w:right w:val="single" w:color="000000" w:sz="4" w:space="0"/>
            </w:tcBorders>
            <w:shd w:val="clear" w:color="auto" w:fill="FFFFFF"/>
            <w:vAlign w:val="center"/>
          </w:tcPr>
          <w:p w14:paraId="4B282D83">
            <w:pPr>
              <w:keepNext w:val="0"/>
              <w:keepLines w:val="0"/>
              <w:widowControl/>
              <w:suppressLineNumbers w:val="0"/>
              <w:kinsoku w:val="0"/>
              <w:autoSpaceDE w:val="0"/>
              <w:autoSpaceDN w:val="0"/>
              <w:adjustRightInd w:val="0"/>
              <w:snapToGrid w:val="0"/>
              <w:spacing w:before="0" w:beforeAutospacing="0" w:after="0" w:afterAutospacing="0" w:line="262" w:lineRule="auto"/>
              <w:ind w:left="0" w:firstLine="560" w:firstLineChars="200"/>
              <w:contextualSpacing w:val="0"/>
              <w:jc w:val="left"/>
              <w:textAlignment w:val="baseline"/>
              <w:rPr>
                <w:rFonts w:hint="eastAsia" w:ascii="仿宋" w:hAnsi="仿宋" w:eastAsia="仿宋" w:cs="仿宋"/>
                <w:snapToGrid w:val="0"/>
                <w:color w:val="auto"/>
                <w:spacing w:val="0"/>
                <w:kern w:val="0"/>
                <w:position w:val="0"/>
                <w:sz w:val="28"/>
                <w:szCs w:val="28"/>
                <w:highlight w:val="none"/>
                <w:lang w:val="en-US" w:eastAsia="en-US" w:bidi="ar-SA"/>
              </w:rPr>
            </w:pPr>
          </w:p>
        </w:tc>
      </w:tr>
      <w:tr w14:paraId="3523D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296" w:hRule="atLeast"/>
        </w:trPr>
        <w:tc>
          <w:tcPr>
            <w:tcW w:w="1110" w:type="dxa"/>
            <w:vMerge w:val="continue"/>
            <w:tcBorders>
              <w:left w:val="single" w:color="auto" w:sz="4" w:space="0"/>
              <w:bottom w:val="single" w:color="auto" w:sz="4" w:space="0"/>
              <w:right w:val="single" w:color="000000" w:sz="4" w:space="0"/>
            </w:tcBorders>
            <w:shd w:val="clear" w:color="auto" w:fill="FFFFFF"/>
            <w:vAlign w:val="center"/>
          </w:tcPr>
          <w:p w14:paraId="5A621E36">
            <w:pPr>
              <w:jc w:val="center"/>
              <w:rPr>
                <w:rFonts w:hint="eastAsia" w:ascii="仿宋" w:hAnsi="仿宋" w:eastAsia="仿宋" w:cs="仿宋"/>
                <w:color w:val="auto"/>
                <w:sz w:val="28"/>
                <w:szCs w:val="28"/>
                <w:highlight w:val="none"/>
              </w:rPr>
            </w:pPr>
          </w:p>
        </w:tc>
        <w:tc>
          <w:tcPr>
            <w:tcW w:w="675" w:type="dxa"/>
            <w:tcBorders>
              <w:top w:val="single" w:color="auto" w:sz="4" w:space="0"/>
              <w:left w:val="single" w:color="000000" w:sz="4" w:space="0"/>
              <w:bottom w:val="single" w:color="auto" w:sz="4" w:space="0"/>
              <w:right w:val="single" w:color="000000" w:sz="4" w:space="0"/>
            </w:tcBorders>
            <w:shd w:val="clear" w:color="auto" w:fill="FFFFFF"/>
            <w:vAlign w:val="center"/>
          </w:tcPr>
          <w:p w14:paraId="57B4800F">
            <w:pPr>
              <w:keepNext w:val="0"/>
              <w:keepLines w:val="0"/>
              <w:widowControl/>
              <w:suppressLineNumbers w:val="0"/>
              <w:kinsoku w:val="0"/>
              <w:autoSpaceDE w:val="0"/>
              <w:autoSpaceDN w:val="0"/>
              <w:adjustRightInd w:val="0"/>
              <w:snapToGrid w:val="0"/>
              <w:spacing w:before="100" w:beforeAutospacing="1" w:after="100" w:afterAutospacing="1" w:line="262" w:lineRule="auto"/>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主要设备维护</w:t>
            </w:r>
          </w:p>
        </w:tc>
        <w:tc>
          <w:tcPr>
            <w:tcW w:w="3390" w:type="dxa"/>
            <w:tcBorders>
              <w:top w:val="single" w:color="auto" w:sz="4" w:space="0"/>
              <w:left w:val="single" w:color="000000" w:sz="4" w:space="0"/>
              <w:bottom w:val="single" w:color="auto" w:sz="4" w:space="0"/>
              <w:right w:val="single" w:color="auto" w:sz="4" w:space="0"/>
            </w:tcBorders>
            <w:shd w:val="clear" w:color="auto" w:fill="FFFFFF"/>
            <w:vAlign w:val="center"/>
          </w:tcPr>
          <w:p w14:paraId="64B6BED8">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4"/>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zh-CN" w:bidi="ar-SA"/>
              </w:rPr>
              <w:t>泵站</w:t>
            </w:r>
            <w:r>
              <w:rPr>
                <w:rFonts w:hint="eastAsia" w:ascii="仿宋" w:hAnsi="仿宋" w:eastAsia="仿宋" w:cs="仿宋"/>
                <w:snapToGrid w:val="0"/>
                <w:color w:val="auto"/>
                <w:spacing w:val="0"/>
                <w:kern w:val="0"/>
                <w:position w:val="0"/>
                <w:sz w:val="28"/>
                <w:szCs w:val="28"/>
                <w:highlight w:val="none"/>
                <w:lang w:val="en-US" w:eastAsia="en-US" w:bidi="ar-SA"/>
              </w:rPr>
              <w:t>日常养护，电机养护，清理格栅、垃圾粉碎机等设备</w:t>
            </w:r>
          </w:p>
        </w:tc>
        <w:tc>
          <w:tcPr>
            <w:tcW w:w="630" w:type="dxa"/>
            <w:tcBorders>
              <w:top w:val="single" w:color="auto" w:sz="4" w:space="0"/>
              <w:left w:val="single" w:color="auto" w:sz="4" w:space="0"/>
              <w:bottom w:val="single" w:color="auto" w:sz="4" w:space="0"/>
              <w:right w:val="single" w:color="auto" w:sz="4" w:space="0"/>
            </w:tcBorders>
            <w:shd w:val="clear" w:color="auto" w:fill="FFFFFF"/>
            <w:vAlign w:val="center"/>
          </w:tcPr>
          <w:p w14:paraId="75DE1B7F">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default"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spacing w:val="0"/>
                <w:kern w:val="0"/>
                <w:position w:val="0"/>
                <w:sz w:val="28"/>
                <w:szCs w:val="28"/>
                <w:highlight w:val="none"/>
                <w:lang w:val="en-US" w:eastAsia="zh-CN" w:bidi="ar-SA"/>
              </w:rPr>
              <w:t>30</w:t>
            </w:r>
          </w:p>
        </w:tc>
        <w:tc>
          <w:tcPr>
            <w:tcW w:w="3300" w:type="dxa"/>
            <w:tcBorders>
              <w:top w:val="single" w:color="auto" w:sz="4" w:space="0"/>
              <w:left w:val="single" w:color="auto" w:sz="4" w:space="0"/>
              <w:bottom w:val="single" w:color="auto" w:sz="4" w:space="0"/>
              <w:right w:val="single" w:color="auto" w:sz="4" w:space="0"/>
            </w:tcBorders>
            <w:shd w:val="clear" w:color="auto" w:fill="FFFFFF"/>
            <w:vAlign w:val="center"/>
          </w:tcPr>
          <w:p w14:paraId="6629D147">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1.做好</w:t>
            </w:r>
            <w:r>
              <w:rPr>
                <w:rFonts w:hint="eastAsia" w:ascii="仿宋" w:hAnsi="仿宋" w:eastAsia="仿宋" w:cs="仿宋"/>
                <w:snapToGrid w:val="0"/>
                <w:color w:val="auto"/>
                <w:spacing w:val="0"/>
                <w:kern w:val="0"/>
                <w:position w:val="0"/>
                <w:sz w:val="28"/>
                <w:szCs w:val="28"/>
                <w:highlight w:val="none"/>
                <w:lang w:val="en-US" w:eastAsia="zh-CN" w:bidi="ar-SA"/>
              </w:rPr>
              <w:t>泵站</w:t>
            </w:r>
            <w:r>
              <w:rPr>
                <w:rFonts w:hint="eastAsia" w:ascii="仿宋" w:hAnsi="仿宋" w:eastAsia="仿宋" w:cs="仿宋"/>
                <w:snapToGrid w:val="0"/>
                <w:color w:val="auto"/>
                <w:spacing w:val="0"/>
                <w:kern w:val="0"/>
                <w:position w:val="0"/>
                <w:sz w:val="28"/>
                <w:szCs w:val="28"/>
                <w:highlight w:val="none"/>
                <w:lang w:val="en-US" w:eastAsia="en-US" w:bidi="ar-SA"/>
              </w:rPr>
              <w:t>机组的日常清洁工作；紧固机组与管路连接螺栓；做好机组轴承和机械密封良好的润滑工作。未按要求保养扣5分；</w:t>
            </w:r>
          </w:p>
          <w:p w14:paraId="0DF4918F">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2.按操作规定对电机启动前的轴承、冷却系统、接地装置、绝缘和启动中电压电流、运行噪声等项目进行检查；做好电动机外壳、电缆接线盒等处的清洁工作。未按要求保养扣5分；</w:t>
            </w:r>
          </w:p>
          <w:p w14:paraId="3D1F0342">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3.清除栅片上的垃圾及污物，冲洗格栅平台，保持环境清洁，检查调整栅格片，清理垃圾粉碎机。未按要求保养扣5分。</w:t>
            </w:r>
          </w:p>
        </w:tc>
        <w:tc>
          <w:tcPr>
            <w:tcW w:w="825" w:type="dxa"/>
            <w:tcBorders>
              <w:top w:val="single" w:color="000000" w:sz="4" w:space="0"/>
              <w:left w:val="single" w:color="auto" w:sz="4" w:space="0"/>
              <w:right w:val="single" w:color="000000" w:sz="4" w:space="0"/>
            </w:tcBorders>
            <w:shd w:val="clear" w:color="auto" w:fill="FFFFFF"/>
            <w:vAlign w:val="center"/>
          </w:tcPr>
          <w:p w14:paraId="54286554">
            <w:pPr>
              <w:keepNext w:val="0"/>
              <w:keepLines w:val="0"/>
              <w:widowControl/>
              <w:suppressLineNumbers w:val="0"/>
              <w:kinsoku w:val="0"/>
              <w:autoSpaceDE w:val="0"/>
              <w:autoSpaceDN w:val="0"/>
              <w:adjustRightInd w:val="0"/>
              <w:snapToGrid w:val="0"/>
              <w:spacing w:before="0" w:beforeAutospacing="0" w:after="0" w:afterAutospacing="0" w:line="262" w:lineRule="auto"/>
              <w:ind w:left="0" w:firstLine="560" w:firstLineChars="200"/>
              <w:contextualSpacing w:val="0"/>
              <w:jc w:val="left"/>
              <w:textAlignment w:val="baseline"/>
              <w:rPr>
                <w:rFonts w:hint="eastAsia" w:ascii="仿宋" w:hAnsi="仿宋" w:eastAsia="仿宋" w:cs="仿宋"/>
                <w:snapToGrid w:val="0"/>
                <w:color w:val="auto"/>
                <w:spacing w:val="0"/>
                <w:kern w:val="0"/>
                <w:position w:val="0"/>
                <w:sz w:val="28"/>
                <w:szCs w:val="28"/>
                <w:highlight w:val="none"/>
                <w:lang w:val="en-US" w:eastAsia="en-US" w:bidi="ar-SA"/>
              </w:rPr>
            </w:pPr>
          </w:p>
        </w:tc>
      </w:tr>
      <w:tr w14:paraId="76C73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663" w:hRule="atLeast"/>
        </w:trPr>
        <w:tc>
          <w:tcPr>
            <w:tcW w:w="1110" w:type="dxa"/>
            <w:tcBorders>
              <w:top w:val="single" w:color="auto" w:sz="4" w:space="0"/>
              <w:left w:val="single" w:color="000000" w:sz="4" w:space="0"/>
              <w:right w:val="single" w:color="000000" w:sz="4" w:space="0"/>
            </w:tcBorders>
            <w:shd w:val="clear" w:color="auto" w:fill="FFFFFF"/>
            <w:vAlign w:val="center"/>
          </w:tcPr>
          <w:p w14:paraId="7A1EC578">
            <w:pPr>
              <w:keepNext w:val="0"/>
              <w:keepLines w:val="0"/>
              <w:widowControl/>
              <w:suppressLineNumbers w:val="0"/>
              <w:kinsoku w:val="0"/>
              <w:autoSpaceDE w:val="0"/>
              <w:autoSpaceDN w:val="0"/>
              <w:adjustRightInd w:val="0"/>
              <w:snapToGrid w:val="0"/>
              <w:spacing w:before="100" w:beforeAutospacing="1" w:after="100" w:afterAutospacing="1" w:line="262" w:lineRule="auto"/>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zh-CN" w:bidi="ar-SA"/>
              </w:rPr>
              <w:t>三、</w:t>
            </w:r>
            <w:r>
              <w:rPr>
                <w:rFonts w:hint="eastAsia" w:ascii="仿宋" w:hAnsi="仿宋" w:eastAsia="仿宋" w:cs="仿宋"/>
                <w:snapToGrid w:val="0"/>
                <w:color w:val="auto"/>
                <w:spacing w:val="0"/>
                <w:kern w:val="0"/>
                <w:position w:val="0"/>
                <w:sz w:val="28"/>
                <w:szCs w:val="28"/>
                <w:highlight w:val="none"/>
                <w:lang w:val="en-US" w:eastAsia="en-US" w:bidi="ar-SA"/>
              </w:rPr>
              <w:t>定期检修（</w:t>
            </w:r>
            <w:r>
              <w:rPr>
                <w:rFonts w:hint="eastAsia" w:ascii="仿宋" w:hAnsi="仿宋" w:eastAsia="仿宋" w:cs="仿宋"/>
                <w:snapToGrid w:val="0"/>
                <w:color w:val="auto"/>
                <w:spacing w:val="0"/>
                <w:kern w:val="0"/>
                <w:position w:val="0"/>
                <w:sz w:val="28"/>
                <w:szCs w:val="28"/>
                <w:highlight w:val="none"/>
                <w:lang w:val="en-US" w:eastAsia="zh-CN" w:bidi="ar-SA"/>
              </w:rPr>
              <w:t>20</w:t>
            </w:r>
            <w:r>
              <w:rPr>
                <w:rFonts w:hint="eastAsia" w:ascii="仿宋" w:hAnsi="仿宋" w:eastAsia="仿宋" w:cs="仿宋"/>
                <w:snapToGrid w:val="0"/>
                <w:color w:val="auto"/>
                <w:spacing w:val="0"/>
                <w:kern w:val="0"/>
                <w:position w:val="0"/>
                <w:sz w:val="28"/>
                <w:szCs w:val="28"/>
                <w:highlight w:val="none"/>
                <w:lang w:val="en-US" w:eastAsia="en-US" w:bidi="ar-SA"/>
              </w:rPr>
              <w:t>分）</w:t>
            </w:r>
          </w:p>
        </w:tc>
        <w:tc>
          <w:tcPr>
            <w:tcW w:w="675" w:type="dxa"/>
            <w:tcBorders>
              <w:top w:val="single" w:color="auto" w:sz="4" w:space="0"/>
              <w:left w:val="single" w:color="000000" w:sz="4" w:space="0"/>
              <w:right w:val="single" w:color="000000" w:sz="4" w:space="0"/>
            </w:tcBorders>
            <w:shd w:val="clear" w:color="auto" w:fill="FFFFFF"/>
            <w:vAlign w:val="center"/>
          </w:tcPr>
          <w:p w14:paraId="7B7CE2E9">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定期检修</w:t>
            </w:r>
          </w:p>
        </w:tc>
        <w:tc>
          <w:tcPr>
            <w:tcW w:w="3390" w:type="dxa"/>
            <w:tcBorders>
              <w:top w:val="single" w:color="auto" w:sz="4" w:space="0"/>
              <w:left w:val="single" w:color="000000" w:sz="4" w:space="0"/>
              <w:right w:val="single" w:color="000000" w:sz="4" w:space="0"/>
            </w:tcBorders>
            <w:shd w:val="clear" w:color="auto" w:fill="FFFFFF"/>
            <w:vAlign w:val="center"/>
          </w:tcPr>
          <w:p w14:paraId="397DC41E">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0"/>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对设备进行定期检修保养、定期试验，并做好相关的检修记录。</w:t>
            </w:r>
          </w:p>
        </w:tc>
        <w:tc>
          <w:tcPr>
            <w:tcW w:w="630" w:type="dxa"/>
            <w:tcBorders>
              <w:top w:val="single" w:color="auto" w:sz="4" w:space="0"/>
              <w:left w:val="single" w:color="000000" w:sz="4" w:space="0"/>
              <w:right w:val="single" w:color="000000" w:sz="4" w:space="0"/>
            </w:tcBorders>
            <w:shd w:val="clear" w:color="auto" w:fill="FFFFFF"/>
            <w:vAlign w:val="center"/>
          </w:tcPr>
          <w:p w14:paraId="3E3E1EE0">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default" w:ascii="仿宋" w:hAnsi="仿宋" w:eastAsia="仿宋" w:cs="仿宋"/>
                <w:snapToGrid w:val="0"/>
                <w:color w:val="auto"/>
                <w:kern w:val="0"/>
                <w:sz w:val="28"/>
                <w:szCs w:val="28"/>
                <w:highlight w:val="none"/>
                <w:lang w:val="en-US" w:eastAsia="zh-CN" w:bidi="ar-SA"/>
              </w:rPr>
            </w:pPr>
            <w:r>
              <w:rPr>
                <w:rFonts w:hint="eastAsia" w:ascii="仿宋" w:hAnsi="仿宋" w:eastAsia="仿宋" w:cs="仿宋"/>
                <w:snapToGrid w:val="0"/>
                <w:color w:val="auto"/>
                <w:kern w:val="0"/>
                <w:sz w:val="28"/>
                <w:szCs w:val="28"/>
                <w:highlight w:val="none"/>
                <w:lang w:val="en-US" w:eastAsia="zh-CN" w:bidi="ar-SA"/>
              </w:rPr>
              <w:t>20</w:t>
            </w:r>
          </w:p>
        </w:tc>
        <w:tc>
          <w:tcPr>
            <w:tcW w:w="3300" w:type="dxa"/>
            <w:tcBorders>
              <w:top w:val="single" w:color="auto" w:sz="4" w:space="0"/>
              <w:left w:val="single" w:color="000000" w:sz="4" w:space="0"/>
              <w:right w:val="single" w:color="000000" w:sz="4" w:space="0"/>
            </w:tcBorders>
            <w:shd w:val="clear" w:color="auto" w:fill="FFFFFF"/>
            <w:vAlign w:val="center"/>
          </w:tcPr>
          <w:p w14:paraId="7855DE32">
            <w:pPr>
              <w:keepNext w:val="0"/>
              <w:keepLines w:val="0"/>
              <w:widowControl/>
              <w:suppressLineNumbers w:val="0"/>
              <w:kinsoku w:val="0"/>
              <w:autoSpaceDE w:val="0"/>
              <w:autoSpaceDN w:val="0"/>
              <w:adjustRightInd w:val="0"/>
              <w:snapToGrid w:val="0"/>
              <w:spacing w:before="100" w:beforeAutospacing="1" w:after="100" w:afterAutospacing="1" w:line="262" w:lineRule="auto"/>
              <w:ind w:left="0" w:hanging="2"/>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1.未按要求定期检修设备和做好检修记录的，每次扣1分；2.未及时提供特种设备检修记录及检修报告的，每次扣1分；3.维修不及时，该项不得分。</w:t>
            </w:r>
          </w:p>
        </w:tc>
        <w:tc>
          <w:tcPr>
            <w:tcW w:w="82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F528BA2">
            <w:pPr>
              <w:keepNext w:val="0"/>
              <w:keepLines w:val="0"/>
              <w:widowControl/>
              <w:suppressLineNumbers w:val="0"/>
              <w:kinsoku w:val="0"/>
              <w:autoSpaceDE w:val="0"/>
              <w:autoSpaceDN w:val="0"/>
              <w:adjustRightInd w:val="0"/>
              <w:snapToGrid w:val="0"/>
              <w:spacing w:before="100" w:beforeAutospacing="1" w:after="100" w:afterAutospacing="1" w:line="262" w:lineRule="auto"/>
              <w:ind w:left="0" w:hanging="2"/>
              <w:jc w:val="left"/>
              <w:textAlignment w:val="center"/>
              <w:rPr>
                <w:rFonts w:hint="eastAsia" w:ascii="仿宋" w:hAnsi="仿宋" w:eastAsia="仿宋" w:cs="仿宋"/>
                <w:snapToGrid w:val="0"/>
                <w:color w:val="auto"/>
                <w:spacing w:val="0"/>
                <w:kern w:val="0"/>
                <w:position w:val="0"/>
                <w:sz w:val="28"/>
                <w:szCs w:val="28"/>
                <w:highlight w:val="none"/>
                <w:lang w:val="en-US" w:eastAsia="en-US" w:bidi="ar-SA"/>
              </w:rPr>
            </w:pPr>
          </w:p>
        </w:tc>
      </w:tr>
      <w:tr w14:paraId="10A71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683" w:hRule="atLeast"/>
        </w:trPr>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A1EBA1">
            <w:pPr>
              <w:keepNext w:val="0"/>
              <w:keepLines w:val="0"/>
              <w:widowControl/>
              <w:suppressLineNumbers w:val="0"/>
              <w:kinsoku w:val="0"/>
              <w:autoSpaceDE w:val="0"/>
              <w:autoSpaceDN w:val="0"/>
              <w:adjustRightInd w:val="0"/>
              <w:snapToGrid w:val="0"/>
              <w:spacing w:before="100" w:beforeAutospacing="1" w:after="100" w:afterAutospacing="1" w:line="262" w:lineRule="auto"/>
              <w:jc w:val="both"/>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zh-CN" w:bidi="ar-SA"/>
              </w:rPr>
              <w:t>四、</w:t>
            </w:r>
            <w:r>
              <w:rPr>
                <w:rFonts w:hint="eastAsia" w:ascii="仿宋" w:hAnsi="仿宋" w:eastAsia="仿宋" w:cs="仿宋"/>
                <w:snapToGrid w:val="0"/>
                <w:color w:val="auto"/>
                <w:spacing w:val="0"/>
                <w:kern w:val="0"/>
                <w:position w:val="0"/>
                <w:sz w:val="28"/>
                <w:szCs w:val="28"/>
                <w:highlight w:val="none"/>
                <w:lang w:val="en-US" w:eastAsia="en-US" w:bidi="ar-SA"/>
              </w:rPr>
              <w:t>安全生产（15分）</w:t>
            </w:r>
          </w:p>
        </w:tc>
        <w:tc>
          <w:tcPr>
            <w:tcW w:w="67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2839A5">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2"/>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安全生产</w:t>
            </w:r>
          </w:p>
        </w:tc>
        <w:tc>
          <w:tcPr>
            <w:tcW w:w="3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EA970F">
            <w:pPr>
              <w:keepNext w:val="0"/>
              <w:keepLines w:val="0"/>
              <w:widowControl/>
              <w:suppressLineNumbers w:val="0"/>
              <w:kinsoku w:val="0"/>
              <w:autoSpaceDE w:val="0"/>
              <w:autoSpaceDN w:val="0"/>
              <w:adjustRightInd w:val="0"/>
              <w:snapToGrid w:val="0"/>
              <w:spacing w:before="100" w:beforeAutospacing="1" w:after="100" w:afterAutospacing="1" w:line="262" w:lineRule="auto"/>
              <w:ind w:left="0" w:firstLine="4"/>
              <w:jc w:val="left"/>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指定专人负责对管理范围内设施进行安全管理；维修养护人员须统一穿着劳动保护用品，配带安全防护设备；警示标识及劳动保护工具应配备齐全；填写相关安全生产检查表格。</w:t>
            </w:r>
          </w:p>
        </w:tc>
        <w:tc>
          <w:tcPr>
            <w:tcW w:w="6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4B976D">
            <w:pPr>
              <w:keepNext w:val="0"/>
              <w:keepLines w:val="0"/>
              <w:widowControl/>
              <w:suppressLineNumbers w:val="0"/>
              <w:kinsoku w:val="0"/>
              <w:autoSpaceDE w:val="0"/>
              <w:autoSpaceDN w:val="0"/>
              <w:adjustRightInd w:val="0"/>
              <w:snapToGrid w:val="0"/>
              <w:spacing w:before="100" w:beforeAutospacing="1" w:after="100" w:afterAutospacing="1" w:line="240" w:lineRule="auto"/>
              <w:ind w:left="0" w:firstLine="0"/>
              <w:jc w:val="center"/>
              <w:textAlignment w:val="center"/>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15</w:t>
            </w:r>
          </w:p>
        </w:tc>
        <w:tc>
          <w:tcPr>
            <w:tcW w:w="330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CB78D0A">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1.未配置专人对设施运维安全管理的扣2分；</w:t>
            </w:r>
          </w:p>
          <w:p w14:paraId="3D14803D">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2.未佩戴安全防护设备，警示标识及劳动保护工具，每次扣5分；</w:t>
            </w:r>
          </w:p>
          <w:p w14:paraId="77AB9903">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3.不按规定着装的每人次扣1分；</w:t>
            </w:r>
          </w:p>
          <w:p w14:paraId="30163A98">
            <w:pPr>
              <w:keepNext w:val="0"/>
              <w:keepLines w:val="0"/>
              <w:widowControl/>
              <w:suppressLineNumbers w:val="0"/>
              <w:kinsoku w:val="0"/>
              <w:autoSpaceDE w:val="0"/>
              <w:autoSpaceDN w:val="0"/>
              <w:adjustRightInd w:val="0"/>
              <w:snapToGrid w:val="0"/>
              <w:spacing w:before="0" w:beforeAutospacing="0" w:after="0" w:afterAutospacing="0" w:line="262" w:lineRule="auto"/>
              <w:contextualSpacing w:val="0"/>
              <w:jc w:val="left"/>
              <w:textAlignment w:val="baseline"/>
              <w:rPr>
                <w:rFonts w:hint="eastAsia" w:ascii="仿宋" w:hAnsi="仿宋" w:eastAsia="仿宋" w:cs="仿宋"/>
                <w:snapToGrid w:val="0"/>
                <w:color w:val="auto"/>
                <w:kern w:val="0"/>
                <w:sz w:val="28"/>
                <w:szCs w:val="28"/>
                <w:highlight w:val="none"/>
                <w:lang w:val="en-US" w:eastAsia="en-US" w:bidi="ar-SA"/>
              </w:rPr>
            </w:pPr>
            <w:r>
              <w:rPr>
                <w:rFonts w:hint="eastAsia" w:ascii="仿宋" w:hAnsi="仿宋" w:eastAsia="仿宋" w:cs="仿宋"/>
                <w:snapToGrid w:val="0"/>
                <w:color w:val="auto"/>
                <w:spacing w:val="0"/>
                <w:kern w:val="0"/>
                <w:position w:val="0"/>
                <w:sz w:val="28"/>
                <w:szCs w:val="28"/>
                <w:highlight w:val="none"/>
                <w:lang w:val="en-US" w:eastAsia="en-US" w:bidi="ar-SA"/>
              </w:rPr>
              <w:t>4.未按要求填写相关安全生产检查表格的，每次扣1分。</w:t>
            </w:r>
          </w:p>
        </w:tc>
        <w:tc>
          <w:tcPr>
            <w:tcW w:w="82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36765DF">
            <w:pPr>
              <w:keepNext w:val="0"/>
              <w:keepLines w:val="0"/>
              <w:widowControl/>
              <w:suppressLineNumbers w:val="0"/>
              <w:kinsoku w:val="0"/>
              <w:autoSpaceDE w:val="0"/>
              <w:autoSpaceDN w:val="0"/>
              <w:adjustRightInd w:val="0"/>
              <w:snapToGrid w:val="0"/>
              <w:spacing w:before="0" w:beforeAutospacing="0" w:after="0" w:afterAutospacing="0" w:line="262" w:lineRule="auto"/>
              <w:ind w:left="0" w:firstLine="560" w:firstLineChars="200"/>
              <w:contextualSpacing w:val="0"/>
              <w:jc w:val="left"/>
              <w:textAlignment w:val="baseline"/>
              <w:rPr>
                <w:rFonts w:hint="eastAsia" w:ascii="仿宋" w:hAnsi="仿宋" w:eastAsia="仿宋" w:cs="仿宋"/>
                <w:snapToGrid w:val="0"/>
                <w:color w:val="auto"/>
                <w:spacing w:val="0"/>
                <w:kern w:val="0"/>
                <w:position w:val="0"/>
                <w:sz w:val="28"/>
                <w:szCs w:val="28"/>
                <w:highlight w:val="none"/>
                <w:lang w:val="en-US" w:eastAsia="en-US" w:bidi="ar-SA"/>
              </w:rPr>
            </w:pPr>
          </w:p>
        </w:tc>
      </w:tr>
    </w:tbl>
    <w:p w14:paraId="52AC81AF">
      <w:pPr>
        <w:keepNext w:val="0"/>
        <w:keepLines w:val="0"/>
        <w:widowControl/>
        <w:suppressLineNumbers w:val="0"/>
        <w:jc w:val="left"/>
        <w:rPr>
          <w:rFonts w:hint="eastAsia" w:ascii="宋体" w:hAnsi="宋体" w:eastAsia="宋体" w:cs="宋体"/>
          <w:b/>
          <w:bCs/>
          <w:snapToGrid w:val="0"/>
          <w:color w:val="auto"/>
          <w:kern w:val="0"/>
          <w:sz w:val="28"/>
          <w:szCs w:val="28"/>
          <w:highlight w:val="none"/>
          <w:lang w:val="en-US" w:eastAsia="zh-CN" w:bidi="ar"/>
        </w:rPr>
      </w:pPr>
      <w:r>
        <w:rPr>
          <w:rFonts w:hint="eastAsia" w:ascii="宋体" w:hAnsi="宋体" w:eastAsia="宋体" w:cs="宋体"/>
          <w:b/>
          <w:bCs/>
          <w:snapToGrid w:val="0"/>
          <w:color w:val="auto"/>
          <w:kern w:val="0"/>
          <w:sz w:val="28"/>
          <w:szCs w:val="28"/>
          <w:highlight w:val="none"/>
          <w:lang w:val="en-US" w:eastAsia="zh-CN" w:bidi="ar"/>
        </w:rPr>
        <w:t>注：以上服务要求为必须满足项，否则作无效投标处理。</w:t>
      </w:r>
    </w:p>
    <w:p w14:paraId="58A94AA7">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C614A3"/>
    <w:rsid w:val="09067802"/>
    <w:rsid w:val="3CC614A3"/>
    <w:rsid w:val="48583293"/>
    <w:rsid w:val="5B432098"/>
    <w:rsid w:val="69B73EA6"/>
    <w:rsid w:val="7CE771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character" w:styleId="7">
    <w:name w:val="Hyperlink"/>
    <w:basedOn w:val="6"/>
    <w:qFormat/>
    <w:uiPriority w:val="0"/>
    <w:rPr>
      <w:color w:val="0000FF"/>
      <w:u w:val="single"/>
    </w:rPr>
  </w:style>
  <w:style w:type="paragraph" w:customStyle="1" w:styleId="8">
    <w:name w:val="*正文"/>
    <w:basedOn w:val="1"/>
    <w:autoRedefine/>
    <w:qFormat/>
    <w:uiPriority w:val="99"/>
    <w:pPr>
      <w:spacing w:line="360" w:lineRule="auto"/>
      <w:ind w:firstLine="200" w:firstLineChars="200"/>
    </w:pPr>
    <w:rPr>
      <w:rFonts w:ascii="宋体" w:hAnsi="宋体" w:cs="宋体"/>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2991</Words>
  <Characters>3091</Characters>
  <Lines>0</Lines>
  <Paragraphs>0</Paragraphs>
  <TotalTime>0</TotalTime>
  <ScaleCrop>false</ScaleCrop>
  <LinksUpToDate>false</LinksUpToDate>
  <CharactersWithSpaces>3097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2026-03-03T08:33:00Z</dcterms:created>
  <dc:creator>admin</dc:creator>
  <cp:lastModifiedBy>admin</cp:lastModifiedBy>
  <dcterms:modified xsi:type="dcterms:W3CDTF">2026-05-18T03:04:08Z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075CD9AD71E14252B205EBBCC29EBF63_11</vt:lpwstr>
  </property>
  <property fmtid="{D5CDD505-2E9C-101B-9397-08002B2CF9AE}" pid="4" name="KSOTemplateDocerSaveRecord">
    <vt:lpwstr>eyJoZGlkIjoiNGZjYWY3YWRiNzliMGRjNDdlMDUyYWIwMGIyZTY1N2IiLCJ1c2VySWQiOiIyMjczMzg1MzEifQ==</vt:lpwstr>
  </property>
</Properties>
</file>