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A517F7">
      <w:pPr>
        <w:pStyle w:val="4"/>
        <w:numPr>
          <w:ilvl w:val="0"/>
          <w:numId w:val="1"/>
        </w:numPr>
        <w:tabs>
          <w:tab w:val="left" w:pos="0"/>
        </w:tabs>
        <w:spacing w:before="500" w:after="140" w:line="500" w:lineRule="exact"/>
        <w:rPr>
          <w:rFonts w:ascii="微软雅黑" w:hAnsi="微软雅黑" w:eastAsia="微软雅黑"/>
          <w:sz w:val="36"/>
          <w:szCs w:val="36"/>
        </w:rPr>
      </w:pPr>
      <w:bookmarkStart w:id="0" w:name="_Toc2783286"/>
      <w:bookmarkStart w:id="1" w:name="_Toc2783408"/>
      <w:bookmarkStart w:id="2" w:name="_Toc6234885"/>
      <w:bookmarkStart w:id="3" w:name="_Toc2784026"/>
      <w:bookmarkStart w:id="4" w:name="_Toc2783033"/>
      <w:bookmarkStart w:id="5" w:name="_Toc6236255"/>
      <w:bookmarkStart w:id="6" w:name="_Toc218671732"/>
      <w:bookmarkStart w:id="7" w:name="_Toc65851957"/>
      <w:bookmarkStart w:id="8" w:name="_Toc6239235"/>
      <w:r>
        <w:rPr>
          <w:rFonts w:hint="eastAsia" w:ascii="微软雅黑" w:hAnsi="微软雅黑" w:eastAsia="微软雅黑"/>
          <w:sz w:val="36"/>
          <w:szCs w:val="36"/>
        </w:rPr>
        <w:t>技术标准和要求</w:t>
      </w:r>
      <w:bookmarkEnd w:id="0"/>
      <w:bookmarkEnd w:id="1"/>
      <w:bookmarkEnd w:id="2"/>
      <w:bookmarkEnd w:id="3"/>
      <w:bookmarkEnd w:id="4"/>
      <w:bookmarkEnd w:id="5"/>
      <w:bookmarkEnd w:id="6"/>
      <w:bookmarkEnd w:id="7"/>
      <w:bookmarkEnd w:id="8"/>
    </w:p>
    <w:p w14:paraId="3B64A2FB">
      <w:pPr>
        <w:adjustRightInd w:val="0"/>
        <w:snapToGrid w:val="0"/>
        <w:spacing w:line="440" w:lineRule="exact"/>
        <w:jc w:val="left"/>
        <w:rPr>
          <w:rFonts w:ascii="微软雅黑" w:hAnsi="微软雅黑" w:eastAsia="微软雅黑"/>
          <w:kern w:val="0"/>
          <w:sz w:val="24"/>
          <w:szCs w:val="24"/>
        </w:rPr>
      </w:pPr>
      <w:r>
        <w:rPr>
          <w:rFonts w:hint="eastAsia" w:ascii="微软雅黑" w:hAnsi="微软雅黑" w:eastAsia="微软雅黑"/>
          <w:kern w:val="0"/>
          <w:sz w:val="24"/>
          <w:szCs w:val="24"/>
        </w:rPr>
        <w:t xml:space="preserve">（一）货物参数 </w:t>
      </w:r>
    </w:p>
    <w:tbl>
      <w:tblPr>
        <w:tblStyle w:val="5"/>
        <w:tblW w:w="9483"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1305"/>
      </w:tblGrid>
      <w:tr w14:paraId="4A193BB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double" w:color="auto" w:sz="4" w:space="0"/>
              <w:left w:val="double" w:color="auto" w:sz="4" w:space="0"/>
              <w:bottom w:val="single" w:color="auto" w:sz="4" w:space="0"/>
              <w:right w:val="single" w:color="auto" w:sz="4" w:space="0"/>
            </w:tcBorders>
            <w:noWrap w:val="0"/>
            <w:vAlign w:val="center"/>
          </w:tcPr>
          <w:p w14:paraId="04A50078">
            <w:pPr>
              <w:spacing w:line="460" w:lineRule="exact"/>
              <w:jc w:val="center"/>
              <w:rPr>
                <w:rFonts w:hint="eastAsia" w:ascii="微软雅黑" w:hAnsi="微软雅黑" w:eastAsia="微软雅黑" w:cs="仿宋"/>
                <w:b/>
                <w:sz w:val="24"/>
              </w:rPr>
            </w:pPr>
            <w:r>
              <w:rPr>
                <w:rFonts w:hint="eastAsia" w:ascii="微软雅黑" w:hAnsi="微软雅黑" w:eastAsia="微软雅黑" w:cs="仿宋"/>
                <w:b/>
                <w:sz w:val="24"/>
              </w:rPr>
              <w:t>序号</w:t>
            </w:r>
          </w:p>
        </w:tc>
        <w:tc>
          <w:tcPr>
            <w:tcW w:w="1560" w:type="dxa"/>
            <w:tcBorders>
              <w:top w:val="double" w:color="auto" w:sz="4" w:space="0"/>
              <w:left w:val="single" w:color="auto" w:sz="4" w:space="0"/>
              <w:bottom w:val="single" w:color="auto" w:sz="4" w:space="0"/>
              <w:right w:val="single" w:color="auto" w:sz="4" w:space="0"/>
            </w:tcBorders>
            <w:noWrap w:val="0"/>
            <w:vAlign w:val="center"/>
          </w:tcPr>
          <w:p w14:paraId="40B5EA4B">
            <w:pPr>
              <w:spacing w:line="460" w:lineRule="exact"/>
              <w:jc w:val="center"/>
              <w:rPr>
                <w:rFonts w:ascii="微软雅黑" w:hAnsi="微软雅黑" w:eastAsia="微软雅黑" w:cs="仿宋"/>
                <w:b/>
                <w:sz w:val="24"/>
              </w:rPr>
            </w:pPr>
            <w:r>
              <w:rPr>
                <w:rFonts w:hint="eastAsia" w:ascii="微软雅黑" w:hAnsi="微软雅黑" w:eastAsia="微软雅黑" w:cs="仿宋"/>
                <w:b/>
                <w:sz w:val="24"/>
              </w:rPr>
              <w:t>货物名称</w:t>
            </w:r>
          </w:p>
        </w:tc>
        <w:tc>
          <w:tcPr>
            <w:tcW w:w="5772" w:type="dxa"/>
            <w:tcBorders>
              <w:top w:val="double" w:color="auto" w:sz="4" w:space="0"/>
              <w:left w:val="single" w:color="auto" w:sz="4" w:space="0"/>
              <w:bottom w:val="single" w:color="auto" w:sz="4" w:space="0"/>
              <w:right w:val="single" w:color="auto" w:sz="4" w:space="0"/>
            </w:tcBorders>
            <w:noWrap w:val="0"/>
            <w:vAlign w:val="center"/>
          </w:tcPr>
          <w:p w14:paraId="59B54E4E">
            <w:pPr>
              <w:spacing w:line="460" w:lineRule="exact"/>
              <w:jc w:val="center"/>
              <w:rPr>
                <w:rFonts w:hint="eastAsia" w:ascii="微软雅黑" w:hAnsi="微软雅黑" w:eastAsia="微软雅黑" w:cs="仿宋"/>
                <w:b/>
                <w:sz w:val="24"/>
              </w:rPr>
            </w:pPr>
            <w:r>
              <w:rPr>
                <w:rFonts w:hint="eastAsia" w:ascii="微软雅黑" w:hAnsi="微软雅黑" w:eastAsia="微软雅黑" w:cs="仿宋"/>
                <w:b/>
                <w:sz w:val="24"/>
              </w:rPr>
              <w:t>主要技术参数</w:t>
            </w:r>
          </w:p>
        </w:tc>
        <w:tc>
          <w:tcPr>
            <w:tcW w:w="1305" w:type="dxa"/>
            <w:tcBorders>
              <w:top w:val="double" w:color="auto" w:sz="4" w:space="0"/>
              <w:left w:val="single" w:color="auto" w:sz="4" w:space="0"/>
              <w:bottom w:val="single" w:color="auto" w:sz="4" w:space="0"/>
              <w:right w:val="double" w:color="auto" w:sz="4" w:space="0"/>
            </w:tcBorders>
            <w:noWrap w:val="0"/>
            <w:vAlign w:val="center"/>
          </w:tcPr>
          <w:p w14:paraId="00988208">
            <w:pPr>
              <w:spacing w:line="460" w:lineRule="exact"/>
              <w:jc w:val="center"/>
              <w:rPr>
                <w:rFonts w:hint="eastAsia" w:ascii="微软雅黑" w:hAnsi="微软雅黑" w:eastAsia="微软雅黑" w:cs="仿宋"/>
                <w:b/>
                <w:sz w:val="24"/>
              </w:rPr>
            </w:pPr>
            <w:r>
              <w:rPr>
                <w:rFonts w:hint="eastAsia" w:ascii="微软雅黑" w:hAnsi="微软雅黑" w:eastAsia="微软雅黑" w:cs="仿宋"/>
                <w:b/>
                <w:sz w:val="24"/>
              </w:rPr>
              <w:t>数量</w:t>
            </w:r>
          </w:p>
          <w:p w14:paraId="23C7D4CB">
            <w:pPr>
              <w:spacing w:line="460" w:lineRule="exact"/>
              <w:jc w:val="center"/>
              <w:rPr>
                <w:rFonts w:hint="eastAsia" w:ascii="微软雅黑" w:hAnsi="微软雅黑" w:eastAsia="微软雅黑" w:cs="仿宋"/>
                <w:b/>
                <w:sz w:val="24"/>
              </w:rPr>
            </w:pPr>
            <w:r>
              <w:rPr>
                <w:rFonts w:hint="eastAsia" w:ascii="微软雅黑" w:hAnsi="微软雅黑" w:eastAsia="微软雅黑" w:cs="仿宋"/>
                <w:b/>
                <w:sz w:val="24"/>
              </w:rPr>
              <w:t>（单位）</w:t>
            </w:r>
          </w:p>
        </w:tc>
      </w:tr>
      <w:tr w14:paraId="7C08146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noWrap w:val="0"/>
            <w:vAlign w:val="center"/>
          </w:tcPr>
          <w:p w14:paraId="7FDB15A9">
            <w:pPr>
              <w:spacing w:line="460" w:lineRule="exact"/>
              <w:jc w:val="center"/>
              <w:rPr>
                <w:rFonts w:hint="eastAsia" w:ascii="微软雅黑" w:hAnsi="微软雅黑" w:eastAsia="微软雅黑"/>
                <w:sz w:val="24"/>
              </w:rPr>
            </w:pPr>
            <w:r>
              <w:rPr>
                <w:rFonts w:hint="eastAsia" w:ascii="微软雅黑" w:hAnsi="微软雅黑" w:eastAsia="微软雅黑"/>
                <w:sz w:val="24"/>
              </w:rPr>
              <w:t>1</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7DC2F9BE">
            <w:pPr>
              <w:adjustRightInd w:val="0"/>
              <w:snapToGrid w:val="0"/>
              <w:spacing w:line="440" w:lineRule="exact"/>
              <w:jc w:val="center"/>
              <w:rPr>
                <w:rFonts w:hint="eastAsia" w:ascii="微软雅黑" w:hAnsi="微软雅黑" w:eastAsia="微软雅黑"/>
                <w:iCs/>
              </w:rPr>
            </w:pPr>
            <w:r>
              <w:rPr>
                <w:rFonts w:hint="eastAsia" w:ascii="微软雅黑" w:hAnsi="微软雅黑" w:eastAsia="微软雅黑"/>
                <w:kern w:val="0"/>
                <w:sz w:val="24"/>
                <w:szCs w:val="24"/>
              </w:rPr>
              <w:t>防滑链</w:t>
            </w:r>
          </w:p>
        </w:tc>
        <w:tc>
          <w:tcPr>
            <w:tcW w:w="5772" w:type="dxa"/>
            <w:tcBorders>
              <w:top w:val="single" w:color="auto" w:sz="4" w:space="0"/>
              <w:left w:val="single" w:color="auto" w:sz="4" w:space="0"/>
              <w:bottom w:val="single" w:color="auto" w:sz="4" w:space="0"/>
              <w:right w:val="single" w:color="auto" w:sz="4" w:space="0"/>
            </w:tcBorders>
            <w:noWrap w:val="0"/>
            <w:vAlign w:val="top"/>
          </w:tcPr>
          <w:p w14:paraId="135DD9AF">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1.适用轮胎165/70-13、185/65-15、196/65-15、205/55-16、215/60-16。</w:t>
            </w:r>
          </w:p>
          <w:p w14:paraId="32272606">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2.采用金属材料。</w:t>
            </w:r>
          </w:p>
        </w:tc>
        <w:tc>
          <w:tcPr>
            <w:tcW w:w="1305" w:type="dxa"/>
            <w:tcBorders>
              <w:top w:val="single" w:color="auto" w:sz="4" w:space="0"/>
              <w:left w:val="single" w:color="auto" w:sz="4" w:space="0"/>
              <w:bottom w:val="single" w:color="auto" w:sz="4" w:space="0"/>
              <w:right w:val="double" w:color="auto" w:sz="4" w:space="0"/>
            </w:tcBorders>
            <w:noWrap w:val="0"/>
            <w:vAlign w:val="center"/>
          </w:tcPr>
          <w:p w14:paraId="47B3FB95">
            <w:pPr>
              <w:autoSpaceDE w:val="0"/>
              <w:autoSpaceDN w:val="0"/>
              <w:adjustRightInd w:val="0"/>
              <w:spacing w:line="460" w:lineRule="exact"/>
              <w:jc w:val="center"/>
              <w:rPr>
                <w:rFonts w:ascii="微软雅黑" w:hAnsi="微软雅黑" w:eastAsia="微软雅黑"/>
                <w:iCs/>
              </w:rPr>
            </w:pPr>
            <w:r>
              <w:rPr>
                <w:rFonts w:hint="eastAsia" w:ascii="微软雅黑" w:hAnsi="微软雅黑" w:eastAsia="微软雅黑"/>
                <w:iCs/>
              </w:rPr>
              <w:t>100条</w:t>
            </w:r>
          </w:p>
        </w:tc>
      </w:tr>
      <w:tr w14:paraId="6669FC5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noWrap w:val="0"/>
            <w:vAlign w:val="center"/>
          </w:tcPr>
          <w:p w14:paraId="43B14C26">
            <w:pPr>
              <w:spacing w:line="460" w:lineRule="exact"/>
              <w:jc w:val="center"/>
              <w:rPr>
                <w:rFonts w:hint="eastAsia" w:ascii="微软雅黑" w:hAnsi="微软雅黑" w:eastAsia="微软雅黑"/>
                <w:sz w:val="24"/>
              </w:rPr>
            </w:pPr>
            <w:r>
              <w:rPr>
                <w:rFonts w:hint="eastAsia" w:ascii="微软雅黑" w:hAnsi="微软雅黑" w:eastAsia="微软雅黑"/>
                <w:sz w:val="24"/>
              </w:rPr>
              <w:t>2</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5D4555B6">
            <w:pPr>
              <w:adjustRightInd w:val="0"/>
              <w:snapToGrid w:val="0"/>
              <w:spacing w:line="440" w:lineRule="exact"/>
              <w:jc w:val="center"/>
              <w:rPr>
                <w:rFonts w:hint="eastAsia" w:ascii="微软雅黑" w:hAnsi="微软雅黑" w:eastAsia="微软雅黑"/>
                <w:iCs/>
              </w:rPr>
            </w:pPr>
            <w:r>
              <w:rPr>
                <w:rFonts w:hint="eastAsia" w:ascii="微软雅黑" w:hAnsi="微软雅黑" w:eastAsia="微软雅黑"/>
                <w:kern w:val="0"/>
                <w:sz w:val="24"/>
                <w:szCs w:val="24"/>
              </w:rPr>
              <w:t>防滑料</w:t>
            </w:r>
          </w:p>
        </w:tc>
        <w:tc>
          <w:tcPr>
            <w:tcW w:w="5772" w:type="dxa"/>
            <w:tcBorders>
              <w:top w:val="single" w:color="auto" w:sz="4" w:space="0"/>
              <w:left w:val="single" w:color="auto" w:sz="4" w:space="0"/>
              <w:bottom w:val="single" w:color="auto" w:sz="4" w:space="0"/>
              <w:right w:val="single" w:color="auto" w:sz="4" w:space="0"/>
            </w:tcBorders>
            <w:noWrap w:val="0"/>
            <w:vAlign w:val="top"/>
          </w:tcPr>
          <w:p w14:paraId="48D89571">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1.材质：pvc；</w:t>
            </w:r>
          </w:p>
          <w:p w14:paraId="60E1AC18">
            <w:pPr>
              <w:autoSpaceDE w:val="0"/>
              <w:autoSpaceDN w:val="0"/>
              <w:adjustRightInd w:val="0"/>
              <w:spacing w:line="460" w:lineRule="exact"/>
              <w:jc w:val="left"/>
            </w:pPr>
            <w:r>
              <w:rPr>
                <w:rFonts w:hint="eastAsia" w:ascii="微软雅黑" w:hAnsi="微软雅黑" w:eastAsia="微软雅黑"/>
                <w:iCs/>
              </w:rPr>
              <w:t>2.形状：颗粒状。</w:t>
            </w:r>
          </w:p>
        </w:tc>
        <w:tc>
          <w:tcPr>
            <w:tcW w:w="1305" w:type="dxa"/>
            <w:tcBorders>
              <w:top w:val="single" w:color="auto" w:sz="4" w:space="0"/>
              <w:left w:val="single" w:color="auto" w:sz="4" w:space="0"/>
              <w:bottom w:val="single" w:color="auto" w:sz="4" w:space="0"/>
              <w:right w:val="double" w:color="auto" w:sz="4" w:space="0"/>
            </w:tcBorders>
            <w:noWrap w:val="0"/>
            <w:vAlign w:val="center"/>
          </w:tcPr>
          <w:p w14:paraId="309038B6">
            <w:pPr>
              <w:autoSpaceDE w:val="0"/>
              <w:autoSpaceDN w:val="0"/>
              <w:adjustRightInd w:val="0"/>
              <w:spacing w:line="460" w:lineRule="exact"/>
              <w:jc w:val="center"/>
              <w:rPr>
                <w:rFonts w:ascii="微软雅黑" w:hAnsi="微软雅黑" w:eastAsia="微软雅黑"/>
                <w:sz w:val="24"/>
              </w:rPr>
            </w:pPr>
            <w:r>
              <w:rPr>
                <w:rFonts w:hint="eastAsia" w:ascii="微软雅黑" w:hAnsi="微软雅黑" w:eastAsia="微软雅黑"/>
                <w:sz w:val="24"/>
              </w:rPr>
              <w:t>50吨</w:t>
            </w:r>
          </w:p>
        </w:tc>
      </w:tr>
      <w:tr w14:paraId="56A04963">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noWrap w:val="0"/>
            <w:vAlign w:val="center"/>
          </w:tcPr>
          <w:p w14:paraId="787F2D33">
            <w:pPr>
              <w:spacing w:line="460" w:lineRule="exact"/>
              <w:jc w:val="center"/>
              <w:rPr>
                <w:rFonts w:ascii="微软雅黑" w:hAnsi="微软雅黑" w:eastAsia="微软雅黑"/>
                <w:sz w:val="24"/>
              </w:rPr>
            </w:pPr>
            <w:r>
              <w:rPr>
                <w:rFonts w:hint="eastAsia" w:ascii="微软雅黑" w:hAnsi="微软雅黑" w:eastAsia="微软雅黑"/>
                <w:sz w:val="24"/>
              </w:rPr>
              <w:t>3</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509D1476">
            <w:pPr>
              <w:adjustRightInd w:val="0"/>
              <w:snapToGrid w:val="0"/>
              <w:spacing w:line="440" w:lineRule="exact"/>
              <w:jc w:val="center"/>
              <w:rPr>
                <w:rFonts w:hint="eastAsia" w:ascii="微软雅黑" w:hAnsi="微软雅黑" w:eastAsia="微软雅黑"/>
                <w:iCs/>
              </w:rPr>
            </w:pPr>
            <w:r>
              <w:rPr>
                <w:rFonts w:hint="eastAsia" w:ascii="微软雅黑" w:hAnsi="微软雅黑" w:eastAsia="微软雅黑"/>
                <w:kern w:val="0"/>
                <w:sz w:val="24"/>
                <w:szCs w:val="24"/>
              </w:rPr>
              <w:t>专业帐篷</w:t>
            </w:r>
          </w:p>
        </w:tc>
        <w:tc>
          <w:tcPr>
            <w:tcW w:w="5772" w:type="dxa"/>
            <w:tcBorders>
              <w:top w:val="single" w:color="auto" w:sz="4" w:space="0"/>
              <w:left w:val="single" w:color="auto" w:sz="4" w:space="0"/>
              <w:bottom w:val="single" w:color="auto" w:sz="4" w:space="0"/>
              <w:right w:val="single" w:color="auto" w:sz="4" w:space="0"/>
            </w:tcBorders>
            <w:noWrap w:val="0"/>
            <w:vAlign w:val="top"/>
          </w:tcPr>
          <w:p w14:paraId="479C1A33">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1.可满足8-12人居住；</w:t>
            </w:r>
          </w:p>
          <w:p w14:paraId="37F31195">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2.面积≥50㎡，净高≥2m；</w:t>
            </w:r>
          </w:p>
          <w:p w14:paraId="10C6208F">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3.涤纶帆布材质；</w:t>
            </w:r>
          </w:p>
          <w:p w14:paraId="5AC6D814">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4.配重设计（沙袋挂钩）或地钉固定系统，需确保在10分钟内搭建完成。</w:t>
            </w:r>
          </w:p>
          <w:p w14:paraId="67D20606">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5.可选保温层（如PE棉，适用低温环境）或防蚊纱网，耐磨防潮PE地布。</w:t>
            </w:r>
          </w:p>
        </w:tc>
        <w:tc>
          <w:tcPr>
            <w:tcW w:w="1305" w:type="dxa"/>
            <w:tcBorders>
              <w:top w:val="single" w:color="auto" w:sz="4" w:space="0"/>
              <w:left w:val="single" w:color="auto" w:sz="4" w:space="0"/>
              <w:bottom w:val="single" w:color="auto" w:sz="4" w:space="0"/>
              <w:right w:val="double" w:color="auto" w:sz="4" w:space="0"/>
            </w:tcBorders>
            <w:noWrap w:val="0"/>
            <w:vAlign w:val="center"/>
          </w:tcPr>
          <w:p w14:paraId="652906A6">
            <w:pPr>
              <w:autoSpaceDE w:val="0"/>
              <w:autoSpaceDN w:val="0"/>
              <w:adjustRightInd w:val="0"/>
              <w:spacing w:line="460" w:lineRule="exact"/>
              <w:jc w:val="center"/>
              <w:rPr>
                <w:rFonts w:ascii="微软雅黑" w:hAnsi="微软雅黑" w:eastAsia="微软雅黑"/>
                <w:sz w:val="24"/>
              </w:rPr>
            </w:pPr>
            <w:r>
              <w:rPr>
                <w:rFonts w:hint="eastAsia" w:ascii="微软雅黑" w:hAnsi="微软雅黑" w:eastAsia="微软雅黑"/>
                <w:sz w:val="24"/>
              </w:rPr>
              <w:t>5顶</w:t>
            </w:r>
          </w:p>
        </w:tc>
      </w:tr>
      <w:tr w14:paraId="5483E9F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noWrap w:val="0"/>
            <w:vAlign w:val="center"/>
          </w:tcPr>
          <w:p w14:paraId="57BAB45D">
            <w:pPr>
              <w:spacing w:line="460" w:lineRule="exact"/>
              <w:jc w:val="center"/>
              <w:rPr>
                <w:rFonts w:ascii="微软雅黑" w:hAnsi="微软雅黑" w:eastAsia="微软雅黑"/>
                <w:sz w:val="24"/>
              </w:rPr>
            </w:pPr>
            <w:r>
              <w:rPr>
                <w:rFonts w:hint="eastAsia" w:ascii="微软雅黑" w:hAnsi="微软雅黑" w:eastAsia="微软雅黑"/>
                <w:sz w:val="24"/>
              </w:rPr>
              <w:t>4</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5C8FD5DC">
            <w:pPr>
              <w:adjustRightInd w:val="0"/>
              <w:snapToGrid w:val="0"/>
              <w:spacing w:line="440" w:lineRule="exact"/>
              <w:jc w:val="center"/>
              <w:rPr>
                <w:rFonts w:hint="eastAsia" w:ascii="微软雅黑" w:hAnsi="微软雅黑" w:eastAsia="微软雅黑"/>
                <w:iCs/>
              </w:rPr>
            </w:pPr>
            <w:r>
              <w:rPr>
                <w:rFonts w:hint="eastAsia" w:ascii="微软雅黑" w:hAnsi="微软雅黑" w:eastAsia="微软雅黑"/>
                <w:kern w:val="0"/>
                <w:sz w:val="24"/>
                <w:szCs w:val="24"/>
              </w:rPr>
              <w:t>轮式推土机</w:t>
            </w:r>
          </w:p>
        </w:tc>
        <w:tc>
          <w:tcPr>
            <w:tcW w:w="5772" w:type="dxa"/>
            <w:tcBorders>
              <w:top w:val="single" w:color="auto" w:sz="4" w:space="0"/>
              <w:left w:val="single" w:color="auto" w:sz="4" w:space="0"/>
              <w:bottom w:val="single" w:color="auto" w:sz="4" w:space="0"/>
              <w:right w:val="single" w:color="auto" w:sz="4" w:space="0"/>
            </w:tcBorders>
            <w:noWrap w:val="0"/>
            <w:vAlign w:val="top"/>
          </w:tcPr>
          <w:p w14:paraId="6B899A31">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1.最大牵引力≥130kN；</w:t>
            </w:r>
          </w:p>
          <w:p w14:paraId="141E31F1">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2.最大爬坡能力≥25°；</w:t>
            </w:r>
          </w:p>
          <w:p w14:paraId="78422E92">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3.最大提升高度≥1000mm；</w:t>
            </w:r>
          </w:p>
          <w:p w14:paraId="7B52624B">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4.最大下降深度≥400mm；</w:t>
            </w:r>
          </w:p>
          <w:p w14:paraId="6F1AAAB2">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5.最大侧倾量≥500mm；</w:t>
            </w:r>
          </w:p>
          <w:p w14:paraId="5828B912">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6.额定功率≥150kW；</w:t>
            </w:r>
          </w:p>
          <w:p w14:paraId="2ED1AF12">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7.单铲容量≥3m³；</w:t>
            </w:r>
          </w:p>
          <w:p w14:paraId="2A3F501A">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8.轴距≥3400mm；</w:t>
            </w:r>
          </w:p>
          <w:p w14:paraId="5865CEDE">
            <w:pPr>
              <w:autoSpaceDE w:val="0"/>
              <w:autoSpaceDN w:val="0"/>
              <w:adjustRightInd w:val="0"/>
              <w:spacing w:line="460" w:lineRule="exact"/>
              <w:jc w:val="left"/>
              <w:rPr>
                <w:rFonts w:hint="eastAsia" w:ascii="微软雅黑" w:hAnsi="微软雅黑" w:eastAsia="微软雅黑"/>
                <w:iCs/>
              </w:rPr>
            </w:pPr>
            <w:r>
              <w:rPr>
                <w:rFonts w:hint="eastAsia" w:ascii="微软雅黑" w:hAnsi="微软雅黑" w:eastAsia="微软雅黑"/>
                <w:iCs/>
              </w:rPr>
              <w:t>9. 轮距≥2100mm。</w:t>
            </w:r>
          </w:p>
        </w:tc>
        <w:tc>
          <w:tcPr>
            <w:tcW w:w="1305" w:type="dxa"/>
            <w:tcBorders>
              <w:top w:val="single" w:color="auto" w:sz="4" w:space="0"/>
              <w:left w:val="single" w:color="auto" w:sz="4" w:space="0"/>
              <w:bottom w:val="single" w:color="auto" w:sz="4" w:space="0"/>
              <w:right w:val="double" w:color="auto" w:sz="4" w:space="0"/>
            </w:tcBorders>
            <w:noWrap w:val="0"/>
            <w:vAlign w:val="center"/>
          </w:tcPr>
          <w:p w14:paraId="1AA0F894">
            <w:pPr>
              <w:autoSpaceDE w:val="0"/>
              <w:autoSpaceDN w:val="0"/>
              <w:adjustRightInd w:val="0"/>
              <w:spacing w:line="460" w:lineRule="exact"/>
              <w:jc w:val="center"/>
              <w:rPr>
                <w:rFonts w:ascii="微软雅黑" w:hAnsi="微软雅黑" w:eastAsia="微软雅黑"/>
                <w:sz w:val="24"/>
              </w:rPr>
            </w:pPr>
            <w:r>
              <w:rPr>
                <w:rFonts w:hint="eastAsia" w:ascii="微软雅黑" w:hAnsi="微软雅黑" w:eastAsia="微软雅黑"/>
                <w:sz w:val="24"/>
              </w:rPr>
              <w:t>1辆</w:t>
            </w:r>
          </w:p>
        </w:tc>
      </w:tr>
    </w:tbl>
    <w:p w14:paraId="0160F20A">
      <w:pPr>
        <w:adjustRightInd w:val="0"/>
        <w:snapToGrid w:val="0"/>
        <w:spacing w:line="440" w:lineRule="exact"/>
        <w:jc w:val="left"/>
        <w:rPr>
          <w:rFonts w:hint="eastAsia" w:ascii="微软雅黑" w:hAnsi="微软雅黑" w:eastAsia="微软雅黑"/>
          <w:kern w:val="0"/>
          <w:sz w:val="24"/>
          <w:szCs w:val="24"/>
        </w:rPr>
      </w:pPr>
      <w:r>
        <w:rPr>
          <w:rFonts w:hint="eastAsia" w:ascii="微软雅黑" w:hAnsi="微软雅黑" w:eastAsia="微软雅黑"/>
          <w:kern w:val="0"/>
          <w:sz w:val="24"/>
          <w:szCs w:val="24"/>
        </w:rPr>
        <w:t>（二）其他要求</w:t>
      </w:r>
    </w:p>
    <w:p w14:paraId="49052E20">
      <w:pPr>
        <w:spacing w:line="500" w:lineRule="exact"/>
        <w:rPr>
          <w:rFonts w:hint="eastAsia" w:ascii="微软雅黑" w:hAnsi="微软雅黑" w:eastAsia="微软雅黑"/>
          <w:bCs/>
          <w:sz w:val="24"/>
          <w:szCs w:val="24"/>
        </w:rPr>
      </w:pPr>
      <w:r>
        <w:rPr>
          <w:rFonts w:hint="eastAsia" w:ascii="微软雅黑" w:hAnsi="微软雅黑" w:eastAsia="微软雅黑"/>
          <w:bCs/>
          <w:sz w:val="24"/>
          <w:szCs w:val="24"/>
        </w:rPr>
        <w:t>1、本项目所供的轮式推土机颜色为橙黄色，车门显著位置涂装国储中心的统一标识（详见本项2.图案标识），标识尺寸根据设备大小合理设置或以采购人要求为准，若以上设备外观更改需要去相关部门协调备案，中标供应商应完成相关手续并确保后续工作行驶中不会出现相关违规情况。</w:t>
      </w:r>
    </w:p>
    <w:p w14:paraId="7204A251">
      <w:pPr>
        <w:spacing w:line="500" w:lineRule="exact"/>
        <w:rPr>
          <w:rFonts w:hint="eastAsia" w:ascii="微软雅黑" w:hAnsi="微软雅黑" w:eastAsia="微软雅黑"/>
          <w:b/>
          <w:sz w:val="24"/>
          <w:szCs w:val="24"/>
        </w:rPr>
      </w:pPr>
      <w:r>
        <w:rPr>
          <w:rFonts w:hint="eastAsia" w:ascii="微软雅黑" w:hAnsi="微软雅黑" w:eastAsia="微软雅黑"/>
          <w:bCs/>
          <w:sz w:val="24"/>
          <w:szCs w:val="24"/>
        </w:rPr>
        <w:t>2、图案标识</w:t>
      </w:r>
    </w:p>
    <w:p w14:paraId="36ADF1AE">
      <w:pPr>
        <w:spacing w:line="500" w:lineRule="exact"/>
        <w:rPr>
          <w:rFonts w:hint="eastAsia" w:ascii="微软雅黑" w:hAnsi="微软雅黑" w:eastAsia="微软雅黑"/>
          <w:b/>
          <w:sz w:val="24"/>
          <w:szCs w:val="24"/>
        </w:rPr>
      </w:pPr>
    </w:p>
    <w:p w14:paraId="3092DCDE">
      <w:pPr>
        <w:spacing w:line="500" w:lineRule="exact"/>
        <w:rPr>
          <w:rFonts w:hint="eastAsia" w:ascii="微软雅黑" w:hAnsi="微软雅黑" w:eastAsia="微软雅黑"/>
          <w:b/>
          <w:sz w:val="24"/>
          <w:szCs w:val="24"/>
        </w:rPr>
      </w:pPr>
      <w:r>
        <w:rPr>
          <w:rFonts w:hint="eastAsia"/>
          <w:b/>
          <w:bCs/>
          <w:sz w:val="28"/>
          <w:szCs w:val="28"/>
        </w:rPr>
        <w:drawing>
          <wp:anchor distT="0" distB="0" distL="114300" distR="114300" simplePos="0" relativeHeight="251659264" behindDoc="0" locked="0" layoutInCell="1" allowOverlap="1">
            <wp:simplePos x="0" y="0"/>
            <wp:positionH relativeFrom="column">
              <wp:posOffset>1069340</wp:posOffset>
            </wp:positionH>
            <wp:positionV relativeFrom="paragraph">
              <wp:posOffset>166370</wp:posOffset>
            </wp:positionV>
            <wp:extent cx="1412240" cy="1200785"/>
            <wp:effectExtent l="0" t="0" r="10160" b="5715"/>
            <wp:wrapTopAndBottom/>
            <wp:docPr id="1" name="图片 2" descr="80cf23f26fffdd5a19381bb7c877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80cf23f26fffdd5a19381bb7c877499"/>
                    <pic:cNvPicPr>
                      <a:picLocks noChangeAspect="1"/>
                    </pic:cNvPicPr>
                  </pic:nvPicPr>
                  <pic:blipFill>
                    <a:blip r:embed="rId4"/>
                    <a:stretch>
                      <a:fillRect/>
                    </a:stretch>
                  </pic:blipFill>
                  <pic:spPr>
                    <a:xfrm>
                      <a:off x="0" y="0"/>
                      <a:ext cx="1412240" cy="1200785"/>
                    </a:xfrm>
                    <a:prstGeom prst="rect">
                      <a:avLst/>
                    </a:prstGeom>
                    <a:noFill/>
                    <a:ln>
                      <a:noFill/>
                    </a:ln>
                  </pic:spPr>
                </pic:pic>
              </a:graphicData>
            </a:graphic>
          </wp:anchor>
        </w:drawing>
      </w:r>
    </w:p>
    <w:p w14:paraId="7B73FF94">
      <w:r>
        <w:rPr>
          <w:rFonts w:hint="eastAsia" w:ascii="微软雅黑" w:hAnsi="微软雅黑" w:eastAsia="微软雅黑"/>
          <w:b/>
          <w:sz w:val="24"/>
          <w:szCs w:val="24"/>
        </w:rPr>
        <w:t>注：以上技术参数投标人必须完全响应，否则作无效投标处理。</w:t>
      </w:r>
      <w:bookmarkStart w:id="9" w:name="_GoBack"/>
      <w:bookmarkEnd w:id="9"/>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721D94"/>
    <w:multiLevelType w:val="multilevel"/>
    <w:tmpl w:val="14721D94"/>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061807"/>
    <w:rsid w:val="1CC349CD"/>
    <w:rsid w:val="520618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4">
    <w:name w:val="heading 3"/>
    <w:basedOn w:val="1"/>
    <w:next w:val="1"/>
    <w:qFormat/>
    <w:uiPriority w:val="0"/>
    <w:pPr>
      <w:keepNext/>
      <w:keepLines/>
      <w:spacing w:before="260" w:after="260" w:line="413" w:lineRule="auto"/>
      <w:jc w:val="center"/>
      <w:outlineLvl w:val="2"/>
    </w:pPr>
    <w:rPr>
      <w:rFonts w:ascii="宋体"/>
      <w:b/>
      <w:bCs/>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style>
  <w:style w:type="paragraph" w:styleId="3">
    <w:name w:val="header"/>
    <w:basedOn w:val="1"/>
    <w:next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2026-06-10T07:05:00Z</dcterms:created>
  <dc:creator>liyufan</dc:creator>
  <cp:lastModifiedBy>liyufan</cp:lastModifiedBy>
  <dcterms:modified xsi:type="dcterms:W3CDTF">2026-06-10T07:05:17Z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17320D10D64749B9B6CC9B2C4A3077AF_11</vt:lpwstr>
  </property>
  <property fmtid="{D5CDD505-2E9C-101B-9397-08002B2CF9AE}" pid="4" name="KSOTemplateDocerSaveRecord">
    <vt:lpwstr>eyJoZGlkIjoiOGQ1NWRhZjUyM2M4ZDU5YWM1MjEzNTFiMjU1MGMyNGEiLCJ1c2VySWQiOiI2ODgwMDAxNDEifQ==</vt:lpwstr>
  </property>
</Properties>
</file>