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19EF48">
      <w:pPr>
        <w:pageBreakBefore w:val="0"/>
        <w:widowControl w:val="0"/>
        <w:wordWrap/>
        <w:overflowPunct/>
        <w:topLinePunct w:val="0"/>
        <w:bidi w:val="0"/>
        <w:spacing w:line="257" w:lineRule="auto"/>
        <w:rPr>
          <w:rFonts w:hint="eastAsia" w:eastAsia="宋体"/>
          <w:b/>
          <w:bCs/>
          <w:color w:val="auto"/>
          <w:spacing w:val="0"/>
          <w:position w:val="0"/>
          <w:sz w:val="24"/>
          <w:szCs w:val="24"/>
          <w:highlight w:val="none"/>
          <w:lang w:val="en-US" w:eastAsia="zh-CN"/>
        </w:rPr>
      </w:pPr>
      <w:r>
        <w:rPr>
          <w:rFonts w:hint="eastAsia" w:eastAsia="宋体"/>
          <w:b/>
          <w:bCs/>
          <w:color w:val="auto"/>
          <w:spacing w:val="0"/>
          <w:position w:val="0"/>
          <w:sz w:val="24"/>
          <w:szCs w:val="24"/>
          <w:highlight w:val="none"/>
          <w:lang w:eastAsia="zh-CN"/>
        </w:rPr>
        <w:t>（</w:t>
      </w:r>
      <w:r>
        <w:rPr>
          <w:rFonts w:hint="eastAsia" w:eastAsia="宋体"/>
          <w:b/>
          <w:bCs/>
          <w:color w:val="auto"/>
          <w:spacing w:val="0"/>
          <w:position w:val="0"/>
          <w:sz w:val="24"/>
          <w:szCs w:val="24"/>
          <w:highlight w:val="none"/>
          <w:lang w:val="en-US" w:eastAsia="zh-CN"/>
        </w:rPr>
        <w:t>一</w:t>
      </w:r>
      <w:r>
        <w:rPr>
          <w:rFonts w:hint="eastAsia" w:eastAsia="宋体"/>
          <w:b/>
          <w:bCs/>
          <w:color w:val="auto"/>
          <w:spacing w:val="0"/>
          <w:position w:val="0"/>
          <w:sz w:val="24"/>
          <w:szCs w:val="24"/>
          <w:highlight w:val="none"/>
          <w:lang w:eastAsia="zh-CN"/>
        </w:rPr>
        <w:t>）</w:t>
      </w:r>
      <w:r>
        <w:rPr>
          <w:rFonts w:hint="eastAsia" w:eastAsia="宋体"/>
          <w:b/>
          <w:bCs/>
          <w:color w:val="auto"/>
          <w:spacing w:val="0"/>
          <w:position w:val="0"/>
          <w:sz w:val="24"/>
          <w:szCs w:val="24"/>
          <w:highlight w:val="none"/>
          <w:lang w:val="en-US" w:eastAsia="zh-CN"/>
        </w:rPr>
        <w:t>服务清单</w:t>
      </w:r>
    </w:p>
    <w:p w14:paraId="551FB056">
      <w:pPr>
        <w:pageBreakBefore w:val="0"/>
        <w:widowControl w:val="0"/>
        <w:wordWrap/>
        <w:overflowPunct/>
        <w:topLinePunct w:val="0"/>
        <w:bidi w:val="0"/>
        <w:spacing w:line="258" w:lineRule="auto"/>
        <w:rPr>
          <w:color w:val="auto"/>
          <w:spacing w:val="0"/>
          <w:position w:val="0"/>
          <w:highlight w:val="none"/>
        </w:rPr>
      </w:pPr>
    </w:p>
    <w:tbl>
      <w:tblPr>
        <w:tblStyle w:val="6"/>
        <w:tblW w:w="9810" w:type="dxa"/>
        <w:tblInd w:w="-3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785"/>
        <w:gridCol w:w="4200"/>
        <w:gridCol w:w="1020"/>
        <w:gridCol w:w="945"/>
        <w:gridCol w:w="1170"/>
      </w:tblGrid>
      <w:tr w14:paraId="0E0E4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2A95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序号</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D93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名称</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655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特征描述</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99C3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单位</w:t>
            </w:r>
          </w:p>
        </w:tc>
        <w:tc>
          <w:tcPr>
            <w:tcW w:w="9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AB6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工程量</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42AF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最高控制单价</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（元）</w:t>
            </w:r>
          </w:p>
        </w:tc>
      </w:tr>
      <w:tr w14:paraId="4B9F0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981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C67C6">
            <w:pP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1、排水设施</w:t>
            </w:r>
          </w:p>
        </w:tc>
      </w:tr>
      <w:tr w14:paraId="09661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0E3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32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雨水口清掏</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79D4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1.人工清理雨水收集口底部堆积物；</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2.堆积物外运另计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E45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座</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897B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DAA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33.33</w:t>
            </w:r>
          </w:p>
        </w:tc>
      </w:tr>
      <w:tr w14:paraId="5F21B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F19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F6E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雨水箅更换</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EBB2">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1.拆除损坏雨水箅；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2.安装单箅，雨水箅由甲方供材</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EB7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3B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223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102.33</w:t>
            </w:r>
          </w:p>
        </w:tc>
      </w:tr>
      <w:tr w14:paraId="74745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1EF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2E6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雨水箅升降</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E28C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1.升降高度20cm以内；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2.安装原有雨水篦</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D9C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6CA4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FE2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115.00</w:t>
            </w:r>
          </w:p>
        </w:tc>
      </w:tr>
      <w:tr w14:paraId="1AFF7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AA8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4E8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检查井清掏</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40D6B">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1.清理检查井底部堆积物</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2.堆积物外运另计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925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座</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620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1AE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87.00</w:t>
            </w:r>
          </w:p>
        </w:tc>
      </w:tr>
      <w:tr w14:paraId="193EC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76E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5F6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检查井盖更换（一）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6C50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1.拆除破损井盖及井圈；</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2.安装铸铁井盖(Φ700 )，井盖由甲方供材</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3.恢复井周路面</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00A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433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5F6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112.33</w:t>
            </w:r>
          </w:p>
        </w:tc>
      </w:tr>
      <w:tr w14:paraId="41CB1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572A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2E51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检查井盖更换（二）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D8C5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1.拆除破损井盖及井周路面基础（开挖尺寸130*130*30cm）；</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2.安装混凝土一体化井盖(方形底座120*120*20cm、井盖凸起高度5cm)，底部及侧面采用混凝土调平填实，井盖由甲方供材；</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3.井盖凸起部分恢复5cm沥青面层；</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4.一体化井盖运输、吊装另计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F75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EDE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B50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383.33</w:t>
            </w:r>
          </w:p>
        </w:tc>
      </w:tr>
      <w:tr w14:paraId="5D5E0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D2FA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FF4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检查井升降</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EAA1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1.升降高度20cm以内；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2.安装原有检查井盖</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0773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5405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77CC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194.33</w:t>
            </w:r>
          </w:p>
        </w:tc>
      </w:tr>
      <w:tr w14:paraId="5234F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41D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034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钢筋混凝土盖板安装(一)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C3FDE">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1.1000*500*100mm钢筋混凝土盖板预制</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2.现场更换安装</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49E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E74A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5C9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99.67</w:t>
            </w:r>
          </w:p>
        </w:tc>
      </w:tr>
      <w:tr w14:paraId="0DE75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1A18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EF48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钢筋混凝土盖板安装(二)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1B02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1.1200*500*150mm钢筋混凝土盖板预制</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2.现场更换安装</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1ED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F291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E66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111.67</w:t>
            </w:r>
          </w:p>
        </w:tc>
      </w:tr>
      <w:tr w14:paraId="460B6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42B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11C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砌筑雨水口</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EFE9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1.单箅雨水口；</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2.单箅尺寸380*680mm，箅子由甲方供材；</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3.垫层铺筑、砌筑、抹面、勾缝；</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4.雨水口深度1m以内；</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737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座</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2B8F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AAC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570.00</w:t>
            </w:r>
          </w:p>
        </w:tc>
      </w:tr>
      <w:tr w14:paraId="3B9FE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E0A5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23A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砌筑检查井</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FAD6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1.检查井做法详见06MS201-3,页10；</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2.井深2m以内；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3.井盖（Φ700 ）由甲方供材</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FDF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座</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D0F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B02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1326.67</w:t>
            </w:r>
          </w:p>
        </w:tc>
      </w:tr>
      <w:tr w14:paraId="59237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B8A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8A2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现浇检查井</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B8814">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1.检查井做法详见06MS201-3,页10；</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2.井深2m以内；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3.井盖（Φ700 ）由甲方供材</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0FF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座</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7FA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EED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2123.33</w:t>
            </w:r>
          </w:p>
        </w:tc>
      </w:tr>
      <w:tr w14:paraId="4E0CE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8A60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5D6A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混凝土管道</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5E14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Style w:val="8"/>
                <w:snapToGrid w:val="0"/>
                <w:color w:val="000000"/>
                <w:highlight w:val="none"/>
                <w:lang w:val="en-US" w:eastAsia="zh-CN" w:bidi="ar"/>
              </w:rPr>
              <w:t>1.</w:t>
            </w:r>
            <w:r>
              <w:rPr>
                <w:rStyle w:val="9"/>
                <w:snapToGrid w:val="0"/>
                <w:color w:val="000000"/>
                <w:highlight w:val="none"/>
                <w:lang w:val="en-US" w:eastAsia="zh-CN" w:bidi="ar"/>
              </w:rPr>
              <w:t>II</w:t>
            </w:r>
            <w:r>
              <w:rPr>
                <w:rStyle w:val="8"/>
                <w:snapToGrid w:val="0"/>
                <w:color w:val="000000"/>
                <w:highlight w:val="none"/>
                <w:lang w:val="en-US" w:eastAsia="zh-CN" w:bidi="ar"/>
              </w:rPr>
              <w:t>级钢筋混凝土管500mm；</w:t>
            </w:r>
            <w:r>
              <w:rPr>
                <w:rStyle w:val="8"/>
                <w:snapToGrid w:val="0"/>
                <w:color w:val="000000"/>
                <w:highlight w:val="none"/>
                <w:lang w:val="en-US" w:eastAsia="zh-CN" w:bidi="ar"/>
              </w:rPr>
              <w:br w:type="textWrapping"/>
            </w:r>
            <w:r>
              <w:rPr>
                <w:rStyle w:val="8"/>
                <w:snapToGrid w:val="0"/>
                <w:color w:val="000000"/>
                <w:highlight w:val="none"/>
                <w:lang w:val="en-US" w:eastAsia="zh-CN" w:bidi="ar"/>
              </w:rPr>
              <w:t>2.管道连接；</w:t>
            </w:r>
            <w:r>
              <w:rPr>
                <w:rStyle w:val="8"/>
                <w:snapToGrid w:val="0"/>
                <w:color w:val="000000"/>
                <w:highlight w:val="none"/>
                <w:lang w:val="en-US" w:eastAsia="zh-CN" w:bidi="ar"/>
              </w:rPr>
              <w:br w:type="textWrapping"/>
            </w:r>
            <w:r>
              <w:rPr>
                <w:rStyle w:val="8"/>
                <w:snapToGrid w:val="0"/>
                <w:color w:val="000000"/>
                <w:highlight w:val="none"/>
                <w:lang w:val="en-US" w:eastAsia="zh-CN" w:bidi="ar"/>
              </w:rPr>
              <w:t>3.土方、垫层等另计；</w:t>
            </w:r>
            <w:r>
              <w:rPr>
                <w:rStyle w:val="8"/>
                <w:snapToGrid w:val="0"/>
                <w:color w:val="000000"/>
                <w:highlight w:val="none"/>
                <w:lang w:val="en-US" w:eastAsia="zh-CN" w:bidi="ar"/>
              </w:rPr>
              <w:br w:type="textWrapping"/>
            </w:r>
            <w:r>
              <w:rPr>
                <w:rStyle w:val="8"/>
                <w:snapToGrid w:val="0"/>
                <w:color w:val="000000"/>
                <w:highlight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500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11D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25F5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118.00</w:t>
            </w:r>
          </w:p>
        </w:tc>
      </w:tr>
      <w:tr w14:paraId="2172F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A7DF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EDB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混凝土管道</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96CD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Style w:val="8"/>
                <w:snapToGrid w:val="0"/>
                <w:color w:val="000000"/>
                <w:highlight w:val="none"/>
                <w:lang w:val="en-US" w:eastAsia="zh-CN" w:bidi="ar"/>
              </w:rPr>
              <w:t>1.</w:t>
            </w:r>
            <w:r>
              <w:rPr>
                <w:rStyle w:val="9"/>
                <w:snapToGrid w:val="0"/>
                <w:color w:val="000000"/>
                <w:highlight w:val="none"/>
                <w:lang w:val="en-US" w:eastAsia="zh-CN" w:bidi="ar"/>
              </w:rPr>
              <w:t>II</w:t>
            </w:r>
            <w:r>
              <w:rPr>
                <w:rStyle w:val="8"/>
                <w:snapToGrid w:val="0"/>
                <w:color w:val="000000"/>
                <w:highlight w:val="none"/>
                <w:lang w:val="en-US" w:eastAsia="zh-CN" w:bidi="ar"/>
              </w:rPr>
              <w:t>级钢筋混凝土管600mm；</w:t>
            </w:r>
            <w:r>
              <w:rPr>
                <w:rStyle w:val="8"/>
                <w:snapToGrid w:val="0"/>
                <w:color w:val="000000"/>
                <w:highlight w:val="none"/>
                <w:lang w:val="en-US" w:eastAsia="zh-CN" w:bidi="ar"/>
              </w:rPr>
              <w:br w:type="textWrapping"/>
            </w:r>
            <w:r>
              <w:rPr>
                <w:rStyle w:val="8"/>
                <w:snapToGrid w:val="0"/>
                <w:color w:val="000000"/>
                <w:highlight w:val="none"/>
                <w:lang w:val="en-US" w:eastAsia="zh-CN" w:bidi="ar"/>
              </w:rPr>
              <w:t>2.管道连接；</w:t>
            </w:r>
            <w:r>
              <w:rPr>
                <w:rStyle w:val="8"/>
                <w:snapToGrid w:val="0"/>
                <w:color w:val="000000"/>
                <w:highlight w:val="none"/>
                <w:lang w:val="en-US" w:eastAsia="zh-CN" w:bidi="ar"/>
              </w:rPr>
              <w:br w:type="textWrapping"/>
            </w:r>
            <w:r>
              <w:rPr>
                <w:rStyle w:val="8"/>
                <w:snapToGrid w:val="0"/>
                <w:color w:val="000000"/>
                <w:highlight w:val="none"/>
                <w:lang w:val="en-US" w:eastAsia="zh-CN" w:bidi="ar"/>
              </w:rPr>
              <w:t>3.土方、垫层等另计；</w:t>
            </w:r>
            <w:r>
              <w:rPr>
                <w:rStyle w:val="8"/>
                <w:snapToGrid w:val="0"/>
                <w:color w:val="000000"/>
                <w:highlight w:val="none"/>
                <w:lang w:val="en-US" w:eastAsia="zh-CN" w:bidi="ar"/>
              </w:rPr>
              <w:br w:type="textWrapping"/>
            </w:r>
            <w:r>
              <w:rPr>
                <w:rStyle w:val="8"/>
                <w:snapToGrid w:val="0"/>
                <w:color w:val="000000"/>
                <w:highlight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745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B70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1AC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129.00</w:t>
            </w:r>
          </w:p>
        </w:tc>
      </w:tr>
      <w:tr w14:paraId="37A58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668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8F4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混凝土管道</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9AF4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Style w:val="8"/>
                <w:snapToGrid w:val="0"/>
                <w:color w:val="000000"/>
                <w:highlight w:val="none"/>
                <w:lang w:val="en-US" w:eastAsia="zh-CN" w:bidi="ar"/>
              </w:rPr>
              <w:t>1.</w:t>
            </w:r>
            <w:r>
              <w:rPr>
                <w:rStyle w:val="9"/>
                <w:snapToGrid w:val="0"/>
                <w:color w:val="000000"/>
                <w:highlight w:val="none"/>
                <w:lang w:val="en-US" w:eastAsia="zh-CN" w:bidi="ar"/>
              </w:rPr>
              <w:t>II</w:t>
            </w:r>
            <w:r>
              <w:rPr>
                <w:rStyle w:val="8"/>
                <w:snapToGrid w:val="0"/>
                <w:color w:val="000000"/>
                <w:highlight w:val="none"/>
                <w:lang w:val="en-US" w:eastAsia="zh-CN" w:bidi="ar"/>
              </w:rPr>
              <w:t>级钢筋混凝土管800mm；</w:t>
            </w:r>
            <w:r>
              <w:rPr>
                <w:rStyle w:val="8"/>
                <w:snapToGrid w:val="0"/>
                <w:color w:val="000000"/>
                <w:highlight w:val="none"/>
                <w:lang w:val="en-US" w:eastAsia="zh-CN" w:bidi="ar"/>
              </w:rPr>
              <w:br w:type="textWrapping"/>
            </w:r>
            <w:r>
              <w:rPr>
                <w:rStyle w:val="8"/>
                <w:snapToGrid w:val="0"/>
                <w:color w:val="000000"/>
                <w:highlight w:val="none"/>
                <w:lang w:val="en-US" w:eastAsia="zh-CN" w:bidi="ar"/>
              </w:rPr>
              <w:t>2.管道连接；</w:t>
            </w:r>
            <w:r>
              <w:rPr>
                <w:rStyle w:val="8"/>
                <w:snapToGrid w:val="0"/>
                <w:color w:val="000000"/>
                <w:highlight w:val="none"/>
                <w:lang w:val="en-US" w:eastAsia="zh-CN" w:bidi="ar"/>
              </w:rPr>
              <w:br w:type="textWrapping"/>
            </w:r>
            <w:r>
              <w:rPr>
                <w:rStyle w:val="8"/>
                <w:snapToGrid w:val="0"/>
                <w:color w:val="000000"/>
                <w:highlight w:val="none"/>
                <w:lang w:val="en-US" w:eastAsia="zh-CN" w:bidi="ar"/>
              </w:rPr>
              <w:t>3.土方、垫层等另计；</w:t>
            </w:r>
            <w:r>
              <w:rPr>
                <w:rStyle w:val="8"/>
                <w:snapToGrid w:val="0"/>
                <w:color w:val="000000"/>
                <w:highlight w:val="none"/>
                <w:lang w:val="en-US" w:eastAsia="zh-CN" w:bidi="ar"/>
              </w:rPr>
              <w:br w:type="textWrapping"/>
            </w:r>
            <w:r>
              <w:rPr>
                <w:rStyle w:val="8"/>
                <w:snapToGrid w:val="0"/>
                <w:color w:val="000000"/>
                <w:highlight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BBA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07F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27F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230.33</w:t>
            </w:r>
          </w:p>
        </w:tc>
      </w:tr>
      <w:tr w14:paraId="30E8B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80E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883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混凝土管道</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975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Style w:val="8"/>
                <w:snapToGrid w:val="0"/>
                <w:color w:val="000000"/>
                <w:highlight w:val="none"/>
                <w:lang w:val="en-US" w:eastAsia="zh-CN" w:bidi="ar"/>
              </w:rPr>
              <w:t>1.</w:t>
            </w:r>
            <w:r>
              <w:rPr>
                <w:rStyle w:val="9"/>
                <w:snapToGrid w:val="0"/>
                <w:color w:val="000000"/>
                <w:highlight w:val="none"/>
                <w:lang w:val="en-US" w:eastAsia="zh-CN" w:bidi="ar"/>
              </w:rPr>
              <w:t>II</w:t>
            </w:r>
            <w:r>
              <w:rPr>
                <w:rStyle w:val="8"/>
                <w:snapToGrid w:val="0"/>
                <w:color w:val="000000"/>
                <w:highlight w:val="none"/>
                <w:lang w:val="en-US" w:eastAsia="zh-CN" w:bidi="ar"/>
              </w:rPr>
              <w:t>级钢筋混凝土管1000mm；</w:t>
            </w:r>
            <w:r>
              <w:rPr>
                <w:rStyle w:val="8"/>
                <w:snapToGrid w:val="0"/>
                <w:color w:val="000000"/>
                <w:highlight w:val="none"/>
                <w:lang w:val="en-US" w:eastAsia="zh-CN" w:bidi="ar"/>
              </w:rPr>
              <w:br w:type="textWrapping"/>
            </w:r>
            <w:r>
              <w:rPr>
                <w:rStyle w:val="8"/>
                <w:snapToGrid w:val="0"/>
                <w:color w:val="000000"/>
                <w:highlight w:val="none"/>
                <w:lang w:val="en-US" w:eastAsia="zh-CN" w:bidi="ar"/>
              </w:rPr>
              <w:t>2.管道连接；</w:t>
            </w:r>
            <w:r>
              <w:rPr>
                <w:rStyle w:val="8"/>
                <w:snapToGrid w:val="0"/>
                <w:color w:val="000000"/>
                <w:highlight w:val="none"/>
                <w:lang w:val="en-US" w:eastAsia="zh-CN" w:bidi="ar"/>
              </w:rPr>
              <w:br w:type="textWrapping"/>
            </w:r>
            <w:r>
              <w:rPr>
                <w:rStyle w:val="8"/>
                <w:snapToGrid w:val="0"/>
                <w:color w:val="000000"/>
                <w:highlight w:val="none"/>
                <w:lang w:val="en-US" w:eastAsia="zh-CN" w:bidi="ar"/>
              </w:rPr>
              <w:t>3.土方、垫层等另计；</w:t>
            </w:r>
            <w:r>
              <w:rPr>
                <w:rStyle w:val="8"/>
                <w:snapToGrid w:val="0"/>
                <w:color w:val="000000"/>
                <w:highlight w:val="none"/>
                <w:lang w:val="en-US" w:eastAsia="zh-CN" w:bidi="ar"/>
              </w:rPr>
              <w:br w:type="textWrapping"/>
            </w:r>
            <w:r>
              <w:rPr>
                <w:rStyle w:val="8"/>
                <w:snapToGrid w:val="0"/>
                <w:color w:val="000000"/>
                <w:highlight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FF6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5C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AA51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419.33</w:t>
            </w:r>
          </w:p>
        </w:tc>
      </w:tr>
      <w:tr w14:paraId="67AF4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49A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9F4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HDPE双壁波纹管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A0EA2">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Style w:val="8"/>
                <w:snapToGrid w:val="0"/>
                <w:color w:val="000000"/>
                <w:highlight w:val="none"/>
                <w:lang w:val="en-US" w:eastAsia="zh-CN" w:bidi="ar"/>
              </w:rPr>
              <w:t>1.HDPE双壁波纹管DN300,环刚度10KN/</w:t>
            </w:r>
            <w:r>
              <w:rPr>
                <w:rStyle w:val="10"/>
                <w:snapToGrid w:val="0"/>
                <w:color w:val="000000"/>
                <w:highlight w:val="none"/>
                <w:lang w:val="en-US" w:eastAsia="zh-CN" w:bidi="ar"/>
              </w:rPr>
              <w:t>㎡</w:t>
            </w:r>
            <w:r>
              <w:rPr>
                <w:rStyle w:val="8"/>
                <w:snapToGrid w:val="0"/>
                <w:color w:val="000000"/>
                <w:highlight w:val="none"/>
                <w:lang w:val="en-US" w:eastAsia="zh-CN" w:bidi="ar"/>
              </w:rPr>
              <w:t>；</w:t>
            </w:r>
            <w:r>
              <w:rPr>
                <w:rStyle w:val="8"/>
                <w:snapToGrid w:val="0"/>
                <w:color w:val="000000"/>
                <w:highlight w:val="none"/>
                <w:lang w:val="en-US" w:eastAsia="zh-CN" w:bidi="ar"/>
              </w:rPr>
              <w:br w:type="textWrapping"/>
            </w:r>
            <w:r>
              <w:rPr>
                <w:rStyle w:val="8"/>
                <w:snapToGrid w:val="0"/>
                <w:color w:val="000000"/>
                <w:highlight w:val="none"/>
                <w:lang w:val="en-US" w:eastAsia="zh-CN" w:bidi="ar"/>
              </w:rPr>
              <w:t>2.管道连接；</w:t>
            </w:r>
            <w:r>
              <w:rPr>
                <w:rStyle w:val="8"/>
                <w:snapToGrid w:val="0"/>
                <w:color w:val="000000"/>
                <w:highlight w:val="none"/>
                <w:lang w:val="en-US" w:eastAsia="zh-CN" w:bidi="ar"/>
              </w:rPr>
              <w:br w:type="textWrapping"/>
            </w:r>
            <w:r>
              <w:rPr>
                <w:rStyle w:val="8"/>
                <w:snapToGrid w:val="0"/>
                <w:color w:val="000000"/>
                <w:highlight w:val="none"/>
                <w:lang w:val="en-US" w:eastAsia="zh-CN" w:bidi="ar"/>
              </w:rPr>
              <w:t>3.土方、垫层等另计；</w:t>
            </w:r>
            <w:r>
              <w:rPr>
                <w:rStyle w:val="8"/>
                <w:snapToGrid w:val="0"/>
                <w:color w:val="000000"/>
                <w:highlight w:val="none"/>
                <w:lang w:val="en-US" w:eastAsia="zh-CN" w:bidi="ar"/>
              </w:rPr>
              <w:br w:type="textWrapping"/>
            </w:r>
            <w:r>
              <w:rPr>
                <w:rStyle w:val="8"/>
                <w:snapToGrid w:val="0"/>
                <w:color w:val="000000"/>
                <w:highlight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B65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0D9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981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117.00</w:t>
            </w:r>
          </w:p>
        </w:tc>
      </w:tr>
      <w:tr w14:paraId="59291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5E22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3EC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HDPE双壁波纹管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A8A1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1.HDPE双壁波纹管DN400,环刚度10KN/㎡；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436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C9CF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407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208.00</w:t>
            </w:r>
          </w:p>
        </w:tc>
      </w:tr>
      <w:tr w14:paraId="04B8B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A786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1B0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HDPE双壁波纹管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314AB">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1.HDPE双壁波纹管DN500,环刚度10KN/㎡；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499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086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E4A2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314.33</w:t>
            </w:r>
          </w:p>
        </w:tc>
      </w:tr>
      <w:tr w14:paraId="1D2CD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12D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762B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HDPE双壁波纹管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FD4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1.HDPE双壁波纹管DN600,环刚度10KN/㎡；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40E7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880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73DC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429.00</w:t>
            </w:r>
          </w:p>
        </w:tc>
      </w:tr>
      <w:tr w14:paraId="6D46E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847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2809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缠绕结构壁增强管B型（HDPE缠绕结构壁B型管）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C01F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1.缠绕结构壁增强管B型管DN300,环刚度10KN/㎡；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3A4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6E41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17C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204.00</w:t>
            </w:r>
          </w:p>
        </w:tc>
      </w:tr>
      <w:tr w14:paraId="0D490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A6C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a22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279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缠绕结构壁增强管B型（</w:t>
            </w:r>
            <w:r>
              <w:rPr>
                <w:rFonts w:hint="eastAsia" w:ascii="宋体" w:hAnsi="宋体" w:eastAsia="宋体" w:cs="宋体"/>
                <w:b w:val="0"/>
                <w:bCs w:val="0"/>
                <w:color w:val="auto"/>
                <w:sz w:val="24"/>
                <w:szCs w:val="24"/>
                <w:highlight w:val="none"/>
                <w:lang w:val="en-US" w:eastAsia="zh-CN"/>
              </w:rPr>
              <w:t>HDPE缠绕结构壁B型管</w:t>
            </w:r>
            <w:r>
              <w:rPr>
                <w:rFonts w:hint="eastAsia" w:ascii="宋体" w:hAnsi="宋体" w:eastAsia="宋体" w:cs="宋体"/>
                <w:i w:val="0"/>
                <w:iCs w:val="0"/>
                <w:snapToGrid w:val="0"/>
                <w:color w:val="000000"/>
                <w:kern w:val="0"/>
                <w:sz w:val="24"/>
                <w:szCs w:val="24"/>
                <w:highlight w:val="none"/>
                <w:u w:val="none"/>
                <w:lang w:val="en-US" w:eastAsia="zh-CN" w:bidi="ar"/>
              </w:rPr>
              <w:t>）</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7BFE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1.缠绕结构壁增强管B型DN400,环刚度10KN/㎡；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601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78AE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02E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313.67</w:t>
            </w:r>
          </w:p>
        </w:tc>
      </w:tr>
      <w:tr w14:paraId="15D9C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6F6E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a23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DC31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缠绕结构壁增强管B型（HDPE缠绕结构壁B型管）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7BB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1.缠绕结构壁增强管B型DN500,环刚度10KN/㎡；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F2F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D47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279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514.67</w:t>
            </w:r>
          </w:p>
        </w:tc>
      </w:tr>
      <w:tr w14:paraId="45DFC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EDB2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0AF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缠绕结构壁增强管B型（HDPE缠绕结构壁B型管）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013A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1.缠绕结构壁增强管B型DN600,环刚度10KN/㎡；</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36F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C34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63D2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694.33</w:t>
            </w:r>
          </w:p>
        </w:tc>
      </w:tr>
      <w:tr w14:paraId="5825D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67E0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260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PVC管（</w:t>
            </w:r>
            <w:r>
              <w:rPr>
                <w:rFonts w:hint="eastAsia" w:ascii="宋体" w:hAnsi="宋体" w:eastAsia="宋体" w:cs="宋体"/>
                <w:b w:val="0"/>
                <w:bCs w:val="0"/>
                <w:spacing w:val="-2"/>
                <w:sz w:val="24"/>
                <w:szCs w:val="24"/>
                <w:highlight w:val="none"/>
                <w:vertAlign w:val="baseline"/>
                <w:lang w:val="en-US" w:eastAsia="zh-CN"/>
              </w:rPr>
              <w:t>PVC-U管材）</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849F4">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1.DN110；</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B845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148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C48C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42.00</w:t>
            </w:r>
          </w:p>
        </w:tc>
      </w:tr>
      <w:tr w14:paraId="40465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62AE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229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PVC管（</w:t>
            </w:r>
            <w:r>
              <w:rPr>
                <w:rFonts w:hint="eastAsia" w:ascii="宋体" w:hAnsi="宋体" w:eastAsia="宋体" w:cs="宋体"/>
                <w:b w:val="0"/>
                <w:bCs w:val="0"/>
                <w:spacing w:val="-2"/>
                <w:sz w:val="24"/>
                <w:szCs w:val="24"/>
                <w:highlight w:val="none"/>
                <w:vertAlign w:val="baseline"/>
                <w:lang w:val="en-US" w:eastAsia="zh-CN"/>
              </w:rPr>
              <w:t>PVC-U管材）</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6716D">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1.DN160；</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C3A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0B8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15A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85.00</w:t>
            </w:r>
          </w:p>
        </w:tc>
      </w:tr>
      <w:tr w14:paraId="224C9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952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5C7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PVC管（</w:t>
            </w:r>
            <w:r>
              <w:rPr>
                <w:rFonts w:hint="eastAsia" w:ascii="宋体" w:hAnsi="宋体" w:eastAsia="宋体" w:cs="宋体"/>
                <w:b w:val="0"/>
                <w:bCs w:val="0"/>
                <w:spacing w:val="-2"/>
                <w:sz w:val="24"/>
                <w:szCs w:val="24"/>
                <w:highlight w:val="none"/>
                <w:vertAlign w:val="baseline"/>
                <w:lang w:val="en-US" w:eastAsia="zh-CN"/>
              </w:rPr>
              <w:t>PVC-U管材）</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00FBD">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1.DN200；</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5AF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0D8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0A7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107.67</w:t>
            </w:r>
          </w:p>
        </w:tc>
      </w:tr>
      <w:tr w14:paraId="69A74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FC9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B8E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PVC管（</w:t>
            </w:r>
            <w:r>
              <w:rPr>
                <w:rFonts w:hint="eastAsia" w:ascii="宋体" w:hAnsi="宋体" w:eastAsia="宋体" w:cs="宋体"/>
                <w:b w:val="0"/>
                <w:bCs w:val="0"/>
                <w:spacing w:val="-2"/>
                <w:sz w:val="24"/>
                <w:szCs w:val="24"/>
                <w:highlight w:val="none"/>
                <w:vertAlign w:val="baseline"/>
                <w:lang w:val="en-US" w:eastAsia="zh-CN"/>
              </w:rPr>
              <w:t>PVC-U管材）</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30A30">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1.DN300；</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2.管道连接；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3.土方、垫层等另计；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4.管道运输、装卸机械另计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916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9BB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500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193.00</w:t>
            </w:r>
          </w:p>
        </w:tc>
      </w:tr>
      <w:tr w14:paraId="3B383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81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1FCBB">
            <w:pP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2、道路设施</w:t>
            </w:r>
          </w:p>
        </w:tc>
      </w:tr>
      <w:tr w14:paraId="1AD8A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DC2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C6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花岗岩人行道修复</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10F8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1.破除原有损坏铺装；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2.花岗岩道板铺贴，花岗岩道板由甲方供材</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3.3cm厚水泥砂浆找平层；</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4DAA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905E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DEE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64.67</w:t>
            </w:r>
          </w:p>
        </w:tc>
      </w:tr>
      <w:tr w14:paraId="77314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26E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9A03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透（吸）水砖人行道修复</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811FB">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1.破除原有损坏铺装；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2.透（吸）水砖铺贴；</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3.3cm厚水泥砂浆找平层</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EC3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1DF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6B7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77.33</w:t>
            </w:r>
          </w:p>
        </w:tc>
      </w:tr>
      <w:tr w14:paraId="03A3E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0BA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F324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透水混凝土人行道修复</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B23D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1.破除原有损坏铺装；</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2.5cm透水混凝土；</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3.喷漆</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64B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6D5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568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109.00</w:t>
            </w:r>
          </w:p>
        </w:tc>
      </w:tr>
      <w:tr w14:paraId="79C9C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51B4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956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花岗岩路缘石扶正</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CCE8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1.安装原有花岗岩路缘石；</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2.3cm厚水泥砂浆基础</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0DC8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355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546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17.00</w:t>
            </w:r>
          </w:p>
        </w:tc>
      </w:tr>
      <w:tr w14:paraId="06A6A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AAF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A8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止车石</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DDD58">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1.安装成品花岗岩止车石（H=60cm,直径25cm)</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AD5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AA4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7EBD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401.33</w:t>
            </w:r>
          </w:p>
        </w:tc>
      </w:tr>
      <w:tr w14:paraId="07A2D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6FA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E4B5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细粒式沥青混凝土</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23F5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1.喷洒热沥青粘层(0.6kg/m2)；</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2.5cm厚细粒式改性沥青混凝土(AC-13C)；</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3.碾压</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55F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E4A6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F0D2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70.33</w:t>
            </w:r>
          </w:p>
        </w:tc>
      </w:tr>
      <w:tr w14:paraId="74291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52A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40BB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细粒式沥青混凝土每增减1cm</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E023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1.细粒式改性沥青混凝土(AC-13C)；</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2.每增减1cm</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E60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E79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65E2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12.97</w:t>
            </w:r>
          </w:p>
        </w:tc>
      </w:tr>
      <w:tr w14:paraId="743F2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C67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D71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粗粒式沥青混凝土路面</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5C8B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1.清扫基层；</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2.喷洒热沥青粘层(0.6kg/m2)；</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3.7cm厚粗粒式沥青混凝土(AC-25C)；</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4.碾压</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8E7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5BDA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21D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76.00</w:t>
            </w:r>
          </w:p>
        </w:tc>
      </w:tr>
      <w:tr w14:paraId="35EAB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795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BC52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粗粒式沥青混凝土路面每增减1cm</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7107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1.粗粒式沥青混凝土(AC-25C)；</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2.每增减1cm</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4294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39A2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4E2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12.00</w:t>
            </w:r>
          </w:p>
        </w:tc>
      </w:tr>
      <w:tr w14:paraId="2E8BF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D35A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533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水泥混凝土路面</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3C83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1.支模</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2.20cm厚C30混凝土路面；</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3.洒水养护，刻槽拉毛；</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92F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70D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0DF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100.33</w:t>
            </w:r>
          </w:p>
        </w:tc>
      </w:tr>
      <w:tr w14:paraId="38132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7FA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9E6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水泥混凝土路面每增减1cm</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F411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1、C30混凝土；</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2、每增减1cm</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240F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9CA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F022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3.90</w:t>
            </w:r>
          </w:p>
        </w:tc>
      </w:tr>
      <w:tr w14:paraId="4B155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981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0B15E">
            <w:pP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3、其它</w:t>
            </w:r>
          </w:p>
        </w:tc>
      </w:tr>
      <w:tr w14:paraId="35FC0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48FE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3542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垫层（一）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48D1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1.C15混凝土垫层</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9EB3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FCF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D31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403.00</w:t>
            </w:r>
          </w:p>
        </w:tc>
      </w:tr>
      <w:tr w14:paraId="2AA6B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DF5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1E06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垫层（二）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CAF3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1.中粗砂垫层</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388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1A65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4BF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210.67</w:t>
            </w:r>
          </w:p>
        </w:tc>
      </w:tr>
      <w:tr w14:paraId="32ACE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FBF7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F8AE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垫层（三）</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293D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1.碎石垫层</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167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898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3C3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224.00</w:t>
            </w:r>
          </w:p>
        </w:tc>
      </w:tr>
      <w:tr w14:paraId="72B32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EF5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56D2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砖砌体</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1919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1.砖砌结构</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F4EF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F41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B01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496.00</w:t>
            </w:r>
          </w:p>
        </w:tc>
      </w:tr>
      <w:tr w14:paraId="5A302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C7E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CB30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水泥砂浆抹面</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C584C">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1.各类墙体抹面</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85A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3B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789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23.23</w:t>
            </w:r>
          </w:p>
        </w:tc>
      </w:tr>
      <w:tr w14:paraId="5255C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981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FE3FC">
            <w:pP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4、拆除及土方</w:t>
            </w:r>
          </w:p>
        </w:tc>
      </w:tr>
      <w:tr w14:paraId="3AF24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CB7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24A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拆除沥青路面</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710C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1.沥青路面；</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2.石渣外运另计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978E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E32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94B9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77.67</w:t>
            </w:r>
          </w:p>
        </w:tc>
      </w:tr>
      <w:tr w14:paraId="0D5B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8ED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2F1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拆除混凝土结构</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DA280">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1.混凝土路面、半刚性基层及各类混凝土结构；</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2.强度C40以下；</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3.石渣外运另计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9B4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A1A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F07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131.00</w:t>
            </w:r>
          </w:p>
        </w:tc>
      </w:tr>
      <w:tr w14:paraId="01666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E1A8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9175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挖一般土方</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B8C94">
            <w:pPr>
              <w:jc w:val="left"/>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挖一般土方</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D83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F6F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249F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17.33</w:t>
            </w:r>
          </w:p>
        </w:tc>
      </w:tr>
      <w:tr w14:paraId="5F521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7F3B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67B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一般回填方（一）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50D7C">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1.土方利用；</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2.回填夯实</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C65D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94A8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4AD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5.77</w:t>
            </w:r>
          </w:p>
        </w:tc>
      </w:tr>
      <w:tr w14:paraId="0AE9B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9BF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D4B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一般回填方（二）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AE12B">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1.外购土方，土方场外运输；</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2.回填夯实</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150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D5A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08A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22.93</w:t>
            </w:r>
          </w:p>
        </w:tc>
      </w:tr>
      <w:tr w14:paraId="48F12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1810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206C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余方弃置</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80F2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1.石渣、土方等弃置，含运距10km</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2.10km外自理；</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446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m³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17E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336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38.67</w:t>
            </w:r>
          </w:p>
        </w:tc>
      </w:tr>
      <w:tr w14:paraId="37CDB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981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8A27A">
            <w:pP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5、园林设施</w:t>
            </w:r>
          </w:p>
        </w:tc>
      </w:tr>
      <w:tr w14:paraId="70B68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87D9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896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110铸铁抱箍</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E7AA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30公分长</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EDE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408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31D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223.67</w:t>
            </w:r>
          </w:p>
        </w:tc>
      </w:tr>
      <w:tr w14:paraId="367CA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9AC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932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90铸铁抱箍</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D0CF0">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30公分长</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354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4D00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410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194.67</w:t>
            </w:r>
          </w:p>
        </w:tc>
      </w:tr>
      <w:tr w14:paraId="672C0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CD2F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712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63铸铁抱箍</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871B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30公分长</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0D9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124F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850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126.33</w:t>
            </w:r>
          </w:p>
        </w:tc>
      </w:tr>
      <w:tr w14:paraId="0C7A7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546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97F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20内丝取水阀</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0EA2C">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取水管，取水阀25铁外丝</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0359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3F2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677A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31.87</w:t>
            </w:r>
          </w:p>
        </w:tc>
      </w:tr>
      <w:tr w14:paraId="5A6D4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005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8E57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可调喷头</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83DD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铜</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7C6C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F702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0684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7.00</w:t>
            </w:r>
          </w:p>
        </w:tc>
      </w:tr>
      <w:tr w14:paraId="681FD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A811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0A4E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20取水开关</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B9B6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20内丝一个20PPR球阀一个20公分20PPR水管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35E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EAA7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AD9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16.07</w:t>
            </w:r>
          </w:p>
        </w:tc>
      </w:tr>
      <w:tr w14:paraId="45311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8A2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AA67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50闸阀</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EA07D">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大体铜杆铜芯</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49B2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FC7A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62B2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149.00</w:t>
            </w:r>
          </w:p>
        </w:tc>
      </w:tr>
      <w:tr w14:paraId="34AE4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B48D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9CA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40闸阀</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237A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铜杆铜芯</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F3F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7D2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BEB3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71.67</w:t>
            </w:r>
          </w:p>
        </w:tc>
      </w:tr>
      <w:tr w14:paraId="70975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14DD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A144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80闸阀</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110F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铜杆铜芯</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927A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A392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765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231.67</w:t>
            </w:r>
          </w:p>
        </w:tc>
      </w:tr>
      <w:tr w14:paraId="5309D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EDF7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9CC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100闸阀</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A1674">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铜杆铜芯</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B2D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935C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C5F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330.67</w:t>
            </w:r>
          </w:p>
        </w:tc>
      </w:tr>
      <w:tr w14:paraId="58E8C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119A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10A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25PE闸阀</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CD1CD">
            <w:pPr>
              <w:jc w:val="left"/>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25PE闸阀</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0BD4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E93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38E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41.93</w:t>
            </w:r>
          </w:p>
        </w:tc>
      </w:tr>
      <w:tr w14:paraId="40118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4FD4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7743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90PE水管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3CBC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1.6MPa</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4CF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E2F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156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41.10</w:t>
            </w:r>
          </w:p>
        </w:tc>
      </w:tr>
      <w:tr w14:paraId="0D15D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3CF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616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63PE水管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9D88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1.6MPa</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0E8F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23C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5839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35.13</w:t>
            </w:r>
          </w:p>
        </w:tc>
      </w:tr>
      <w:tr w14:paraId="3DEA2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3A2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E8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50PE水管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A9568">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1.6MPa</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730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728C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5354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28.33</w:t>
            </w:r>
          </w:p>
        </w:tc>
      </w:tr>
      <w:tr w14:paraId="23355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60E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34E5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40PE水管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F1C5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1.6MPa</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7D6E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B383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70C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12.50</w:t>
            </w:r>
          </w:p>
        </w:tc>
      </w:tr>
      <w:tr w14:paraId="1EE7C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47FC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7A57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32PE水管</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F0D70">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1.6MPa</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72C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861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EADE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6.63</w:t>
            </w:r>
          </w:p>
        </w:tc>
      </w:tr>
      <w:tr w14:paraId="6CCB8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49B4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963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32外丝直接</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D5893">
            <w:pPr>
              <w:jc w:val="left"/>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32外丝直接</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30D5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F5DE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EF8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17.23</w:t>
            </w:r>
          </w:p>
        </w:tc>
      </w:tr>
      <w:tr w14:paraId="48215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7B0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5C8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63PE弯头</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44A28">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直角弯头</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AA3F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6CA2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7F6C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13.13</w:t>
            </w:r>
          </w:p>
        </w:tc>
      </w:tr>
      <w:tr w14:paraId="4C8E5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A0BA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BF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110*63PE大小头</w:t>
            </w:r>
            <w:r>
              <w:rPr>
                <w:rFonts w:hint="eastAsia" w:ascii="宋体" w:hAnsi="宋体" w:eastAsia="宋体" w:cs="宋体"/>
                <w:b/>
                <w:bCs/>
                <w:color w:val="auto"/>
                <w:spacing w:val="0"/>
                <w:position w:val="0"/>
                <w:sz w:val="24"/>
                <w:szCs w:val="24"/>
                <w:highlight w:val="none"/>
                <w:lang w:val="en-US" w:eastAsia="zh-CN"/>
              </w:rPr>
              <w:t>★</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1BA3E">
            <w:pPr>
              <w:jc w:val="left"/>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110*63PE大小头</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070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E19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708B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16.57</w:t>
            </w:r>
          </w:p>
        </w:tc>
      </w:tr>
      <w:tr w14:paraId="5D53E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BB5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3E8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草坪铺设</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4A199">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草坪铺设</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21C8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EF5E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074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18.43</w:t>
            </w:r>
          </w:p>
        </w:tc>
      </w:tr>
      <w:tr w14:paraId="0D3A6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D8CF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71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栽种树木四脚桩</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530B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栽种树木四脚桩</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50D1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3CD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1900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38.40</w:t>
            </w:r>
          </w:p>
        </w:tc>
      </w:tr>
      <w:tr w14:paraId="1E53A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B27B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6E1D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栽种树木三角桩</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730B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栽种树木三角桩</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F172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EC21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9D9D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31.40</w:t>
            </w:r>
          </w:p>
        </w:tc>
      </w:tr>
      <w:tr w14:paraId="0DBCD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BB6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C8E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无纺布铺盖</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FA36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无纺布铺盖</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466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2CA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B26D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1.00</w:t>
            </w:r>
          </w:p>
        </w:tc>
      </w:tr>
      <w:tr w14:paraId="42375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E5C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66E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花坛PVC护栏安装</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8474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1、护栏高0.45米</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705C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425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F719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68.07</w:t>
            </w:r>
          </w:p>
        </w:tc>
      </w:tr>
      <w:tr w14:paraId="760F9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78C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4635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花坛PVC护栏扶正</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B22E5">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花坛PVC护栏扶正</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269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B8A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C171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11.47</w:t>
            </w:r>
          </w:p>
        </w:tc>
      </w:tr>
      <w:tr w14:paraId="6FFB8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9C5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C4E9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更换PVC护栏中柱</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C6158">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1、混凝土基础</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D082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根</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0E4B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06AF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37.03</w:t>
            </w:r>
          </w:p>
        </w:tc>
      </w:tr>
      <w:tr w14:paraId="3C5F2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0386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1D40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铸铁护栏安装</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A1CB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1、护栏高0.9米</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2600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米</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6F50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44B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101.67</w:t>
            </w:r>
          </w:p>
        </w:tc>
      </w:tr>
      <w:tr w14:paraId="03C4D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6" w:hRule="atLeast"/>
        </w:trPr>
        <w:tc>
          <w:tcPr>
            <w:tcW w:w="981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ACF73">
            <w:pPr>
              <w:rPr>
                <w:rFonts w:hint="eastAsia" w:ascii="宋体" w:hAnsi="宋体" w:eastAsia="宋体" w:cs="宋体"/>
                <w:i w:val="0"/>
                <w:iCs w:val="0"/>
                <w:color w:val="000000"/>
                <w:sz w:val="24"/>
                <w:szCs w:val="24"/>
                <w:highlight w:val="none"/>
                <w:u w:val="none"/>
              </w:rPr>
            </w:pPr>
            <w:r>
              <w:rPr>
                <w:rFonts w:hint="eastAsia" w:ascii="宋体" w:hAnsi="宋体" w:eastAsia="宋体" w:cs="宋体"/>
                <w:b/>
                <w:bCs/>
                <w:i w:val="0"/>
                <w:iCs w:val="0"/>
                <w:snapToGrid w:val="0"/>
                <w:color w:val="000000"/>
                <w:kern w:val="0"/>
                <w:sz w:val="24"/>
                <w:szCs w:val="24"/>
                <w:highlight w:val="none"/>
                <w:u w:val="none"/>
                <w:lang w:val="en-US" w:eastAsia="zh-CN" w:bidi="ar"/>
              </w:rPr>
              <w:t>6、零星用工</w:t>
            </w:r>
          </w:p>
        </w:tc>
      </w:tr>
      <w:tr w14:paraId="3E53B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4323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F608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水电工</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01AD6">
            <w:pPr>
              <w:jc w:val="left"/>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水电工</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9237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工日</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FC66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706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226.00</w:t>
            </w:r>
          </w:p>
        </w:tc>
      </w:tr>
      <w:tr w14:paraId="5568B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C3F9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AB30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大工</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97EF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1.技工；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2.带班作业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46C8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工日</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78A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0AC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213.67</w:t>
            </w:r>
          </w:p>
        </w:tc>
      </w:tr>
      <w:tr w14:paraId="15954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3C76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51F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小工</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F550D">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1.普工；</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2.配合作业、开展巡查等</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3A86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工日</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6F84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9E8C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152.00</w:t>
            </w:r>
          </w:p>
        </w:tc>
      </w:tr>
      <w:tr w14:paraId="3001E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556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1D78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小型压路机</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83EA3">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1.≧3.5吨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31C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台班</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F04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0546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292.67</w:t>
            </w:r>
          </w:p>
        </w:tc>
      </w:tr>
      <w:tr w14:paraId="40D6B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229A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0C82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小型铲车</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6D556">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小型铲车</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F415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台班</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290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7379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546.67</w:t>
            </w:r>
          </w:p>
        </w:tc>
      </w:tr>
      <w:tr w14:paraId="3659C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298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EC3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50#铲车</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C6DDF">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50#铲车</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0112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小时</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BC06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3FC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221.67</w:t>
            </w:r>
          </w:p>
        </w:tc>
      </w:tr>
      <w:tr w14:paraId="2759B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75B0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7</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A39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60#挖机</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4ED9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60#挖机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5750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小时</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8CA5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E844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135.00</w:t>
            </w:r>
          </w:p>
        </w:tc>
      </w:tr>
      <w:tr w14:paraId="11FE1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7903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8</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8F4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200#挖机</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84852">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200#挖机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B04E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小时</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04C1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6F17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240.67</w:t>
            </w:r>
          </w:p>
        </w:tc>
      </w:tr>
      <w:tr w14:paraId="00CAC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33E4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9</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584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机械进（出）场拖车（一）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FEDC7">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1.小型拖车；拖运机械10吨以内</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F697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07E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925A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182.67</w:t>
            </w:r>
          </w:p>
        </w:tc>
      </w:tr>
      <w:tr w14:paraId="5CD88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C9DB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10</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8F97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机械进（出）场拖车（二）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FDFD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2.大型拖车；拖运机械超过10吨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4962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BBBD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ECAB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563.33</w:t>
            </w:r>
          </w:p>
        </w:tc>
      </w:tr>
      <w:tr w14:paraId="28391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CD3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A3A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三轮车（一）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514D1">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1.物料运输，按车次计；运距综合考虑</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2E8E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2FC2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0D9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63.67</w:t>
            </w:r>
          </w:p>
        </w:tc>
      </w:tr>
      <w:tr w14:paraId="00C2E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B10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12</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078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三轮车（二）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2F41A">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1.配合养护作业，按台班计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7CF3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台班</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577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2F0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221.67</w:t>
            </w:r>
          </w:p>
        </w:tc>
      </w:tr>
      <w:tr w14:paraId="192E1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2ED2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13</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385D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自卸汽车（一）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B412E">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1.总重≧4吨；</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2.物料运输，按车次计；运距综合考虑</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57F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0A99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A0FC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152.00</w:t>
            </w:r>
          </w:p>
        </w:tc>
      </w:tr>
      <w:tr w14:paraId="01982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71B0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14</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B9E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自卸汽车（二）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1BD4">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1.总重≧4吨；</w:t>
            </w:r>
            <w:r>
              <w:rPr>
                <w:rFonts w:hint="eastAsia" w:ascii="宋体" w:hAnsi="宋体" w:eastAsia="宋体" w:cs="宋体"/>
                <w:i w:val="0"/>
                <w:iCs w:val="0"/>
                <w:snapToGrid w:val="0"/>
                <w:color w:val="000000"/>
                <w:kern w:val="0"/>
                <w:sz w:val="24"/>
                <w:szCs w:val="24"/>
                <w:highlight w:val="none"/>
                <w:u w:val="none"/>
                <w:lang w:val="en-US" w:eastAsia="zh-CN" w:bidi="ar"/>
              </w:rPr>
              <w:br w:type="textWrapping"/>
            </w:r>
            <w:r>
              <w:rPr>
                <w:rFonts w:hint="eastAsia" w:ascii="宋体" w:hAnsi="宋体" w:eastAsia="宋体" w:cs="宋体"/>
                <w:i w:val="0"/>
                <w:iCs w:val="0"/>
                <w:snapToGrid w:val="0"/>
                <w:color w:val="000000"/>
                <w:kern w:val="0"/>
                <w:sz w:val="24"/>
                <w:szCs w:val="24"/>
                <w:highlight w:val="none"/>
                <w:u w:val="none"/>
                <w:lang w:val="en-US" w:eastAsia="zh-CN" w:bidi="ar"/>
              </w:rPr>
              <w:t>2.配合养护作业，按台班计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6B87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台班</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BD8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CCD8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546.67</w:t>
            </w:r>
          </w:p>
        </w:tc>
      </w:tr>
      <w:tr w14:paraId="6CB12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6DC7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15</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390A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吸污车（一）</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0976C">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1.总容量≧5m³</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C674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CEE9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63B3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596.67</w:t>
            </w:r>
          </w:p>
        </w:tc>
      </w:tr>
      <w:tr w14:paraId="463E5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6CA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16</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9F10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吸污车（二）</w:t>
            </w:r>
          </w:p>
        </w:tc>
        <w:tc>
          <w:tcPr>
            <w:tcW w:w="4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4C4CE">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1.总容量≧8m³</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8694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车</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C103A">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EF33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snapToGrid w:val="0"/>
                <w:color w:val="000000"/>
                <w:kern w:val="0"/>
                <w:sz w:val="24"/>
                <w:szCs w:val="24"/>
                <w:highlight w:val="none"/>
                <w:u w:val="none"/>
                <w:lang w:val="en-US" w:eastAsia="zh-CN" w:bidi="ar"/>
              </w:rPr>
              <w:t>1140.00</w:t>
            </w:r>
          </w:p>
        </w:tc>
      </w:tr>
    </w:tbl>
    <w:p w14:paraId="389A1349">
      <w:pPr>
        <w:keepNext w:val="0"/>
        <w:keepLines w:val="0"/>
        <w:widowControl/>
        <w:suppressLineNumbers w:val="0"/>
        <w:jc w:val="left"/>
        <w:textAlignment w:val="center"/>
        <w:rPr>
          <w:rFonts w:hint="default" w:ascii="宋体" w:hAnsi="宋体" w:eastAsia="宋体" w:cs="宋体"/>
          <w:b/>
          <w:bCs/>
          <w:i w:val="0"/>
          <w:iCs w:val="0"/>
          <w:snapToGrid w:val="0"/>
          <w:color w:val="000000"/>
          <w:kern w:val="0"/>
          <w:sz w:val="24"/>
          <w:szCs w:val="24"/>
          <w:highlight w:val="none"/>
          <w:u w:val="none"/>
          <w:lang w:val="en-US" w:eastAsia="zh-CN" w:bidi="ar"/>
        </w:rPr>
      </w:pPr>
      <w:r>
        <w:rPr>
          <w:rFonts w:hint="eastAsia" w:ascii="宋体" w:hAnsi="宋体" w:eastAsia="宋体" w:cs="宋体"/>
          <w:b/>
          <w:bCs/>
          <w:i w:val="0"/>
          <w:iCs w:val="0"/>
          <w:snapToGrid w:val="0"/>
          <w:color w:val="000000"/>
          <w:kern w:val="0"/>
          <w:sz w:val="24"/>
          <w:szCs w:val="24"/>
          <w:highlight w:val="none"/>
          <w:u w:val="none"/>
          <w:lang w:val="en-US" w:eastAsia="zh-CN" w:bidi="ar"/>
        </w:rPr>
        <w:t>备注：（1）</w:t>
      </w:r>
      <w:r>
        <w:rPr>
          <w:rFonts w:hint="eastAsia" w:ascii="宋体" w:hAnsi="宋体" w:eastAsia="宋体" w:cs="宋体"/>
          <w:b/>
          <w:bCs/>
          <w:color w:val="auto"/>
          <w:spacing w:val="0"/>
          <w:position w:val="0"/>
          <w:sz w:val="24"/>
          <w:szCs w:val="24"/>
          <w:lang w:val="en-US" w:eastAsia="zh-CN"/>
        </w:rPr>
        <w:t>采购清单里品目名称带★的需填写制造商、品牌、型号，不带★只需填写承接商即可。</w:t>
      </w:r>
      <w:r>
        <w:rPr>
          <w:rFonts w:hint="eastAsia" w:ascii="宋体" w:hAnsi="宋体" w:eastAsia="宋体" w:cs="宋体"/>
          <w:b/>
          <w:bCs/>
          <w:color w:val="auto"/>
          <w:spacing w:val="0"/>
          <w:position w:val="0"/>
          <w:sz w:val="24"/>
          <w:szCs w:val="24"/>
          <w:lang w:val="en-US" w:eastAsia="zh-CN"/>
        </w:rPr>
        <w:br w:type="textWrapping"/>
      </w:r>
      <w:r>
        <w:rPr>
          <w:rFonts w:hint="eastAsia" w:ascii="宋体" w:hAnsi="宋体" w:eastAsia="宋体" w:cs="宋体"/>
          <w:b/>
          <w:bCs/>
          <w:color w:val="auto"/>
          <w:spacing w:val="0"/>
          <w:position w:val="0"/>
          <w:sz w:val="24"/>
          <w:szCs w:val="24"/>
          <w:lang w:val="en-US" w:eastAsia="zh-CN"/>
        </w:rPr>
        <w:t>（2）清单中</w:t>
      </w:r>
      <w:r>
        <w:rPr>
          <w:rFonts w:hint="eastAsia" w:ascii="宋体" w:hAnsi="宋体" w:eastAsia="宋体" w:cs="宋体"/>
          <w:b/>
          <w:bCs/>
          <w:i w:val="0"/>
          <w:iCs w:val="0"/>
          <w:snapToGrid w:val="0"/>
          <w:color w:val="000000"/>
          <w:kern w:val="0"/>
          <w:sz w:val="24"/>
          <w:szCs w:val="24"/>
          <w:highlight w:val="none"/>
          <w:u w:val="none"/>
          <w:lang w:val="en-US" w:eastAsia="zh-CN" w:bidi="ar"/>
        </w:rPr>
        <w:t>未注明甲方供材的均由乙方提供材料。</w:t>
      </w:r>
    </w:p>
    <w:p w14:paraId="6CDD5100">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outlineLvl w:val="4"/>
        <w:rPr>
          <w:rFonts w:hint="eastAsia" w:ascii="宋体" w:hAnsi="宋体" w:eastAsia="宋体" w:cs="宋体"/>
          <w:b/>
          <w:bCs/>
          <w:sz w:val="24"/>
          <w:szCs w:val="24"/>
          <w:highlight w:val="none"/>
        </w:rPr>
      </w:pPr>
      <w:r>
        <w:rPr>
          <w:rFonts w:hint="eastAsia" w:ascii="宋体" w:hAnsi="宋体" w:eastAsia="宋体" w:cs="宋体"/>
          <w:b/>
          <w:bCs/>
          <w:spacing w:val="-2"/>
          <w:sz w:val="24"/>
          <w:szCs w:val="24"/>
          <w:highlight w:val="none"/>
          <w:lang w:eastAsia="zh-CN"/>
        </w:rPr>
        <w:t>（</w:t>
      </w:r>
      <w:r>
        <w:rPr>
          <w:rFonts w:hint="eastAsia" w:ascii="宋体" w:hAnsi="宋体" w:eastAsia="宋体" w:cs="宋体"/>
          <w:b/>
          <w:bCs/>
          <w:spacing w:val="-2"/>
          <w:sz w:val="24"/>
          <w:szCs w:val="24"/>
          <w:highlight w:val="none"/>
          <w:lang w:val="en-US" w:eastAsia="zh-CN"/>
        </w:rPr>
        <w:t>二</w:t>
      </w:r>
      <w:r>
        <w:rPr>
          <w:rFonts w:hint="eastAsia" w:ascii="宋体" w:hAnsi="宋体" w:eastAsia="宋体" w:cs="宋体"/>
          <w:b/>
          <w:bCs/>
          <w:spacing w:val="-2"/>
          <w:sz w:val="24"/>
          <w:szCs w:val="24"/>
          <w:highlight w:val="none"/>
          <w:lang w:eastAsia="zh-CN"/>
        </w:rPr>
        <w:t>）</w:t>
      </w:r>
      <w:r>
        <w:rPr>
          <w:rFonts w:hint="eastAsia" w:ascii="宋体" w:hAnsi="宋体" w:eastAsia="宋体" w:cs="宋体"/>
          <w:b/>
          <w:bCs/>
          <w:spacing w:val="-2"/>
          <w:sz w:val="24"/>
          <w:szCs w:val="24"/>
          <w:highlight w:val="none"/>
        </w:rPr>
        <w:t>技术参数要求</w:t>
      </w:r>
    </w:p>
    <w:p w14:paraId="61B0A8CC">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right="0" w:rightChars="0"/>
        <w:textAlignment w:val="baseline"/>
        <w:outlineLvl w:val="4"/>
        <w:rPr>
          <w:rFonts w:hint="eastAsia" w:ascii="宋体" w:hAnsi="宋体" w:eastAsia="宋体" w:cs="宋体"/>
          <w:b w:val="0"/>
          <w:bCs w:val="0"/>
          <w:spacing w:val="3"/>
          <w:sz w:val="24"/>
          <w:szCs w:val="24"/>
          <w:highlight w:val="none"/>
        </w:rPr>
      </w:pPr>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rPr>
        <w:t>PVC</w:t>
      </w:r>
      <w:r>
        <w:rPr>
          <w:rFonts w:hint="eastAsia" w:ascii="宋体" w:hAnsi="宋体" w:eastAsia="宋体" w:cs="宋体"/>
          <w:b/>
          <w:bCs/>
          <w:spacing w:val="3"/>
          <w:sz w:val="24"/>
          <w:szCs w:val="24"/>
          <w:highlight w:val="none"/>
        </w:rPr>
        <w:t>排水管材及管件技术标准</w:t>
      </w:r>
    </w:p>
    <w:p w14:paraId="4206D8E2">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right="0" w:rightChars="0" w:firstLine="508" w:firstLineChars="200"/>
        <w:textAlignment w:val="baseline"/>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pacing w:val="7"/>
          <w:sz w:val="24"/>
          <w:szCs w:val="24"/>
          <w:highlight w:val="none"/>
          <w:lang w:val="en-US" w:eastAsia="zh-CN"/>
        </w:rPr>
        <w:t>1</w:t>
      </w: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pacing w:val="7"/>
          <w:sz w:val="24"/>
          <w:szCs w:val="24"/>
          <w:highlight w:val="none"/>
        </w:rPr>
        <w:t>标准</w:t>
      </w: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z w:val="24"/>
          <w:szCs w:val="24"/>
          <w:highlight w:val="none"/>
        </w:rPr>
        <w:t xml:space="preserve">PVC-U 排水管按照国家标准GB/T5836.1-2018 </w:t>
      </w:r>
      <w:r>
        <w:rPr>
          <w:rFonts w:hint="eastAsia" w:ascii="宋体" w:hAnsi="宋体" w:eastAsia="宋体" w:cs="宋体"/>
          <w:b w:val="0"/>
          <w:bCs w:val="0"/>
          <w:spacing w:val="-1"/>
          <w:sz w:val="24"/>
          <w:szCs w:val="24"/>
          <w:highlight w:val="none"/>
        </w:rPr>
        <w:t>生产和检验。</w:t>
      </w:r>
    </w:p>
    <w:p w14:paraId="44D86CA2">
      <w:pPr>
        <w:keepNext w:val="0"/>
        <w:keepLines w:val="0"/>
        <w:pageBreakBefore w:val="0"/>
        <w:widowControl/>
        <w:kinsoku w:val="0"/>
        <w:wordWrap/>
        <w:overflowPunct/>
        <w:topLinePunct w:val="0"/>
        <w:autoSpaceDE w:val="0"/>
        <w:autoSpaceDN w:val="0"/>
        <w:bidi w:val="0"/>
        <w:adjustRightInd w:val="0"/>
        <w:snapToGrid w:val="0"/>
        <w:spacing w:line="360" w:lineRule="auto"/>
        <w:ind w:right="0" w:firstLine="512" w:firstLineChars="200"/>
        <w:textAlignment w:val="baseline"/>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8"/>
          <w:sz w:val="24"/>
          <w:szCs w:val="24"/>
          <w:highlight w:val="none"/>
          <w:lang w:eastAsia="zh-CN"/>
        </w:rPr>
        <w:t>（</w:t>
      </w:r>
      <w:r>
        <w:rPr>
          <w:rFonts w:hint="eastAsia" w:ascii="宋体" w:hAnsi="宋体" w:eastAsia="宋体" w:cs="宋体"/>
          <w:b w:val="0"/>
          <w:bCs w:val="0"/>
          <w:spacing w:val="8"/>
          <w:sz w:val="24"/>
          <w:szCs w:val="24"/>
          <w:highlight w:val="none"/>
          <w:lang w:val="en-US" w:eastAsia="zh-CN"/>
        </w:rPr>
        <w:t>2</w:t>
      </w:r>
      <w:r>
        <w:rPr>
          <w:rFonts w:hint="eastAsia" w:ascii="宋体" w:hAnsi="宋体" w:eastAsia="宋体" w:cs="宋体"/>
          <w:b w:val="0"/>
          <w:bCs w:val="0"/>
          <w:spacing w:val="8"/>
          <w:sz w:val="24"/>
          <w:szCs w:val="24"/>
          <w:highlight w:val="none"/>
          <w:lang w:eastAsia="zh-CN"/>
        </w:rPr>
        <w:t>）</w:t>
      </w:r>
      <w:r>
        <w:rPr>
          <w:rFonts w:hint="eastAsia" w:ascii="宋体" w:hAnsi="宋体" w:eastAsia="宋体" w:cs="宋体"/>
          <w:b w:val="0"/>
          <w:bCs w:val="0"/>
          <w:spacing w:val="8"/>
          <w:sz w:val="24"/>
          <w:szCs w:val="24"/>
          <w:highlight w:val="none"/>
        </w:rPr>
        <w:t>颜色</w:t>
      </w:r>
      <w:r>
        <w:rPr>
          <w:rFonts w:hint="eastAsia" w:ascii="宋体" w:hAnsi="宋体" w:eastAsia="宋体" w:cs="宋体"/>
          <w:b w:val="0"/>
          <w:bCs w:val="0"/>
          <w:spacing w:val="8"/>
          <w:sz w:val="24"/>
          <w:szCs w:val="24"/>
          <w:highlight w:val="none"/>
          <w:lang w:eastAsia="zh-CN"/>
        </w:rPr>
        <w:t>：</w:t>
      </w:r>
      <w:r>
        <w:rPr>
          <w:rFonts w:hint="eastAsia" w:ascii="宋体" w:hAnsi="宋体" w:eastAsia="宋体" w:cs="宋体"/>
          <w:b w:val="0"/>
          <w:bCs w:val="0"/>
          <w:spacing w:val="-1"/>
          <w:sz w:val="24"/>
          <w:szCs w:val="24"/>
          <w:highlight w:val="none"/>
        </w:rPr>
        <w:t>管材一般为白色或灰色，其他颜色由供需双方协商确定。</w:t>
      </w:r>
    </w:p>
    <w:p w14:paraId="0D0E86BD">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宋体" w:hAnsi="宋体" w:eastAsia="宋体" w:cs="宋体"/>
          <w:b w:val="0"/>
          <w:bCs w:val="0"/>
          <w:sz w:val="24"/>
          <w:szCs w:val="24"/>
          <w:highlight w:val="none"/>
        </w:rPr>
      </w:pPr>
      <w:r>
        <w:rPr>
          <w:rFonts w:hint="eastAsia" w:ascii="宋体" w:hAnsi="宋体" w:eastAsia="宋体" w:cs="宋体"/>
          <w:b w:val="0"/>
          <w:bCs w:val="0"/>
          <w:spacing w:val="7"/>
          <w:sz w:val="24"/>
          <w:szCs w:val="24"/>
          <w:highlight w:val="none"/>
          <w:lang w:val="en-US" w:eastAsia="zh-CN"/>
        </w:rPr>
        <w:t>2</w:t>
      </w: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pacing w:val="7"/>
          <w:sz w:val="24"/>
          <w:szCs w:val="24"/>
          <w:highlight w:val="none"/>
        </w:rPr>
        <w:t>外观</w:t>
      </w:r>
      <w:r>
        <w:rPr>
          <w:rFonts w:hint="eastAsia" w:ascii="宋体" w:hAnsi="宋体" w:eastAsia="宋体" w:cs="宋体"/>
          <w:b w:val="0"/>
          <w:bCs w:val="0"/>
          <w:sz w:val="24"/>
          <w:szCs w:val="24"/>
          <w:highlight w:val="none"/>
          <w:lang w:eastAsia="zh-CN"/>
        </w:rPr>
        <w:t>：</w:t>
      </w:r>
      <w:r>
        <w:rPr>
          <w:rFonts w:hint="eastAsia" w:ascii="宋体" w:hAnsi="宋体" w:eastAsia="宋体" w:cs="宋体"/>
          <w:b w:val="0"/>
          <w:bCs w:val="0"/>
          <w:spacing w:val="3"/>
          <w:sz w:val="24"/>
          <w:szCs w:val="24"/>
          <w:highlight w:val="none"/>
        </w:rPr>
        <w:t>管材内外壁光滑，无气泡、裂口和明显的痕纹、凹陷、色泽不均及分</w:t>
      </w:r>
      <w:r>
        <w:rPr>
          <w:rFonts w:hint="eastAsia" w:ascii="宋体" w:hAnsi="宋体" w:eastAsia="宋体" w:cs="宋体"/>
          <w:b w:val="0"/>
          <w:bCs w:val="0"/>
          <w:spacing w:val="2"/>
          <w:sz w:val="24"/>
          <w:szCs w:val="24"/>
          <w:highlight w:val="none"/>
        </w:rPr>
        <w:t>解变色线。管材</w:t>
      </w:r>
      <w:r>
        <w:rPr>
          <w:rFonts w:hint="eastAsia" w:ascii="宋体" w:hAnsi="宋体" w:eastAsia="宋体" w:cs="宋体"/>
          <w:b w:val="0"/>
          <w:bCs w:val="0"/>
          <w:spacing w:val="-2"/>
          <w:sz w:val="24"/>
          <w:szCs w:val="24"/>
          <w:highlight w:val="none"/>
        </w:rPr>
        <w:t>两端切割平整并与轴线垂直。</w:t>
      </w:r>
    </w:p>
    <w:p w14:paraId="6C9A9E7A">
      <w:pPr>
        <w:pStyle w:val="2"/>
        <w:spacing w:line="222" w:lineRule="auto"/>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2"/>
          <w:sz w:val="24"/>
          <w:szCs w:val="24"/>
          <w:highlight w:val="none"/>
          <w:lang w:val="en-US" w:eastAsia="zh-CN"/>
        </w:rPr>
        <w:t>3.</w:t>
      </w:r>
      <w:r>
        <w:rPr>
          <w:rFonts w:hint="eastAsia" w:ascii="宋体" w:hAnsi="宋体" w:eastAsia="宋体" w:cs="宋体"/>
          <w:b w:val="0"/>
          <w:bCs w:val="0"/>
          <w:spacing w:val="2"/>
          <w:sz w:val="24"/>
          <w:szCs w:val="24"/>
          <w:highlight w:val="none"/>
        </w:rPr>
        <w:t>规格尺寸</w:t>
      </w:r>
    </w:p>
    <w:p w14:paraId="5EA25E59">
      <w:pPr>
        <w:pStyle w:val="2"/>
        <w:spacing w:before="174" w:line="221" w:lineRule="auto"/>
        <w:ind w:left="14"/>
        <w:rPr>
          <w:rFonts w:hint="eastAsia" w:ascii="宋体" w:hAnsi="宋体" w:eastAsia="宋体" w:cs="宋体"/>
          <w:b w:val="0"/>
          <w:bCs w:val="0"/>
          <w:sz w:val="24"/>
          <w:szCs w:val="24"/>
          <w:highlight w:val="none"/>
        </w:rPr>
      </w:pPr>
      <w:r>
        <w:rPr>
          <w:rFonts w:hint="eastAsia" w:ascii="宋体" w:hAnsi="宋体" w:eastAsia="宋体" w:cs="宋体"/>
          <w:b w:val="0"/>
          <w:bCs w:val="0"/>
          <w:spacing w:val="-3"/>
          <w:sz w:val="24"/>
          <w:szCs w:val="24"/>
          <w:highlight w:val="none"/>
          <w:lang w:eastAsia="zh-CN"/>
        </w:rPr>
        <w:t>（</w:t>
      </w:r>
      <w:r>
        <w:rPr>
          <w:rFonts w:hint="eastAsia" w:ascii="宋体" w:hAnsi="宋体" w:eastAsia="宋体" w:cs="宋体"/>
          <w:b w:val="0"/>
          <w:bCs w:val="0"/>
          <w:spacing w:val="-3"/>
          <w:sz w:val="24"/>
          <w:szCs w:val="24"/>
          <w:highlight w:val="none"/>
          <w:lang w:val="en-US" w:eastAsia="zh-CN"/>
        </w:rPr>
        <w:t>1</w:t>
      </w:r>
      <w:r>
        <w:rPr>
          <w:rFonts w:hint="eastAsia" w:ascii="宋体" w:hAnsi="宋体" w:eastAsia="宋体" w:cs="宋体"/>
          <w:b w:val="0"/>
          <w:bCs w:val="0"/>
          <w:spacing w:val="-3"/>
          <w:sz w:val="24"/>
          <w:szCs w:val="24"/>
          <w:highlight w:val="none"/>
          <w:lang w:eastAsia="zh-CN"/>
        </w:rPr>
        <w:t>）</w:t>
      </w:r>
      <w:r>
        <w:rPr>
          <w:rFonts w:hint="eastAsia" w:ascii="宋体" w:hAnsi="宋体" w:eastAsia="宋体" w:cs="宋体"/>
          <w:b w:val="0"/>
          <w:bCs w:val="0"/>
          <w:spacing w:val="-3"/>
          <w:sz w:val="24"/>
          <w:szCs w:val="24"/>
          <w:highlight w:val="none"/>
        </w:rPr>
        <w:t>PVC-U</w:t>
      </w:r>
      <w:r>
        <w:rPr>
          <w:rFonts w:hint="eastAsia" w:ascii="宋体" w:hAnsi="宋体" w:eastAsia="宋体" w:cs="宋体"/>
          <w:b w:val="0"/>
          <w:bCs w:val="0"/>
          <w:spacing w:val="-33"/>
          <w:sz w:val="24"/>
          <w:szCs w:val="24"/>
          <w:highlight w:val="none"/>
        </w:rPr>
        <w:t xml:space="preserve"> </w:t>
      </w:r>
      <w:r>
        <w:rPr>
          <w:rFonts w:hint="eastAsia" w:ascii="宋体" w:hAnsi="宋体" w:eastAsia="宋体" w:cs="宋体"/>
          <w:b w:val="0"/>
          <w:bCs w:val="0"/>
          <w:spacing w:val="-3"/>
          <w:sz w:val="24"/>
          <w:szCs w:val="24"/>
          <w:highlight w:val="none"/>
        </w:rPr>
        <w:t>排水管符合以下规格尺寸：</w:t>
      </w:r>
    </w:p>
    <w:p w14:paraId="5EE09107">
      <w:pPr>
        <w:spacing w:line="64" w:lineRule="exact"/>
        <w:rPr>
          <w:rFonts w:hint="eastAsia" w:ascii="宋体" w:hAnsi="宋体" w:eastAsia="宋体" w:cs="宋体"/>
          <w:sz w:val="24"/>
          <w:szCs w:val="24"/>
          <w:highlight w:val="none"/>
        </w:rPr>
      </w:pPr>
    </w:p>
    <w:tbl>
      <w:tblPr>
        <w:tblStyle w:val="11"/>
        <w:tblW w:w="9039" w:type="dxa"/>
        <w:tblInd w:w="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73"/>
        <w:gridCol w:w="1768"/>
        <w:gridCol w:w="1758"/>
        <w:gridCol w:w="1369"/>
        <w:gridCol w:w="1378"/>
        <w:gridCol w:w="1393"/>
      </w:tblGrid>
      <w:tr w14:paraId="494319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4" w:hRule="atLeast"/>
        </w:trPr>
        <w:tc>
          <w:tcPr>
            <w:tcW w:w="1373" w:type="dxa"/>
            <w:vMerge w:val="restart"/>
            <w:tcBorders>
              <w:bottom w:val="nil"/>
            </w:tcBorders>
            <w:noWrap w:val="0"/>
            <w:vAlign w:val="top"/>
          </w:tcPr>
          <w:p w14:paraId="265B0C1D">
            <w:pPr>
              <w:spacing w:line="305" w:lineRule="auto"/>
              <w:rPr>
                <w:rFonts w:hint="eastAsia" w:ascii="宋体" w:hAnsi="宋体" w:eastAsia="宋体" w:cs="宋体"/>
                <w:sz w:val="24"/>
                <w:szCs w:val="24"/>
                <w:highlight w:val="none"/>
              </w:rPr>
            </w:pPr>
          </w:p>
          <w:p w14:paraId="3D9DED7C">
            <w:pPr>
              <w:pStyle w:val="12"/>
              <w:spacing w:before="78" w:line="219" w:lineRule="auto"/>
              <w:ind w:left="194"/>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公称外径</w:t>
            </w:r>
          </w:p>
        </w:tc>
        <w:tc>
          <w:tcPr>
            <w:tcW w:w="3526" w:type="dxa"/>
            <w:gridSpan w:val="2"/>
            <w:noWrap w:val="0"/>
            <w:vAlign w:val="top"/>
          </w:tcPr>
          <w:p w14:paraId="6AACB2EA">
            <w:pPr>
              <w:pStyle w:val="12"/>
              <w:spacing w:before="135" w:line="219" w:lineRule="auto"/>
              <w:ind w:left="1301"/>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平均外径</w:t>
            </w:r>
          </w:p>
        </w:tc>
        <w:tc>
          <w:tcPr>
            <w:tcW w:w="2747" w:type="dxa"/>
            <w:gridSpan w:val="2"/>
            <w:noWrap w:val="0"/>
            <w:vAlign w:val="top"/>
          </w:tcPr>
          <w:p w14:paraId="5C87BE2E">
            <w:pPr>
              <w:pStyle w:val="12"/>
              <w:spacing w:before="138" w:line="221" w:lineRule="auto"/>
              <w:ind w:left="1135"/>
              <w:rPr>
                <w:rFonts w:hint="eastAsia" w:ascii="宋体" w:hAnsi="宋体" w:eastAsia="宋体" w:cs="宋体"/>
                <w:sz w:val="24"/>
                <w:szCs w:val="24"/>
                <w:highlight w:val="none"/>
              </w:rPr>
            </w:pPr>
            <w:r>
              <w:rPr>
                <w:rFonts w:hint="eastAsia" w:ascii="宋体" w:hAnsi="宋体" w:eastAsia="宋体" w:cs="宋体"/>
                <w:spacing w:val="6"/>
                <w:sz w:val="24"/>
                <w:szCs w:val="24"/>
                <w:highlight w:val="none"/>
              </w:rPr>
              <w:t>壁厚</w:t>
            </w:r>
          </w:p>
        </w:tc>
        <w:tc>
          <w:tcPr>
            <w:tcW w:w="1393" w:type="dxa"/>
            <w:vMerge w:val="restart"/>
            <w:tcBorders>
              <w:bottom w:val="nil"/>
            </w:tcBorders>
            <w:noWrap w:val="0"/>
            <w:vAlign w:val="top"/>
          </w:tcPr>
          <w:p w14:paraId="70CA4C66">
            <w:pPr>
              <w:spacing w:line="305" w:lineRule="auto"/>
              <w:rPr>
                <w:rFonts w:hint="eastAsia" w:ascii="宋体" w:hAnsi="宋体" w:eastAsia="宋体" w:cs="宋体"/>
                <w:sz w:val="24"/>
                <w:szCs w:val="24"/>
                <w:highlight w:val="none"/>
              </w:rPr>
            </w:pPr>
          </w:p>
          <w:p w14:paraId="5AA57FB5">
            <w:pPr>
              <w:pStyle w:val="12"/>
              <w:spacing w:before="78" w:line="220" w:lineRule="auto"/>
              <w:ind w:left="329"/>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不圆度</w:t>
            </w:r>
          </w:p>
        </w:tc>
      </w:tr>
      <w:tr w14:paraId="3323CD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vMerge w:val="continue"/>
            <w:tcBorders>
              <w:top w:val="nil"/>
            </w:tcBorders>
            <w:noWrap w:val="0"/>
            <w:vAlign w:val="top"/>
          </w:tcPr>
          <w:p w14:paraId="699BAA76">
            <w:pPr>
              <w:rPr>
                <w:rFonts w:hint="eastAsia" w:ascii="宋体" w:hAnsi="宋体" w:eastAsia="宋体" w:cs="宋体"/>
                <w:sz w:val="24"/>
                <w:szCs w:val="24"/>
                <w:highlight w:val="none"/>
              </w:rPr>
            </w:pPr>
          </w:p>
        </w:tc>
        <w:tc>
          <w:tcPr>
            <w:tcW w:w="1768" w:type="dxa"/>
            <w:noWrap w:val="0"/>
            <w:vAlign w:val="top"/>
          </w:tcPr>
          <w:p w14:paraId="1F355439">
            <w:pPr>
              <w:pStyle w:val="12"/>
              <w:spacing w:before="130" w:line="219" w:lineRule="auto"/>
              <w:ind w:left="151"/>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最小平均外径</w:t>
            </w:r>
          </w:p>
        </w:tc>
        <w:tc>
          <w:tcPr>
            <w:tcW w:w="1758" w:type="dxa"/>
            <w:noWrap w:val="0"/>
            <w:vAlign w:val="top"/>
          </w:tcPr>
          <w:p w14:paraId="243D5FB9">
            <w:pPr>
              <w:pStyle w:val="12"/>
              <w:spacing w:before="130" w:line="219" w:lineRule="auto"/>
              <w:ind w:left="153"/>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最大平均外径</w:t>
            </w:r>
          </w:p>
        </w:tc>
        <w:tc>
          <w:tcPr>
            <w:tcW w:w="1369" w:type="dxa"/>
            <w:noWrap w:val="0"/>
            <w:vAlign w:val="top"/>
          </w:tcPr>
          <w:p w14:paraId="24BD61F7">
            <w:pPr>
              <w:pStyle w:val="12"/>
              <w:spacing w:before="134" w:line="221" w:lineRule="auto"/>
              <w:ind w:left="1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公称壁厚</w:t>
            </w:r>
          </w:p>
        </w:tc>
        <w:tc>
          <w:tcPr>
            <w:tcW w:w="1378" w:type="dxa"/>
            <w:noWrap w:val="0"/>
            <w:vAlign w:val="top"/>
          </w:tcPr>
          <w:p w14:paraId="2738B6A0">
            <w:pPr>
              <w:pStyle w:val="12"/>
              <w:spacing w:before="130" w:line="219" w:lineRule="auto"/>
              <w:ind w:left="207"/>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允许偏差</w:t>
            </w:r>
          </w:p>
        </w:tc>
        <w:tc>
          <w:tcPr>
            <w:tcW w:w="1393" w:type="dxa"/>
            <w:vMerge w:val="continue"/>
            <w:tcBorders>
              <w:top w:val="nil"/>
            </w:tcBorders>
            <w:noWrap w:val="0"/>
            <w:vAlign w:val="top"/>
          </w:tcPr>
          <w:p w14:paraId="7A1CF711">
            <w:pPr>
              <w:rPr>
                <w:rFonts w:hint="eastAsia" w:ascii="宋体" w:hAnsi="宋体" w:eastAsia="宋体" w:cs="宋体"/>
                <w:sz w:val="24"/>
                <w:szCs w:val="24"/>
                <w:highlight w:val="none"/>
              </w:rPr>
            </w:pPr>
          </w:p>
        </w:tc>
      </w:tr>
      <w:tr w14:paraId="3A19A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02ADA017">
            <w:pPr>
              <w:pStyle w:val="12"/>
              <w:spacing w:before="155"/>
              <w:ind w:left="55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32</w:t>
            </w:r>
          </w:p>
        </w:tc>
        <w:tc>
          <w:tcPr>
            <w:tcW w:w="1768" w:type="dxa"/>
            <w:noWrap w:val="0"/>
            <w:vAlign w:val="top"/>
          </w:tcPr>
          <w:p w14:paraId="4F91706E">
            <w:pPr>
              <w:pStyle w:val="12"/>
              <w:spacing w:before="155" w:line="239" w:lineRule="auto"/>
              <w:ind w:left="632"/>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32.0</w:t>
            </w:r>
          </w:p>
        </w:tc>
        <w:tc>
          <w:tcPr>
            <w:tcW w:w="1758" w:type="dxa"/>
            <w:noWrap w:val="0"/>
            <w:vAlign w:val="top"/>
          </w:tcPr>
          <w:p w14:paraId="084D2212">
            <w:pPr>
              <w:pStyle w:val="12"/>
              <w:spacing w:before="155" w:line="239" w:lineRule="auto"/>
              <w:ind w:left="633"/>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32.2</w:t>
            </w:r>
          </w:p>
        </w:tc>
        <w:tc>
          <w:tcPr>
            <w:tcW w:w="1369" w:type="dxa"/>
            <w:noWrap w:val="0"/>
            <w:vAlign w:val="top"/>
          </w:tcPr>
          <w:p w14:paraId="2AD012D1">
            <w:pPr>
              <w:pStyle w:val="12"/>
              <w:spacing w:before="155" w:line="239" w:lineRule="auto"/>
              <w:ind w:left="4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2.0</w:t>
            </w:r>
          </w:p>
        </w:tc>
        <w:tc>
          <w:tcPr>
            <w:tcW w:w="1378" w:type="dxa"/>
            <w:noWrap w:val="0"/>
            <w:vAlign w:val="top"/>
          </w:tcPr>
          <w:p w14:paraId="4FD095AD">
            <w:pPr>
              <w:pStyle w:val="12"/>
              <w:spacing w:before="155"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+0.4</w:t>
            </w:r>
          </w:p>
        </w:tc>
        <w:tc>
          <w:tcPr>
            <w:tcW w:w="1393" w:type="dxa"/>
            <w:noWrap w:val="0"/>
            <w:vAlign w:val="top"/>
          </w:tcPr>
          <w:p w14:paraId="4A8660AE">
            <w:pPr>
              <w:pStyle w:val="12"/>
              <w:spacing w:before="153"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≤0.8</w:t>
            </w:r>
          </w:p>
        </w:tc>
      </w:tr>
      <w:tr w14:paraId="26D474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29BE83A9">
            <w:pPr>
              <w:pStyle w:val="12"/>
              <w:spacing w:before="156"/>
              <w:ind w:left="55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40</w:t>
            </w:r>
          </w:p>
        </w:tc>
        <w:tc>
          <w:tcPr>
            <w:tcW w:w="1768" w:type="dxa"/>
            <w:noWrap w:val="0"/>
            <w:vAlign w:val="top"/>
          </w:tcPr>
          <w:p w14:paraId="4194C3B3">
            <w:pPr>
              <w:pStyle w:val="12"/>
              <w:spacing w:before="156" w:line="239" w:lineRule="auto"/>
              <w:ind w:left="632"/>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40.0</w:t>
            </w:r>
          </w:p>
        </w:tc>
        <w:tc>
          <w:tcPr>
            <w:tcW w:w="1758" w:type="dxa"/>
            <w:noWrap w:val="0"/>
            <w:vAlign w:val="top"/>
          </w:tcPr>
          <w:p w14:paraId="2C486ECA">
            <w:pPr>
              <w:pStyle w:val="12"/>
              <w:spacing w:before="156" w:line="239" w:lineRule="auto"/>
              <w:ind w:left="633"/>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40.2</w:t>
            </w:r>
          </w:p>
        </w:tc>
        <w:tc>
          <w:tcPr>
            <w:tcW w:w="1369" w:type="dxa"/>
            <w:noWrap w:val="0"/>
            <w:vAlign w:val="top"/>
          </w:tcPr>
          <w:p w14:paraId="68A9619E">
            <w:pPr>
              <w:pStyle w:val="12"/>
              <w:spacing w:before="156" w:line="239" w:lineRule="auto"/>
              <w:ind w:left="4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2.0</w:t>
            </w:r>
          </w:p>
        </w:tc>
        <w:tc>
          <w:tcPr>
            <w:tcW w:w="1378" w:type="dxa"/>
            <w:noWrap w:val="0"/>
            <w:vAlign w:val="top"/>
          </w:tcPr>
          <w:p w14:paraId="19F68916">
            <w:pPr>
              <w:pStyle w:val="12"/>
              <w:spacing w:before="156"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+0.4</w:t>
            </w:r>
          </w:p>
        </w:tc>
        <w:tc>
          <w:tcPr>
            <w:tcW w:w="1393" w:type="dxa"/>
            <w:noWrap w:val="0"/>
            <w:vAlign w:val="top"/>
          </w:tcPr>
          <w:p w14:paraId="15CDF20F">
            <w:pPr>
              <w:pStyle w:val="12"/>
              <w:spacing w:before="154"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≤1.0</w:t>
            </w:r>
          </w:p>
        </w:tc>
      </w:tr>
      <w:tr w14:paraId="17755F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0E74BCDD">
            <w:pPr>
              <w:pStyle w:val="12"/>
              <w:spacing w:before="157"/>
              <w:ind w:left="55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50</w:t>
            </w:r>
          </w:p>
        </w:tc>
        <w:tc>
          <w:tcPr>
            <w:tcW w:w="1768" w:type="dxa"/>
            <w:noWrap w:val="0"/>
            <w:vAlign w:val="top"/>
          </w:tcPr>
          <w:p w14:paraId="64882DF3">
            <w:pPr>
              <w:pStyle w:val="12"/>
              <w:spacing w:before="157" w:line="239" w:lineRule="auto"/>
              <w:ind w:left="632"/>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50.0</w:t>
            </w:r>
          </w:p>
        </w:tc>
        <w:tc>
          <w:tcPr>
            <w:tcW w:w="1758" w:type="dxa"/>
            <w:noWrap w:val="0"/>
            <w:vAlign w:val="top"/>
          </w:tcPr>
          <w:p w14:paraId="24B9086E">
            <w:pPr>
              <w:pStyle w:val="12"/>
              <w:spacing w:before="157" w:line="239" w:lineRule="auto"/>
              <w:ind w:left="633"/>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50.2</w:t>
            </w:r>
          </w:p>
        </w:tc>
        <w:tc>
          <w:tcPr>
            <w:tcW w:w="1369" w:type="dxa"/>
            <w:noWrap w:val="0"/>
            <w:vAlign w:val="top"/>
          </w:tcPr>
          <w:p w14:paraId="19D89B87">
            <w:pPr>
              <w:pStyle w:val="12"/>
              <w:spacing w:before="157" w:line="239" w:lineRule="auto"/>
              <w:ind w:left="4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2.0</w:t>
            </w:r>
          </w:p>
        </w:tc>
        <w:tc>
          <w:tcPr>
            <w:tcW w:w="1378" w:type="dxa"/>
            <w:noWrap w:val="0"/>
            <w:vAlign w:val="top"/>
          </w:tcPr>
          <w:p w14:paraId="253624C4">
            <w:pPr>
              <w:pStyle w:val="12"/>
              <w:spacing w:before="157"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+0.4</w:t>
            </w:r>
          </w:p>
        </w:tc>
        <w:tc>
          <w:tcPr>
            <w:tcW w:w="1393" w:type="dxa"/>
            <w:noWrap w:val="0"/>
            <w:vAlign w:val="top"/>
          </w:tcPr>
          <w:p w14:paraId="0F29C5D6">
            <w:pPr>
              <w:pStyle w:val="12"/>
              <w:spacing w:before="155"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≤1.2</w:t>
            </w:r>
          </w:p>
        </w:tc>
      </w:tr>
      <w:tr w14:paraId="4BC84C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2C23BA9F">
            <w:pPr>
              <w:pStyle w:val="12"/>
              <w:spacing w:before="158"/>
              <w:ind w:left="55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75</w:t>
            </w:r>
          </w:p>
        </w:tc>
        <w:tc>
          <w:tcPr>
            <w:tcW w:w="1768" w:type="dxa"/>
            <w:noWrap w:val="0"/>
            <w:vAlign w:val="top"/>
          </w:tcPr>
          <w:p w14:paraId="2A615AC8">
            <w:pPr>
              <w:pStyle w:val="12"/>
              <w:spacing w:before="158" w:line="239" w:lineRule="auto"/>
              <w:ind w:left="632"/>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75.0</w:t>
            </w:r>
          </w:p>
        </w:tc>
        <w:tc>
          <w:tcPr>
            <w:tcW w:w="1758" w:type="dxa"/>
            <w:noWrap w:val="0"/>
            <w:vAlign w:val="top"/>
          </w:tcPr>
          <w:p w14:paraId="6B85E81E">
            <w:pPr>
              <w:pStyle w:val="12"/>
              <w:spacing w:before="158" w:line="239" w:lineRule="auto"/>
              <w:ind w:left="633"/>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75.3</w:t>
            </w:r>
          </w:p>
        </w:tc>
        <w:tc>
          <w:tcPr>
            <w:tcW w:w="1369" w:type="dxa"/>
            <w:noWrap w:val="0"/>
            <w:vAlign w:val="top"/>
          </w:tcPr>
          <w:p w14:paraId="47991A6F">
            <w:pPr>
              <w:pStyle w:val="12"/>
              <w:spacing w:before="158" w:line="239" w:lineRule="auto"/>
              <w:ind w:left="4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2.3</w:t>
            </w:r>
          </w:p>
        </w:tc>
        <w:tc>
          <w:tcPr>
            <w:tcW w:w="1378" w:type="dxa"/>
            <w:noWrap w:val="0"/>
            <w:vAlign w:val="top"/>
          </w:tcPr>
          <w:p w14:paraId="0BBA2E2C">
            <w:pPr>
              <w:pStyle w:val="12"/>
              <w:spacing w:before="158"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+0.4</w:t>
            </w:r>
          </w:p>
        </w:tc>
        <w:tc>
          <w:tcPr>
            <w:tcW w:w="1393" w:type="dxa"/>
            <w:noWrap w:val="0"/>
            <w:vAlign w:val="top"/>
          </w:tcPr>
          <w:p w14:paraId="0028418D">
            <w:pPr>
              <w:pStyle w:val="12"/>
              <w:spacing w:before="156"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≤1.8</w:t>
            </w:r>
          </w:p>
        </w:tc>
      </w:tr>
      <w:tr w14:paraId="710B74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373" w:type="dxa"/>
            <w:noWrap w:val="0"/>
            <w:vAlign w:val="top"/>
          </w:tcPr>
          <w:p w14:paraId="030938B6">
            <w:pPr>
              <w:pStyle w:val="12"/>
              <w:spacing w:before="159"/>
              <w:ind w:left="55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90</w:t>
            </w:r>
          </w:p>
        </w:tc>
        <w:tc>
          <w:tcPr>
            <w:tcW w:w="1768" w:type="dxa"/>
            <w:noWrap w:val="0"/>
            <w:vAlign w:val="top"/>
          </w:tcPr>
          <w:p w14:paraId="770B6DA9">
            <w:pPr>
              <w:pStyle w:val="12"/>
              <w:spacing w:before="159" w:line="239" w:lineRule="auto"/>
              <w:ind w:left="632"/>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90.0</w:t>
            </w:r>
          </w:p>
        </w:tc>
        <w:tc>
          <w:tcPr>
            <w:tcW w:w="1758" w:type="dxa"/>
            <w:noWrap w:val="0"/>
            <w:vAlign w:val="top"/>
          </w:tcPr>
          <w:p w14:paraId="3C2468EC">
            <w:pPr>
              <w:pStyle w:val="12"/>
              <w:spacing w:before="159" w:line="239" w:lineRule="auto"/>
              <w:ind w:left="633"/>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90.3</w:t>
            </w:r>
          </w:p>
        </w:tc>
        <w:tc>
          <w:tcPr>
            <w:tcW w:w="1369" w:type="dxa"/>
            <w:noWrap w:val="0"/>
            <w:vAlign w:val="top"/>
          </w:tcPr>
          <w:p w14:paraId="7BBCD9BD">
            <w:pPr>
              <w:pStyle w:val="12"/>
              <w:spacing w:before="159" w:line="239" w:lineRule="auto"/>
              <w:ind w:left="49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3.0</w:t>
            </w:r>
          </w:p>
        </w:tc>
        <w:tc>
          <w:tcPr>
            <w:tcW w:w="1378" w:type="dxa"/>
            <w:noWrap w:val="0"/>
            <w:vAlign w:val="top"/>
          </w:tcPr>
          <w:p w14:paraId="1971666C">
            <w:pPr>
              <w:pStyle w:val="12"/>
              <w:spacing w:before="159"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+0.5</w:t>
            </w:r>
          </w:p>
        </w:tc>
        <w:tc>
          <w:tcPr>
            <w:tcW w:w="1393" w:type="dxa"/>
            <w:noWrap w:val="0"/>
            <w:vAlign w:val="top"/>
          </w:tcPr>
          <w:p w14:paraId="4F8DE85C">
            <w:pPr>
              <w:pStyle w:val="12"/>
              <w:spacing w:before="157"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≤2.2</w:t>
            </w:r>
          </w:p>
        </w:tc>
      </w:tr>
      <w:tr w14:paraId="58920A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192E97FC">
            <w:pPr>
              <w:pStyle w:val="12"/>
              <w:spacing w:before="159"/>
              <w:ind w:left="494"/>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110</w:t>
            </w:r>
          </w:p>
        </w:tc>
        <w:tc>
          <w:tcPr>
            <w:tcW w:w="1768" w:type="dxa"/>
            <w:noWrap w:val="0"/>
            <w:vAlign w:val="top"/>
          </w:tcPr>
          <w:p w14:paraId="47ED72ED">
            <w:pPr>
              <w:pStyle w:val="12"/>
              <w:spacing w:before="159" w:line="239" w:lineRule="auto"/>
              <w:ind w:left="571"/>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110.0</w:t>
            </w:r>
          </w:p>
        </w:tc>
        <w:tc>
          <w:tcPr>
            <w:tcW w:w="1758" w:type="dxa"/>
            <w:noWrap w:val="0"/>
            <w:vAlign w:val="top"/>
          </w:tcPr>
          <w:p w14:paraId="689DF0E6">
            <w:pPr>
              <w:pStyle w:val="12"/>
              <w:spacing w:before="159" w:line="239" w:lineRule="auto"/>
              <w:ind w:left="573"/>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110.3</w:t>
            </w:r>
          </w:p>
        </w:tc>
        <w:tc>
          <w:tcPr>
            <w:tcW w:w="1369" w:type="dxa"/>
            <w:noWrap w:val="0"/>
            <w:vAlign w:val="top"/>
          </w:tcPr>
          <w:p w14:paraId="092E00B5">
            <w:pPr>
              <w:pStyle w:val="12"/>
              <w:spacing w:before="159" w:line="239" w:lineRule="auto"/>
              <w:ind w:left="49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3.2</w:t>
            </w:r>
          </w:p>
        </w:tc>
        <w:tc>
          <w:tcPr>
            <w:tcW w:w="1378" w:type="dxa"/>
            <w:noWrap w:val="0"/>
            <w:vAlign w:val="top"/>
          </w:tcPr>
          <w:p w14:paraId="11341076">
            <w:pPr>
              <w:pStyle w:val="12"/>
              <w:spacing w:before="159"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+0.6</w:t>
            </w:r>
          </w:p>
        </w:tc>
        <w:tc>
          <w:tcPr>
            <w:tcW w:w="1393" w:type="dxa"/>
            <w:noWrap w:val="0"/>
            <w:vAlign w:val="top"/>
          </w:tcPr>
          <w:p w14:paraId="0E3C339A">
            <w:pPr>
              <w:pStyle w:val="12"/>
              <w:spacing w:before="157"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≤2.6</w:t>
            </w:r>
          </w:p>
        </w:tc>
      </w:tr>
      <w:tr w14:paraId="24FCF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205EB289">
            <w:pPr>
              <w:pStyle w:val="12"/>
              <w:spacing w:before="160"/>
              <w:ind w:left="494"/>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125</w:t>
            </w:r>
          </w:p>
        </w:tc>
        <w:tc>
          <w:tcPr>
            <w:tcW w:w="1768" w:type="dxa"/>
            <w:noWrap w:val="0"/>
            <w:vAlign w:val="top"/>
          </w:tcPr>
          <w:p w14:paraId="7735BE1A">
            <w:pPr>
              <w:pStyle w:val="12"/>
              <w:spacing w:before="160" w:line="239" w:lineRule="auto"/>
              <w:ind w:left="571"/>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125.0</w:t>
            </w:r>
          </w:p>
        </w:tc>
        <w:tc>
          <w:tcPr>
            <w:tcW w:w="1758" w:type="dxa"/>
            <w:noWrap w:val="0"/>
            <w:vAlign w:val="top"/>
          </w:tcPr>
          <w:p w14:paraId="3C67D90E">
            <w:pPr>
              <w:pStyle w:val="12"/>
              <w:spacing w:before="160" w:line="239" w:lineRule="auto"/>
              <w:ind w:left="573"/>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125.3</w:t>
            </w:r>
          </w:p>
        </w:tc>
        <w:tc>
          <w:tcPr>
            <w:tcW w:w="1369" w:type="dxa"/>
            <w:noWrap w:val="0"/>
            <w:vAlign w:val="top"/>
          </w:tcPr>
          <w:p w14:paraId="1B2D905D">
            <w:pPr>
              <w:pStyle w:val="12"/>
              <w:spacing w:before="160" w:line="239" w:lineRule="auto"/>
              <w:ind w:left="49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3.2</w:t>
            </w:r>
          </w:p>
        </w:tc>
        <w:tc>
          <w:tcPr>
            <w:tcW w:w="1378" w:type="dxa"/>
            <w:noWrap w:val="0"/>
            <w:vAlign w:val="top"/>
          </w:tcPr>
          <w:p w14:paraId="2A58A3B4">
            <w:pPr>
              <w:pStyle w:val="12"/>
              <w:spacing w:before="160"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+0.6</w:t>
            </w:r>
          </w:p>
        </w:tc>
        <w:tc>
          <w:tcPr>
            <w:tcW w:w="1393" w:type="dxa"/>
            <w:noWrap w:val="0"/>
            <w:vAlign w:val="top"/>
          </w:tcPr>
          <w:p w14:paraId="79533EC4">
            <w:pPr>
              <w:pStyle w:val="12"/>
              <w:spacing w:before="158"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≤3.0</w:t>
            </w:r>
          </w:p>
        </w:tc>
      </w:tr>
      <w:tr w14:paraId="613719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trPr>
        <w:tc>
          <w:tcPr>
            <w:tcW w:w="1373" w:type="dxa"/>
            <w:noWrap w:val="0"/>
            <w:vAlign w:val="top"/>
          </w:tcPr>
          <w:p w14:paraId="4DF549FB">
            <w:pPr>
              <w:pStyle w:val="12"/>
              <w:spacing w:before="161"/>
              <w:ind w:left="494"/>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160</w:t>
            </w:r>
          </w:p>
        </w:tc>
        <w:tc>
          <w:tcPr>
            <w:tcW w:w="1768" w:type="dxa"/>
            <w:noWrap w:val="0"/>
            <w:vAlign w:val="top"/>
          </w:tcPr>
          <w:p w14:paraId="007B3B34">
            <w:pPr>
              <w:pStyle w:val="12"/>
              <w:spacing w:before="161" w:line="239" w:lineRule="auto"/>
              <w:ind w:left="571"/>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160.0</w:t>
            </w:r>
          </w:p>
        </w:tc>
        <w:tc>
          <w:tcPr>
            <w:tcW w:w="1758" w:type="dxa"/>
            <w:noWrap w:val="0"/>
            <w:vAlign w:val="top"/>
          </w:tcPr>
          <w:p w14:paraId="567D6122">
            <w:pPr>
              <w:pStyle w:val="12"/>
              <w:spacing w:before="161" w:line="239" w:lineRule="auto"/>
              <w:ind w:left="573"/>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160.4</w:t>
            </w:r>
          </w:p>
        </w:tc>
        <w:tc>
          <w:tcPr>
            <w:tcW w:w="1369" w:type="dxa"/>
            <w:noWrap w:val="0"/>
            <w:vAlign w:val="top"/>
          </w:tcPr>
          <w:p w14:paraId="11213649">
            <w:pPr>
              <w:pStyle w:val="12"/>
              <w:spacing w:before="161" w:line="239" w:lineRule="auto"/>
              <w:ind w:left="495"/>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4.0</w:t>
            </w:r>
          </w:p>
        </w:tc>
        <w:tc>
          <w:tcPr>
            <w:tcW w:w="1378" w:type="dxa"/>
            <w:noWrap w:val="0"/>
            <w:vAlign w:val="top"/>
          </w:tcPr>
          <w:p w14:paraId="64AE7F0F">
            <w:pPr>
              <w:pStyle w:val="12"/>
              <w:spacing w:before="161"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+0.6</w:t>
            </w:r>
          </w:p>
        </w:tc>
        <w:tc>
          <w:tcPr>
            <w:tcW w:w="1393" w:type="dxa"/>
            <w:noWrap w:val="0"/>
            <w:vAlign w:val="top"/>
          </w:tcPr>
          <w:p w14:paraId="3945C7F1">
            <w:pPr>
              <w:pStyle w:val="12"/>
              <w:spacing w:before="159"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≤3.8</w:t>
            </w:r>
          </w:p>
        </w:tc>
      </w:tr>
      <w:tr w14:paraId="08FB4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1373" w:type="dxa"/>
            <w:noWrap w:val="0"/>
            <w:vAlign w:val="top"/>
          </w:tcPr>
          <w:p w14:paraId="448335DE">
            <w:pPr>
              <w:pStyle w:val="12"/>
              <w:spacing w:before="152"/>
              <w:ind w:left="494"/>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200</w:t>
            </w:r>
          </w:p>
        </w:tc>
        <w:tc>
          <w:tcPr>
            <w:tcW w:w="1768" w:type="dxa"/>
            <w:noWrap w:val="0"/>
            <w:vAlign w:val="top"/>
          </w:tcPr>
          <w:p w14:paraId="1DFB84B8">
            <w:pPr>
              <w:pStyle w:val="12"/>
              <w:spacing w:before="152" w:line="239" w:lineRule="auto"/>
              <w:ind w:left="571"/>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200.0</w:t>
            </w:r>
          </w:p>
        </w:tc>
        <w:tc>
          <w:tcPr>
            <w:tcW w:w="1758" w:type="dxa"/>
            <w:noWrap w:val="0"/>
            <w:vAlign w:val="top"/>
          </w:tcPr>
          <w:p w14:paraId="50B8A8C0">
            <w:pPr>
              <w:pStyle w:val="12"/>
              <w:spacing w:before="152" w:line="239" w:lineRule="auto"/>
              <w:ind w:left="573"/>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200.5</w:t>
            </w:r>
          </w:p>
        </w:tc>
        <w:tc>
          <w:tcPr>
            <w:tcW w:w="1369" w:type="dxa"/>
            <w:noWrap w:val="0"/>
            <w:vAlign w:val="top"/>
          </w:tcPr>
          <w:p w14:paraId="24D50AE1">
            <w:pPr>
              <w:pStyle w:val="12"/>
              <w:spacing w:before="152" w:line="239" w:lineRule="auto"/>
              <w:ind w:left="495"/>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4.9</w:t>
            </w:r>
          </w:p>
        </w:tc>
        <w:tc>
          <w:tcPr>
            <w:tcW w:w="1378" w:type="dxa"/>
            <w:noWrap w:val="0"/>
            <w:vAlign w:val="top"/>
          </w:tcPr>
          <w:p w14:paraId="16F1A5CC">
            <w:pPr>
              <w:pStyle w:val="12"/>
              <w:spacing w:before="152"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+0.7</w:t>
            </w:r>
          </w:p>
        </w:tc>
        <w:tc>
          <w:tcPr>
            <w:tcW w:w="1393" w:type="dxa"/>
            <w:noWrap w:val="0"/>
            <w:vAlign w:val="top"/>
          </w:tcPr>
          <w:p w14:paraId="4EDAD986">
            <w:pPr>
              <w:pStyle w:val="12"/>
              <w:spacing w:before="150"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≤4.8</w:t>
            </w:r>
          </w:p>
        </w:tc>
      </w:tr>
      <w:tr w14:paraId="1AC6F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373" w:type="dxa"/>
            <w:noWrap w:val="0"/>
            <w:vAlign w:val="top"/>
          </w:tcPr>
          <w:p w14:paraId="0ADB3D39">
            <w:pPr>
              <w:pStyle w:val="12"/>
              <w:spacing w:before="163"/>
              <w:ind w:left="494"/>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250</w:t>
            </w:r>
          </w:p>
        </w:tc>
        <w:tc>
          <w:tcPr>
            <w:tcW w:w="1768" w:type="dxa"/>
            <w:noWrap w:val="0"/>
            <w:vAlign w:val="top"/>
          </w:tcPr>
          <w:p w14:paraId="59FF8944">
            <w:pPr>
              <w:pStyle w:val="12"/>
              <w:spacing w:before="163" w:line="239" w:lineRule="auto"/>
              <w:ind w:left="571"/>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250.0</w:t>
            </w:r>
          </w:p>
        </w:tc>
        <w:tc>
          <w:tcPr>
            <w:tcW w:w="1758" w:type="dxa"/>
            <w:noWrap w:val="0"/>
            <w:vAlign w:val="top"/>
          </w:tcPr>
          <w:p w14:paraId="21C25F66">
            <w:pPr>
              <w:pStyle w:val="12"/>
              <w:spacing w:before="163" w:line="239" w:lineRule="auto"/>
              <w:ind w:left="573"/>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250.5</w:t>
            </w:r>
          </w:p>
        </w:tc>
        <w:tc>
          <w:tcPr>
            <w:tcW w:w="1369" w:type="dxa"/>
            <w:noWrap w:val="0"/>
            <w:vAlign w:val="top"/>
          </w:tcPr>
          <w:p w14:paraId="33304F96">
            <w:pPr>
              <w:pStyle w:val="12"/>
              <w:spacing w:before="163" w:line="239" w:lineRule="auto"/>
              <w:ind w:left="4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6.2</w:t>
            </w:r>
          </w:p>
        </w:tc>
        <w:tc>
          <w:tcPr>
            <w:tcW w:w="1378" w:type="dxa"/>
            <w:noWrap w:val="0"/>
            <w:vAlign w:val="top"/>
          </w:tcPr>
          <w:p w14:paraId="57EAB877">
            <w:pPr>
              <w:pStyle w:val="12"/>
              <w:spacing w:before="163"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+0.8</w:t>
            </w:r>
          </w:p>
        </w:tc>
        <w:tc>
          <w:tcPr>
            <w:tcW w:w="1393" w:type="dxa"/>
            <w:noWrap w:val="0"/>
            <w:vAlign w:val="top"/>
          </w:tcPr>
          <w:p w14:paraId="0FB35A25">
            <w:pPr>
              <w:pStyle w:val="12"/>
              <w:spacing w:before="161"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≤6.0</w:t>
            </w:r>
          </w:p>
        </w:tc>
      </w:tr>
      <w:tr w14:paraId="56CD7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373" w:type="dxa"/>
            <w:noWrap w:val="0"/>
            <w:vAlign w:val="top"/>
          </w:tcPr>
          <w:p w14:paraId="0F8D5B0D">
            <w:pPr>
              <w:pStyle w:val="12"/>
              <w:spacing w:before="163"/>
              <w:ind w:left="494"/>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315</w:t>
            </w:r>
          </w:p>
        </w:tc>
        <w:tc>
          <w:tcPr>
            <w:tcW w:w="1768" w:type="dxa"/>
            <w:noWrap w:val="0"/>
            <w:vAlign w:val="top"/>
          </w:tcPr>
          <w:p w14:paraId="2EC58E67">
            <w:pPr>
              <w:pStyle w:val="12"/>
              <w:spacing w:before="163" w:line="239" w:lineRule="auto"/>
              <w:ind w:left="571"/>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315.0</w:t>
            </w:r>
          </w:p>
        </w:tc>
        <w:tc>
          <w:tcPr>
            <w:tcW w:w="1758" w:type="dxa"/>
            <w:noWrap w:val="0"/>
            <w:vAlign w:val="top"/>
          </w:tcPr>
          <w:p w14:paraId="04CE61F0">
            <w:pPr>
              <w:pStyle w:val="12"/>
              <w:spacing w:before="163" w:line="239" w:lineRule="auto"/>
              <w:ind w:left="573"/>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315.6</w:t>
            </w:r>
          </w:p>
        </w:tc>
        <w:tc>
          <w:tcPr>
            <w:tcW w:w="1369" w:type="dxa"/>
            <w:noWrap w:val="0"/>
            <w:vAlign w:val="top"/>
          </w:tcPr>
          <w:p w14:paraId="64D99375">
            <w:pPr>
              <w:pStyle w:val="12"/>
              <w:spacing w:before="163" w:line="239" w:lineRule="auto"/>
              <w:ind w:left="495"/>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7.7</w:t>
            </w:r>
          </w:p>
        </w:tc>
        <w:tc>
          <w:tcPr>
            <w:tcW w:w="1378" w:type="dxa"/>
            <w:noWrap w:val="0"/>
            <w:vAlign w:val="top"/>
          </w:tcPr>
          <w:p w14:paraId="4CFBFFFA">
            <w:pPr>
              <w:pStyle w:val="12"/>
              <w:spacing w:before="163" w:line="239" w:lineRule="auto"/>
              <w:ind w:left="446"/>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+1.0</w:t>
            </w:r>
          </w:p>
        </w:tc>
        <w:tc>
          <w:tcPr>
            <w:tcW w:w="1393" w:type="dxa"/>
            <w:noWrap w:val="0"/>
            <w:vAlign w:val="top"/>
          </w:tcPr>
          <w:p w14:paraId="17A6F077">
            <w:pPr>
              <w:pStyle w:val="12"/>
              <w:spacing w:before="161" w:line="236" w:lineRule="auto"/>
              <w:ind w:left="388"/>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≤7.6</w:t>
            </w:r>
          </w:p>
        </w:tc>
      </w:tr>
    </w:tbl>
    <w:p w14:paraId="6C0B17BC">
      <w:pPr>
        <w:pStyle w:val="2"/>
        <w:spacing w:before="117" w:line="220" w:lineRule="auto"/>
        <w:ind w:left="18"/>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1"/>
          <w:sz w:val="24"/>
          <w:szCs w:val="24"/>
          <w:highlight w:val="none"/>
          <w:lang w:val="en-US" w:eastAsia="zh-CN"/>
        </w:rPr>
        <w:t>4.</w:t>
      </w:r>
      <w:r>
        <w:rPr>
          <w:rFonts w:hint="eastAsia" w:ascii="宋体" w:hAnsi="宋体" w:eastAsia="宋体" w:cs="宋体"/>
          <w:b w:val="0"/>
          <w:bCs w:val="0"/>
          <w:spacing w:val="1"/>
          <w:sz w:val="24"/>
          <w:szCs w:val="24"/>
          <w:highlight w:val="none"/>
        </w:rPr>
        <w:t>物理力学性能</w:t>
      </w:r>
    </w:p>
    <w:p w14:paraId="64AD24DF">
      <w:pPr>
        <w:spacing w:line="59" w:lineRule="exact"/>
        <w:rPr>
          <w:rFonts w:hint="eastAsia" w:ascii="宋体" w:hAnsi="宋体" w:eastAsia="宋体" w:cs="宋体"/>
          <w:sz w:val="24"/>
          <w:szCs w:val="24"/>
          <w:highlight w:val="none"/>
        </w:rPr>
      </w:pPr>
    </w:p>
    <w:tbl>
      <w:tblPr>
        <w:tblStyle w:val="11"/>
        <w:tblW w:w="866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379"/>
        <w:gridCol w:w="4290"/>
      </w:tblGrid>
      <w:tr w14:paraId="57B76B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4379" w:type="dxa"/>
            <w:noWrap w:val="0"/>
            <w:vAlign w:val="top"/>
          </w:tcPr>
          <w:p w14:paraId="0B6124E1">
            <w:pPr>
              <w:pStyle w:val="12"/>
              <w:spacing w:before="165" w:line="220" w:lineRule="auto"/>
              <w:ind w:left="1944"/>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项 目</w:t>
            </w:r>
          </w:p>
        </w:tc>
        <w:tc>
          <w:tcPr>
            <w:tcW w:w="4290" w:type="dxa"/>
            <w:noWrap w:val="0"/>
            <w:vAlign w:val="top"/>
          </w:tcPr>
          <w:p w14:paraId="1FA543BB">
            <w:pPr>
              <w:pStyle w:val="12"/>
              <w:spacing w:before="166" w:line="221" w:lineRule="auto"/>
              <w:ind w:left="1895"/>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要求</w:t>
            </w:r>
          </w:p>
        </w:tc>
      </w:tr>
      <w:tr w14:paraId="2710D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4379" w:type="dxa"/>
            <w:noWrap w:val="0"/>
            <w:vAlign w:val="top"/>
          </w:tcPr>
          <w:p w14:paraId="35DF53FF">
            <w:pPr>
              <w:pStyle w:val="12"/>
              <w:spacing w:before="153" w:line="214" w:lineRule="auto"/>
              <w:ind w:left="1404"/>
              <w:rPr>
                <w:rFonts w:hint="eastAsia" w:ascii="宋体" w:hAnsi="宋体" w:eastAsia="宋体" w:cs="宋体"/>
                <w:sz w:val="24"/>
                <w:szCs w:val="24"/>
                <w:highlight w:val="none"/>
              </w:rPr>
            </w:pPr>
            <w:r>
              <w:rPr>
                <w:rFonts w:hint="eastAsia" w:ascii="宋体" w:hAnsi="宋体" w:eastAsia="宋体" w:cs="宋体"/>
                <w:spacing w:val="21"/>
                <w:sz w:val="24"/>
                <w:szCs w:val="24"/>
                <w:highlight w:val="none"/>
              </w:rPr>
              <w:t>密度/(</w:t>
            </w:r>
            <w:r>
              <w:rPr>
                <w:rFonts w:hint="eastAsia" w:ascii="宋体" w:hAnsi="宋体" w:eastAsia="宋体" w:cs="宋体"/>
                <w:sz w:val="24"/>
                <w:szCs w:val="24"/>
                <w:highlight w:val="none"/>
              </w:rPr>
              <w:t>kg</w:t>
            </w:r>
            <w:r>
              <w:rPr>
                <w:rFonts w:hint="eastAsia" w:ascii="宋体" w:hAnsi="宋体" w:eastAsia="宋体" w:cs="宋体"/>
                <w:spacing w:val="21"/>
                <w:sz w:val="24"/>
                <w:szCs w:val="24"/>
                <w:highlight w:val="none"/>
              </w:rPr>
              <w:t>/m³)</w:t>
            </w:r>
          </w:p>
        </w:tc>
        <w:tc>
          <w:tcPr>
            <w:tcW w:w="4290" w:type="dxa"/>
            <w:noWrap w:val="0"/>
            <w:vAlign w:val="top"/>
          </w:tcPr>
          <w:p w14:paraId="0FE3541C">
            <w:pPr>
              <w:pStyle w:val="12"/>
              <w:spacing w:before="185"/>
              <w:ind w:left="1595"/>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1350~1550</w:t>
            </w:r>
          </w:p>
        </w:tc>
      </w:tr>
      <w:tr w14:paraId="32B1A8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8" w:hRule="atLeast"/>
        </w:trPr>
        <w:tc>
          <w:tcPr>
            <w:tcW w:w="4379" w:type="dxa"/>
            <w:noWrap w:val="0"/>
            <w:vAlign w:val="top"/>
          </w:tcPr>
          <w:p w14:paraId="4D7DD709">
            <w:pPr>
              <w:pStyle w:val="12"/>
              <w:spacing w:before="163" w:line="220" w:lineRule="auto"/>
              <w:ind w:left="1284"/>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维卡软化温度/℃</w:t>
            </w:r>
          </w:p>
        </w:tc>
        <w:tc>
          <w:tcPr>
            <w:tcW w:w="4290" w:type="dxa"/>
            <w:noWrap w:val="0"/>
            <w:vAlign w:val="top"/>
          </w:tcPr>
          <w:p w14:paraId="1F2410A1">
            <w:pPr>
              <w:pStyle w:val="12"/>
              <w:spacing w:before="186" w:line="237" w:lineRule="auto"/>
              <w:ind w:left="1895"/>
              <w:rPr>
                <w:rFonts w:hint="eastAsia" w:ascii="宋体" w:hAnsi="宋体" w:eastAsia="宋体" w:cs="宋体"/>
                <w:sz w:val="24"/>
                <w:szCs w:val="24"/>
                <w:highlight w:val="none"/>
              </w:rPr>
            </w:pPr>
            <w:r>
              <w:rPr>
                <w:rFonts w:hint="eastAsia" w:ascii="宋体" w:hAnsi="宋体" w:eastAsia="宋体" w:cs="宋体"/>
                <w:spacing w:val="-9"/>
                <w:sz w:val="24"/>
                <w:szCs w:val="24"/>
                <w:highlight w:val="none"/>
              </w:rPr>
              <w:t>≥79</w:t>
            </w:r>
          </w:p>
        </w:tc>
      </w:tr>
      <w:tr w14:paraId="01E35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8" w:hRule="atLeast"/>
        </w:trPr>
        <w:tc>
          <w:tcPr>
            <w:tcW w:w="4379" w:type="dxa"/>
            <w:noWrap w:val="0"/>
            <w:vAlign w:val="top"/>
          </w:tcPr>
          <w:p w14:paraId="25CF2E38">
            <w:pPr>
              <w:pStyle w:val="12"/>
              <w:spacing w:before="163" w:line="219" w:lineRule="auto"/>
              <w:jc w:val="center"/>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纵向回缩率</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150℃，1h</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rPr>
              <w:t>/%</w:t>
            </w:r>
          </w:p>
        </w:tc>
        <w:tc>
          <w:tcPr>
            <w:tcW w:w="4290" w:type="dxa"/>
            <w:noWrap w:val="0"/>
            <w:vAlign w:val="top"/>
          </w:tcPr>
          <w:p w14:paraId="674CC341">
            <w:pPr>
              <w:pStyle w:val="12"/>
              <w:spacing w:before="186" w:line="236" w:lineRule="auto"/>
              <w:ind w:left="1955"/>
              <w:rPr>
                <w:rFonts w:hint="eastAsia" w:ascii="宋体" w:hAnsi="宋体" w:eastAsia="宋体" w:cs="宋体"/>
                <w:sz w:val="24"/>
                <w:szCs w:val="24"/>
                <w:highlight w:val="none"/>
              </w:rPr>
            </w:pPr>
            <w:r>
              <w:rPr>
                <w:rFonts w:hint="eastAsia" w:ascii="宋体" w:hAnsi="宋体" w:eastAsia="宋体" w:cs="宋体"/>
                <w:spacing w:val="-9"/>
                <w:sz w:val="24"/>
                <w:szCs w:val="24"/>
                <w:highlight w:val="none"/>
              </w:rPr>
              <w:t>≤5</w:t>
            </w:r>
          </w:p>
        </w:tc>
      </w:tr>
      <w:tr w14:paraId="58DDC3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9" w:hRule="atLeast"/>
        </w:trPr>
        <w:tc>
          <w:tcPr>
            <w:tcW w:w="4379" w:type="dxa"/>
            <w:noWrap w:val="0"/>
            <w:vAlign w:val="top"/>
          </w:tcPr>
          <w:p w14:paraId="631EF1BC">
            <w:pPr>
              <w:pStyle w:val="12"/>
              <w:spacing w:before="167" w:line="219" w:lineRule="auto"/>
              <w:ind w:left="1224"/>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拉伸屈服应力/MPa</w:t>
            </w:r>
          </w:p>
        </w:tc>
        <w:tc>
          <w:tcPr>
            <w:tcW w:w="4290" w:type="dxa"/>
            <w:noWrap w:val="0"/>
            <w:vAlign w:val="top"/>
          </w:tcPr>
          <w:p w14:paraId="7AFF850C">
            <w:pPr>
              <w:pStyle w:val="12"/>
              <w:spacing w:before="190" w:line="237" w:lineRule="auto"/>
              <w:ind w:left="1775"/>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≥40.0</w:t>
            </w:r>
          </w:p>
        </w:tc>
      </w:tr>
      <w:tr w14:paraId="145990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8" w:hRule="atLeast"/>
        </w:trPr>
        <w:tc>
          <w:tcPr>
            <w:tcW w:w="4379" w:type="dxa"/>
            <w:noWrap w:val="0"/>
            <w:vAlign w:val="top"/>
          </w:tcPr>
          <w:p w14:paraId="5CB66BCA">
            <w:pPr>
              <w:pStyle w:val="12"/>
              <w:spacing w:before="167" w:line="219" w:lineRule="auto"/>
              <w:ind w:left="1465"/>
              <w:rPr>
                <w:rFonts w:hint="eastAsia" w:ascii="宋体" w:hAnsi="宋体" w:eastAsia="宋体" w:cs="宋体"/>
                <w:sz w:val="24"/>
                <w:szCs w:val="24"/>
                <w:highlight w:val="none"/>
              </w:rPr>
            </w:pPr>
            <w:r>
              <w:rPr>
                <w:rFonts w:hint="eastAsia" w:ascii="宋体" w:hAnsi="宋体" w:eastAsia="宋体" w:cs="宋体"/>
                <w:sz w:val="24"/>
                <w:szCs w:val="24"/>
                <w:highlight w:val="none"/>
              </w:rPr>
              <w:t>断裂伸长率/%</w:t>
            </w:r>
          </w:p>
        </w:tc>
        <w:tc>
          <w:tcPr>
            <w:tcW w:w="4290" w:type="dxa"/>
            <w:noWrap w:val="0"/>
            <w:vAlign w:val="top"/>
          </w:tcPr>
          <w:p w14:paraId="45EF88DD">
            <w:pPr>
              <w:pStyle w:val="12"/>
              <w:spacing w:before="191" w:line="237" w:lineRule="auto"/>
              <w:ind w:left="1895"/>
              <w:rPr>
                <w:rFonts w:hint="eastAsia" w:ascii="宋体" w:hAnsi="宋体" w:eastAsia="宋体" w:cs="宋体"/>
                <w:sz w:val="24"/>
                <w:szCs w:val="24"/>
                <w:highlight w:val="none"/>
              </w:rPr>
            </w:pPr>
            <w:r>
              <w:rPr>
                <w:rFonts w:hint="eastAsia" w:ascii="宋体" w:hAnsi="宋体" w:eastAsia="宋体" w:cs="宋体"/>
                <w:spacing w:val="-9"/>
                <w:sz w:val="24"/>
                <w:szCs w:val="24"/>
                <w:highlight w:val="none"/>
              </w:rPr>
              <w:t>≥80</w:t>
            </w:r>
          </w:p>
        </w:tc>
      </w:tr>
      <w:tr w14:paraId="2A8BCD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4379" w:type="dxa"/>
            <w:noWrap w:val="0"/>
            <w:vAlign w:val="top"/>
          </w:tcPr>
          <w:p w14:paraId="3BD6EEFE">
            <w:pPr>
              <w:pStyle w:val="12"/>
              <w:spacing w:before="171" w:line="221" w:lineRule="auto"/>
              <w:ind w:left="1165"/>
              <w:rPr>
                <w:rFonts w:hint="eastAsia" w:ascii="宋体" w:hAnsi="宋体" w:eastAsia="宋体" w:cs="宋体"/>
                <w:sz w:val="24"/>
                <w:szCs w:val="24"/>
                <w:highlight w:val="none"/>
              </w:rPr>
            </w:pPr>
            <w:r>
              <w:rPr>
                <w:rFonts w:hint="eastAsia" w:ascii="宋体" w:hAnsi="宋体" w:eastAsia="宋体" w:cs="宋体"/>
                <w:spacing w:val="-1"/>
                <w:sz w:val="24"/>
                <w:szCs w:val="24"/>
                <w:highlight w:val="none"/>
              </w:rPr>
              <w:t>落锤冲击试验TIR/%</w:t>
            </w:r>
          </w:p>
        </w:tc>
        <w:tc>
          <w:tcPr>
            <w:tcW w:w="4290" w:type="dxa"/>
            <w:noWrap w:val="0"/>
            <w:vAlign w:val="top"/>
          </w:tcPr>
          <w:p w14:paraId="0F255B8C">
            <w:pPr>
              <w:pStyle w:val="12"/>
              <w:spacing w:before="191" w:line="236" w:lineRule="auto"/>
              <w:ind w:left="1895"/>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≤10</w:t>
            </w:r>
          </w:p>
        </w:tc>
      </w:tr>
    </w:tbl>
    <w:p w14:paraId="7849AE8A">
      <w:pPr>
        <w:spacing w:line="315" w:lineRule="auto"/>
        <w:rPr>
          <w:rFonts w:hint="eastAsia" w:ascii="宋体" w:hAnsi="宋体" w:eastAsia="宋体" w:cs="宋体"/>
          <w:sz w:val="24"/>
          <w:szCs w:val="24"/>
          <w:highlight w:val="none"/>
        </w:rPr>
      </w:pPr>
    </w:p>
    <w:p w14:paraId="49548443">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宋体" w:hAnsi="宋体" w:eastAsia="宋体" w:cs="宋体"/>
          <w:b w:val="0"/>
          <w:bCs w:val="0"/>
          <w:sz w:val="24"/>
          <w:szCs w:val="24"/>
          <w:highlight w:val="none"/>
        </w:rPr>
      </w:pPr>
      <w:r>
        <w:rPr>
          <w:rFonts w:hint="eastAsia" w:ascii="宋体" w:hAnsi="宋体" w:eastAsia="宋体" w:cs="宋体"/>
          <w:b w:val="0"/>
          <w:bCs w:val="0"/>
          <w:spacing w:val="2"/>
          <w:sz w:val="24"/>
          <w:szCs w:val="24"/>
          <w:highlight w:val="none"/>
          <w:lang w:val="en-US" w:eastAsia="zh-CN"/>
        </w:rPr>
        <w:t>5.</w:t>
      </w:r>
      <w:r>
        <w:rPr>
          <w:rFonts w:hint="eastAsia" w:ascii="宋体" w:hAnsi="宋体" w:eastAsia="宋体" w:cs="宋体"/>
          <w:b w:val="0"/>
          <w:bCs w:val="0"/>
          <w:spacing w:val="2"/>
          <w:sz w:val="24"/>
          <w:szCs w:val="24"/>
          <w:highlight w:val="none"/>
        </w:rPr>
        <w:t>排水用硬聚氯乙烯</w:t>
      </w:r>
      <w:r>
        <w:rPr>
          <w:rFonts w:hint="eastAsia" w:ascii="宋体" w:hAnsi="宋体" w:eastAsia="宋体" w:cs="宋体"/>
          <w:b w:val="0"/>
          <w:bCs w:val="0"/>
          <w:spacing w:val="-46"/>
          <w:sz w:val="24"/>
          <w:szCs w:val="24"/>
          <w:highlight w:val="none"/>
        </w:rPr>
        <w:t xml:space="preserve"> </w:t>
      </w:r>
      <w:r>
        <w:rPr>
          <w:rFonts w:hint="eastAsia" w:ascii="宋体" w:hAnsi="宋体" w:eastAsia="宋体" w:cs="宋体"/>
          <w:b w:val="0"/>
          <w:bCs w:val="0"/>
          <w:spacing w:val="2"/>
          <w:sz w:val="24"/>
          <w:szCs w:val="24"/>
          <w:highlight w:val="none"/>
        </w:rPr>
        <w:t>(</w:t>
      </w:r>
      <w:r>
        <w:rPr>
          <w:rFonts w:hint="eastAsia" w:ascii="宋体" w:hAnsi="宋体" w:eastAsia="宋体" w:cs="宋体"/>
          <w:b w:val="0"/>
          <w:bCs w:val="0"/>
          <w:sz w:val="24"/>
          <w:szCs w:val="24"/>
          <w:highlight w:val="none"/>
        </w:rPr>
        <w:t>PVC</w:t>
      </w:r>
      <w:r>
        <w:rPr>
          <w:rFonts w:hint="eastAsia" w:ascii="宋体" w:hAnsi="宋体" w:eastAsia="宋体" w:cs="宋体"/>
          <w:b w:val="0"/>
          <w:bCs w:val="0"/>
          <w:spacing w:val="2"/>
          <w:sz w:val="24"/>
          <w:szCs w:val="24"/>
          <w:highlight w:val="none"/>
        </w:rPr>
        <w:t>-U)管件</w:t>
      </w:r>
    </w:p>
    <w:p w14:paraId="5DD09A62">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5"/>
          <w:sz w:val="24"/>
          <w:szCs w:val="24"/>
          <w:highlight w:val="none"/>
          <w:lang w:eastAsia="zh-CN"/>
        </w:rPr>
        <w:t>（</w:t>
      </w:r>
      <w:r>
        <w:rPr>
          <w:rFonts w:hint="eastAsia" w:ascii="宋体" w:hAnsi="宋体" w:eastAsia="宋体" w:cs="宋体"/>
          <w:b w:val="0"/>
          <w:bCs w:val="0"/>
          <w:spacing w:val="5"/>
          <w:sz w:val="24"/>
          <w:szCs w:val="24"/>
          <w:highlight w:val="none"/>
          <w:lang w:val="en-US" w:eastAsia="zh-CN"/>
        </w:rPr>
        <w:t>1</w:t>
      </w:r>
      <w:r>
        <w:rPr>
          <w:rFonts w:hint="eastAsia" w:ascii="宋体" w:hAnsi="宋体" w:eastAsia="宋体" w:cs="宋体"/>
          <w:b w:val="0"/>
          <w:bCs w:val="0"/>
          <w:spacing w:val="5"/>
          <w:sz w:val="24"/>
          <w:szCs w:val="24"/>
          <w:highlight w:val="none"/>
          <w:lang w:eastAsia="zh-CN"/>
        </w:rPr>
        <w:t>）</w:t>
      </w:r>
      <w:r>
        <w:rPr>
          <w:rFonts w:hint="eastAsia" w:ascii="宋体" w:hAnsi="宋体" w:eastAsia="宋体" w:cs="宋体"/>
          <w:b w:val="0"/>
          <w:bCs w:val="0"/>
          <w:spacing w:val="5"/>
          <w:sz w:val="24"/>
          <w:szCs w:val="24"/>
          <w:highlight w:val="none"/>
        </w:rPr>
        <w:t>标准</w:t>
      </w:r>
      <w:r>
        <w:rPr>
          <w:rFonts w:hint="eastAsia" w:ascii="宋体" w:hAnsi="宋体" w:eastAsia="宋体" w:cs="宋体"/>
          <w:b w:val="0"/>
          <w:bCs w:val="0"/>
          <w:spacing w:val="5"/>
          <w:sz w:val="24"/>
          <w:szCs w:val="24"/>
          <w:highlight w:val="none"/>
          <w:lang w:eastAsia="zh-CN"/>
        </w:rPr>
        <w:t>：</w:t>
      </w:r>
      <w:r>
        <w:rPr>
          <w:rFonts w:hint="eastAsia" w:ascii="宋体" w:hAnsi="宋体" w:eastAsia="宋体" w:cs="宋体"/>
          <w:b w:val="0"/>
          <w:bCs w:val="0"/>
          <w:spacing w:val="-1"/>
          <w:sz w:val="24"/>
          <w:szCs w:val="24"/>
          <w:highlight w:val="none"/>
        </w:rPr>
        <w:t>PVC-U 排水管件按照国家标准GB/T5836.2-2018 生产和检验。</w:t>
      </w:r>
    </w:p>
    <w:p w14:paraId="47311134">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pacing w:val="7"/>
          <w:sz w:val="24"/>
          <w:szCs w:val="24"/>
          <w:highlight w:val="none"/>
          <w:lang w:val="en-US" w:eastAsia="zh-CN"/>
        </w:rPr>
        <w:t>2</w:t>
      </w: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pacing w:val="7"/>
          <w:sz w:val="24"/>
          <w:szCs w:val="24"/>
          <w:highlight w:val="none"/>
        </w:rPr>
        <w:t>颜色</w:t>
      </w:r>
      <w:r>
        <w:rPr>
          <w:rFonts w:hint="eastAsia" w:ascii="宋体" w:hAnsi="宋体" w:eastAsia="宋体" w:cs="宋体"/>
          <w:b w:val="0"/>
          <w:bCs w:val="0"/>
          <w:spacing w:val="7"/>
          <w:sz w:val="24"/>
          <w:szCs w:val="24"/>
          <w:highlight w:val="none"/>
          <w:lang w:eastAsia="zh-CN"/>
        </w:rPr>
        <w:t>：</w:t>
      </w:r>
      <w:r>
        <w:rPr>
          <w:rFonts w:hint="eastAsia" w:ascii="宋体" w:hAnsi="宋体" w:eastAsia="宋体" w:cs="宋体"/>
          <w:b w:val="0"/>
          <w:bCs w:val="0"/>
          <w:spacing w:val="-1"/>
          <w:sz w:val="24"/>
          <w:szCs w:val="24"/>
          <w:highlight w:val="none"/>
        </w:rPr>
        <w:t>管件一般为白色或灰色，其他颜色由供需双方协商确定。</w:t>
      </w:r>
    </w:p>
    <w:p w14:paraId="082F0845">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outlineLvl w:val="4"/>
        <w:rPr>
          <w:rFonts w:hint="eastAsia" w:ascii="宋体" w:hAnsi="宋体" w:eastAsia="宋体" w:cs="宋体"/>
          <w:b w:val="0"/>
          <w:bCs w:val="0"/>
          <w:sz w:val="24"/>
          <w:szCs w:val="24"/>
          <w:highlight w:val="none"/>
        </w:rPr>
      </w:pPr>
      <w:r>
        <w:rPr>
          <w:rFonts w:hint="eastAsia" w:ascii="宋体" w:hAnsi="宋体" w:eastAsia="宋体" w:cs="宋体"/>
          <w:b w:val="0"/>
          <w:bCs w:val="0"/>
          <w:spacing w:val="6"/>
          <w:sz w:val="24"/>
          <w:szCs w:val="24"/>
          <w:highlight w:val="none"/>
          <w:lang w:eastAsia="zh-CN"/>
        </w:rPr>
        <w:t>（</w:t>
      </w:r>
      <w:r>
        <w:rPr>
          <w:rFonts w:hint="eastAsia" w:ascii="宋体" w:hAnsi="宋体" w:eastAsia="宋体" w:cs="宋体"/>
          <w:b w:val="0"/>
          <w:bCs w:val="0"/>
          <w:spacing w:val="6"/>
          <w:sz w:val="24"/>
          <w:szCs w:val="24"/>
          <w:highlight w:val="none"/>
          <w:lang w:val="en-US" w:eastAsia="zh-CN"/>
        </w:rPr>
        <w:t>3</w:t>
      </w:r>
      <w:r>
        <w:rPr>
          <w:rFonts w:hint="eastAsia" w:ascii="宋体" w:hAnsi="宋体" w:eastAsia="宋体" w:cs="宋体"/>
          <w:b w:val="0"/>
          <w:bCs w:val="0"/>
          <w:spacing w:val="6"/>
          <w:sz w:val="24"/>
          <w:szCs w:val="24"/>
          <w:highlight w:val="none"/>
          <w:lang w:eastAsia="zh-CN"/>
        </w:rPr>
        <w:t>）</w:t>
      </w:r>
      <w:r>
        <w:rPr>
          <w:rFonts w:hint="eastAsia" w:ascii="宋体" w:hAnsi="宋体" w:eastAsia="宋体" w:cs="宋体"/>
          <w:b w:val="0"/>
          <w:bCs w:val="0"/>
          <w:spacing w:val="6"/>
          <w:sz w:val="24"/>
          <w:szCs w:val="24"/>
          <w:highlight w:val="none"/>
        </w:rPr>
        <w:t>外观</w:t>
      </w:r>
      <w:r>
        <w:rPr>
          <w:rFonts w:hint="eastAsia" w:ascii="宋体" w:hAnsi="宋体" w:eastAsia="宋体" w:cs="宋体"/>
          <w:b w:val="0"/>
          <w:bCs w:val="0"/>
          <w:spacing w:val="6"/>
          <w:sz w:val="24"/>
          <w:szCs w:val="24"/>
          <w:highlight w:val="none"/>
          <w:lang w:eastAsia="zh-CN"/>
        </w:rPr>
        <w:t>：</w:t>
      </w:r>
      <w:r>
        <w:rPr>
          <w:rFonts w:hint="eastAsia" w:ascii="宋体" w:hAnsi="宋体" w:eastAsia="宋体" w:cs="宋体"/>
          <w:b w:val="0"/>
          <w:bCs w:val="0"/>
          <w:spacing w:val="4"/>
          <w:sz w:val="24"/>
          <w:szCs w:val="24"/>
          <w:highlight w:val="none"/>
        </w:rPr>
        <w:t>管件内外壁光滑，无气泡、裂口和明显的痕纹、凹陷、色泽不均及分解变色线。管件</w:t>
      </w:r>
      <w:r>
        <w:rPr>
          <w:rFonts w:hint="eastAsia" w:ascii="宋体" w:hAnsi="宋体" w:eastAsia="宋体" w:cs="宋体"/>
          <w:b w:val="0"/>
          <w:bCs w:val="0"/>
          <w:spacing w:val="16"/>
          <w:sz w:val="24"/>
          <w:szCs w:val="24"/>
          <w:highlight w:val="none"/>
        </w:rPr>
        <w:t xml:space="preserve"> </w:t>
      </w:r>
      <w:r>
        <w:rPr>
          <w:rFonts w:hint="eastAsia" w:ascii="宋体" w:hAnsi="宋体" w:eastAsia="宋体" w:cs="宋体"/>
          <w:b w:val="0"/>
          <w:bCs w:val="0"/>
          <w:spacing w:val="2"/>
          <w:sz w:val="24"/>
          <w:szCs w:val="24"/>
          <w:highlight w:val="none"/>
        </w:rPr>
        <w:t>完整无缺损，浇口及溢边修除平整。</w:t>
      </w:r>
    </w:p>
    <w:p w14:paraId="78608188">
      <w:pPr>
        <w:pStyle w:val="2"/>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宋体" w:hAnsi="宋体" w:eastAsia="宋体" w:cs="宋体"/>
          <w:b w:val="0"/>
          <w:bCs w:val="0"/>
          <w:sz w:val="24"/>
          <w:szCs w:val="24"/>
          <w:highlight w:val="none"/>
        </w:rPr>
      </w:pPr>
      <w:r>
        <w:rPr>
          <w:rFonts w:hint="eastAsia" w:ascii="宋体" w:hAnsi="宋体" w:eastAsia="宋体" w:cs="宋体"/>
          <w:b w:val="0"/>
          <w:bCs w:val="0"/>
          <w:spacing w:val="4"/>
          <w:sz w:val="24"/>
          <w:szCs w:val="24"/>
          <w:highlight w:val="none"/>
          <w:lang w:eastAsia="zh-CN"/>
        </w:rPr>
        <w:t>（</w:t>
      </w:r>
      <w:r>
        <w:rPr>
          <w:rFonts w:hint="eastAsia" w:ascii="宋体" w:hAnsi="宋体" w:eastAsia="宋体" w:cs="宋体"/>
          <w:b w:val="0"/>
          <w:bCs w:val="0"/>
          <w:spacing w:val="4"/>
          <w:sz w:val="24"/>
          <w:szCs w:val="24"/>
          <w:highlight w:val="none"/>
          <w:lang w:val="en-US" w:eastAsia="zh-CN"/>
        </w:rPr>
        <w:t>4</w:t>
      </w:r>
      <w:r>
        <w:rPr>
          <w:rFonts w:hint="eastAsia" w:ascii="宋体" w:hAnsi="宋体" w:eastAsia="宋体" w:cs="宋体"/>
          <w:b w:val="0"/>
          <w:bCs w:val="0"/>
          <w:spacing w:val="4"/>
          <w:sz w:val="24"/>
          <w:szCs w:val="24"/>
          <w:highlight w:val="none"/>
          <w:lang w:eastAsia="zh-CN"/>
        </w:rPr>
        <w:t>）</w:t>
      </w:r>
      <w:r>
        <w:rPr>
          <w:rFonts w:hint="eastAsia" w:ascii="宋体" w:hAnsi="宋体" w:eastAsia="宋体" w:cs="宋体"/>
          <w:b w:val="0"/>
          <w:bCs w:val="0"/>
          <w:spacing w:val="4"/>
          <w:sz w:val="24"/>
          <w:szCs w:val="24"/>
          <w:highlight w:val="none"/>
        </w:rPr>
        <w:t>物理力学性能</w:t>
      </w:r>
    </w:p>
    <w:tbl>
      <w:tblPr>
        <w:tblStyle w:val="11"/>
        <w:tblW w:w="7380" w:type="dxa"/>
        <w:tblInd w:w="4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90"/>
        <w:gridCol w:w="3690"/>
      </w:tblGrid>
      <w:tr w14:paraId="76CF62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690" w:type="dxa"/>
            <w:noWrap w:val="0"/>
            <w:vAlign w:val="center"/>
          </w:tcPr>
          <w:p w14:paraId="6A74CA71">
            <w:pPr>
              <w:pStyle w:val="12"/>
              <w:keepNext w:val="0"/>
              <w:keepLines w:val="0"/>
              <w:pageBreakBefore w:val="0"/>
              <w:widowControl/>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项 目</w:t>
            </w:r>
          </w:p>
        </w:tc>
        <w:tc>
          <w:tcPr>
            <w:tcW w:w="3690" w:type="dxa"/>
            <w:noWrap w:val="0"/>
            <w:vAlign w:val="center"/>
          </w:tcPr>
          <w:p w14:paraId="0FDC14EF">
            <w:pPr>
              <w:pStyle w:val="12"/>
              <w:keepNext w:val="0"/>
              <w:keepLines w:val="0"/>
              <w:pageBreakBefore w:val="0"/>
              <w:widowControl/>
              <w:kinsoku w:val="0"/>
              <w:wordWrap/>
              <w:overflowPunct/>
              <w:topLinePunct w:val="0"/>
              <w:autoSpaceDE w:val="0"/>
              <w:autoSpaceDN w:val="0"/>
              <w:bidi w:val="0"/>
              <w:adjustRightInd w:val="0"/>
              <w:snapToGrid w:val="0"/>
              <w:spacing w:line="360" w:lineRule="auto"/>
              <w:ind w:right="0"/>
              <w:jc w:val="center"/>
              <w:textAlignment w:val="baseline"/>
              <w:rPr>
                <w:rFonts w:hint="eastAsia" w:ascii="宋体" w:hAnsi="宋体" w:eastAsia="宋体" w:cs="宋体"/>
                <w:sz w:val="24"/>
                <w:szCs w:val="24"/>
                <w:highlight w:val="none"/>
              </w:rPr>
            </w:pPr>
            <w:r>
              <w:rPr>
                <w:rFonts w:hint="eastAsia" w:ascii="宋体" w:hAnsi="宋体" w:eastAsia="宋体" w:cs="宋体"/>
                <w:spacing w:val="5"/>
                <w:sz w:val="24"/>
                <w:szCs w:val="24"/>
                <w:highlight w:val="none"/>
              </w:rPr>
              <w:t>要求</w:t>
            </w:r>
          </w:p>
        </w:tc>
      </w:tr>
      <w:tr w14:paraId="70B0F4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3690" w:type="dxa"/>
            <w:noWrap w:val="0"/>
            <w:vAlign w:val="bottom"/>
          </w:tcPr>
          <w:p w14:paraId="65CC9B22">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564"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21"/>
                <w:sz w:val="24"/>
                <w:szCs w:val="24"/>
                <w:highlight w:val="none"/>
              </w:rPr>
              <w:t>密度/(</w:t>
            </w:r>
            <w:r>
              <w:rPr>
                <w:rFonts w:hint="eastAsia" w:ascii="宋体" w:hAnsi="宋体" w:eastAsia="宋体" w:cs="宋体"/>
                <w:sz w:val="24"/>
                <w:szCs w:val="24"/>
                <w:highlight w:val="none"/>
              </w:rPr>
              <w:t>kg</w:t>
            </w:r>
            <w:r>
              <w:rPr>
                <w:rFonts w:hint="eastAsia" w:ascii="宋体" w:hAnsi="宋体" w:eastAsia="宋体" w:cs="宋体"/>
                <w:spacing w:val="21"/>
                <w:sz w:val="24"/>
                <w:szCs w:val="24"/>
                <w:highlight w:val="none"/>
              </w:rPr>
              <w:t>/m³)</w:t>
            </w:r>
          </w:p>
        </w:tc>
        <w:tc>
          <w:tcPr>
            <w:tcW w:w="3690" w:type="dxa"/>
            <w:noWrap w:val="0"/>
            <w:vAlign w:val="bottom"/>
          </w:tcPr>
          <w:p w14:paraId="69876543">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1350~1550</w:t>
            </w:r>
          </w:p>
        </w:tc>
      </w:tr>
      <w:tr w14:paraId="50D39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8" w:hRule="atLeast"/>
        </w:trPr>
        <w:tc>
          <w:tcPr>
            <w:tcW w:w="3690" w:type="dxa"/>
            <w:noWrap w:val="0"/>
            <w:vAlign w:val="bottom"/>
          </w:tcPr>
          <w:p w14:paraId="683A8D6F">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96"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维卡软化温度/℃</w:t>
            </w:r>
          </w:p>
        </w:tc>
        <w:tc>
          <w:tcPr>
            <w:tcW w:w="3690" w:type="dxa"/>
            <w:noWrap w:val="0"/>
            <w:vAlign w:val="bottom"/>
          </w:tcPr>
          <w:p w14:paraId="4E8C2D3A">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44"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9"/>
                <w:sz w:val="24"/>
                <w:szCs w:val="24"/>
                <w:highlight w:val="none"/>
              </w:rPr>
              <w:t>≥74</w:t>
            </w:r>
          </w:p>
        </w:tc>
      </w:tr>
      <w:tr w14:paraId="683D86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9" w:hRule="atLeast"/>
        </w:trPr>
        <w:tc>
          <w:tcPr>
            <w:tcW w:w="3690" w:type="dxa"/>
            <w:noWrap w:val="0"/>
            <w:vAlign w:val="bottom"/>
          </w:tcPr>
          <w:p w14:paraId="7E61B572">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烘箱试验</w:t>
            </w:r>
          </w:p>
        </w:tc>
        <w:tc>
          <w:tcPr>
            <w:tcW w:w="3690" w:type="dxa"/>
            <w:noWrap w:val="0"/>
            <w:vAlign w:val="bottom"/>
          </w:tcPr>
          <w:p w14:paraId="77383FDD">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0" w:firstLineChars="200"/>
              <w:jc w:val="both"/>
              <w:textAlignment w:val="baseline"/>
              <w:rPr>
                <w:rFonts w:hint="eastAsia" w:ascii="宋体" w:hAnsi="宋体" w:eastAsia="宋体" w:cs="宋体"/>
                <w:sz w:val="24"/>
                <w:szCs w:val="24"/>
                <w:highlight w:val="none"/>
              </w:rPr>
            </w:pPr>
            <w:r>
              <w:rPr>
                <w:rFonts w:hint="eastAsia" w:ascii="宋体" w:hAnsi="宋体" w:eastAsia="宋体" w:cs="宋体"/>
                <w:sz w:val="24"/>
                <w:szCs w:val="24"/>
                <w:highlight w:val="none"/>
              </w:rPr>
              <w:t>符合GB/T8803-2001的规定</w:t>
            </w:r>
          </w:p>
        </w:tc>
      </w:tr>
      <w:tr w14:paraId="53D4B7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3690" w:type="dxa"/>
            <w:noWrap w:val="0"/>
            <w:vAlign w:val="bottom"/>
          </w:tcPr>
          <w:p w14:paraId="45F5C797">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2"/>
                <w:sz w:val="24"/>
                <w:szCs w:val="24"/>
                <w:highlight w:val="none"/>
              </w:rPr>
              <w:t>坠落试验</w:t>
            </w:r>
          </w:p>
        </w:tc>
        <w:tc>
          <w:tcPr>
            <w:tcW w:w="3690" w:type="dxa"/>
            <w:noWrap w:val="0"/>
            <w:vAlign w:val="bottom"/>
          </w:tcPr>
          <w:p w14:paraId="3AC555F8">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92"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3"/>
                <w:sz w:val="24"/>
                <w:szCs w:val="24"/>
                <w:highlight w:val="none"/>
              </w:rPr>
              <w:t>无破裂</w:t>
            </w:r>
          </w:p>
        </w:tc>
      </w:tr>
      <w:tr w14:paraId="123ED1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3690" w:type="dxa"/>
            <w:noWrap w:val="0"/>
            <w:vAlign w:val="bottom"/>
          </w:tcPr>
          <w:p w14:paraId="25F3527F">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1"/>
                <w:sz w:val="24"/>
                <w:szCs w:val="24"/>
                <w:highlight w:val="none"/>
              </w:rPr>
              <w:t>铅限量(Pb)mg/kg</w:t>
            </w:r>
          </w:p>
        </w:tc>
        <w:tc>
          <w:tcPr>
            <w:tcW w:w="3690" w:type="dxa"/>
            <w:noWrap w:val="0"/>
            <w:vAlign w:val="bottom"/>
          </w:tcPr>
          <w:p w14:paraId="30C83DD1">
            <w:pPr>
              <w:pStyle w:val="1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52" w:firstLineChars="200"/>
              <w:jc w:val="both"/>
              <w:textAlignment w:val="baseline"/>
              <w:rPr>
                <w:rFonts w:hint="eastAsia" w:ascii="宋体" w:hAnsi="宋体" w:eastAsia="宋体" w:cs="宋体"/>
                <w:sz w:val="24"/>
                <w:szCs w:val="24"/>
                <w:highlight w:val="none"/>
              </w:rPr>
            </w:pPr>
            <w:r>
              <w:rPr>
                <w:rFonts w:hint="eastAsia" w:ascii="宋体" w:hAnsi="宋体" w:eastAsia="宋体" w:cs="宋体"/>
                <w:spacing w:val="-7"/>
                <w:sz w:val="24"/>
                <w:szCs w:val="24"/>
                <w:highlight w:val="none"/>
              </w:rPr>
              <w:t>≤0.2</w:t>
            </w:r>
          </w:p>
        </w:tc>
      </w:tr>
    </w:tbl>
    <w:p w14:paraId="3837A3F7">
      <w:pPr>
        <w:spacing w:before="29"/>
        <w:ind w:right="0"/>
        <w:jc w:val="left"/>
        <w:rPr>
          <w:rFonts w:hint="eastAsia" w:ascii="宋体" w:hAnsi="宋体" w:eastAsia="宋体" w:cs="宋体"/>
          <w:b/>
          <w:w w:val="90"/>
          <w:sz w:val="24"/>
          <w:szCs w:val="24"/>
          <w:highlight w:val="none"/>
        </w:rPr>
      </w:pPr>
    </w:p>
    <w:p w14:paraId="7B5B5347">
      <w:pPr>
        <w:numPr>
          <w:ilvl w:val="0"/>
          <w:numId w:val="0"/>
        </w:numPr>
        <w:spacing w:before="29"/>
        <w:ind w:left="166" w:leftChars="0" w:right="0" w:rightChars="0"/>
        <w:jc w:val="left"/>
        <w:rPr>
          <w:rFonts w:hint="eastAsia" w:ascii="宋体" w:hAnsi="宋体" w:eastAsia="宋体" w:cs="宋体"/>
          <w:b/>
          <w:bCs/>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2、HDPE缠绕结构壁B型（克拉管）技术标准</w:t>
      </w:r>
    </w:p>
    <w:p w14:paraId="6A9D21F7">
      <w:pPr>
        <w:pStyle w:val="4"/>
        <w:spacing w:before="34"/>
        <w:rPr>
          <w:rFonts w:hint="eastAsia" w:ascii="宋体" w:hAnsi="宋体" w:eastAsia="宋体" w:cs="宋体"/>
          <w:b w:val="0"/>
          <w:bCs/>
          <w:sz w:val="24"/>
          <w:szCs w:val="24"/>
          <w:highlight w:val="none"/>
        </w:rPr>
      </w:pPr>
      <w:r>
        <w:rPr>
          <w:rFonts w:hint="eastAsia" w:ascii="宋体" w:hAnsi="宋体" w:eastAsia="宋体" w:cs="宋体"/>
          <w:b w:val="0"/>
          <w:bCs/>
          <w:spacing w:val="-6"/>
          <w:sz w:val="24"/>
          <w:szCs w:val="24"/>
          <w:highlight w:val="none"/>
        </w:rPr>
        <w:t>1</w:t>
      </w:r>
      <w:r>
        <w:rPr>
          <w:rFonts w:hint="eastAsia" w:ascii="宋体" w:hAnsi="宋体" w:eastAsia="宋体" w:cs="宋体"/>
          <w:b w:val="0"/>
          <w:bCs/>
          <w:spacing w:val="-7"/>
          <w:sz w:val="24"/>
          <w:szCs w:val="24"/>
          <w:highlight w:val="none"/>
          <w:lang w:val="en-US" w:eastAsia="zh-CN"/>
        </w:rPr>
        <w:t>.</w:t>
      </w:r>
      <w:r>
        <w:rPr>
          <w:rFonts w:hint="eastAsia" w:ascii="宋体" w:hAnsi="宋体" w:eastAsia="宋体" w:cs="宋体"/>
          <w:b w:val="0"/>
          <w:bCs/>
          <w:spacing w:val="-7"/>
          <w:sz w:val="24"/>
          <w:szCs w:val="24"/>
          <w:highlight w:val="none"/>
        </w:rPr>
        <w:t>采用标准</w:t>
      </w:r>
    </w:p>
    <w:p w14:paraId="4F06D02A">
      <w:pPr>
        <w:pStyle w:val="2"/>
        <w:spacing w:before="88"/>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《埋地用聚乙烯（PE）结构壁管道系统 第2部分：聚乙烯缠绕结构壁管材》（GBT 19472.2-</w:t>
      </w:r>
      <w:r>
        <w:rPr>
          <w:rFonts w:hint="eastAsia" w:ascii="宋体" w:hAnsi="宋体" w:eastAsia="宋体" w:cs="宋体"/>
          <w:b w:val="0"/>
          <w:bCs/>
          <w:spacing w:val="-2"/>
          <w:sz w:val="24"/>
          <w:szCs w:val="24"/>
          <w:highlight w:val="none"/>
        </w:rPr>
        <w:t>2017）；</w:t>
      </w:r>
    </w:p>
    <w:p w14:paraId="545DC6A3">
      <w:pPr>
        <w:pStyle w:val="4"/>
        <w:spacing w:before="73"/>
        <w:rPr>
          <w:rFonts w:hint="eastAsia" w:ascii="宋体" w:hAnsi="宋体" w:eastAsia="宋体" w:cs="宋体"/>
          <w:b w:val="0"/>
          <w:bCs/>
          <w:sz w:val="24"/>
          <w:szCs w:val="24"/>
          <w:highlight w:val="none"/>
        </w:rPr>
      </w:pPr>
      <w:r>
        <w:rPr>
          <w:rFonts w:hint="eastAsia" w:ascii="宋体" w:hAnsi="宋体" w:eastAsia="宋体" w:cs="宋体"/>
          <w:b w:val="0"/>
          <w:bCs/>
          <w:spacing w:val="-6"/>
          <w:sz w:val="24"/>
          <w:szCs w:val="24"/>
          <w:highlight w:val="none"/>
        </w:rPr>
        <w:t>2</w:t>
      </w:r>
      <w:r>
        <w:rPr>
          <w:rFonts w:hint="eastAsia" w:ascii="宋体" w:hAnsi="宋体" w:eastAsia="宋体" w:cs="宋体"/>
          <w:b w:val="0"/>
          <w:bCs/>
          <w:spacing w:val="-7"/>
          <w:sz w:val="24"/>
          <w:szCs w:val="24"/>
          <w:highlight w:val="none"/>
          <w:lang w:val="en-US" w:eastAsia="zh-CN"/>
        </w:rPr>
        <w:t>.产品质量</w:t>
      </w:r>
      <w:r>
        <w:rPr>
          <w:rFonts w:hint="eastAsia" w:ascii="宋体" w:hAnsi="宋体" w:eastAsia="宋体" w:cs="宋体"/>
          <w:b w:val="0"/>
          <w:bCs/>
          <w:spacing w:val="-7"/>
          <w:sz w:val="24"/>
          <w:szCs w:val="24"/>
          <w:highlight w:val="none"/>
        </w:rPr>
        <w:t>要求</w:t>
      </w:r>
    </w:p>
    <w:p w14:paraId="1A2C39E9">
      <w:pPr>
        <w:pStyle w:val="13"/>
        <w:numPr>
          <w:ilvl w:val="0"/>
          <w:numId w:val="1"/>
        </w:numPr>
        <w:tabs>
          <w:tab w:val="left" w:pos="1111"/>
        </w:tabs>
        <w:spacing w:before="88"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pacing w:val="-1"/>
          <w:sz w:val="24"/>
          <w:szCs w:val="24"/>
          <w:highlight w:val="none"/>
        </w:rPr>
        <w:t>原材料：确保材料具有高抗冲击性、耐腐蚀性和耐老化性。</w:t>
      </w:r>
    </w:p>
    <w:p w14:paraId="606E510B">
      <w:pPr>
        <w:pStyle w:val="13"/>
        <w:numPr>
          <w:ilvl w:val="0"/>
          <w:numId w:val="1"/>
        </w:numPr>
        <w:tabs>
          <w:tab w:val="left" w:pos="1111"/>
        </w:tabs>
        <w:spacing w:before="140"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pacing w:val="-1"/>
          <w:sz w:val="24"/>
          <w:szCs w:val="24"/>
          <w:highlight w:val="none"/>
        </w:rPr>
        <w:t>外观质量：管材内外表面应光滑平整，无气泡、裂纹、杂质等缺陷。</w:t>
      </w:r>
    </w:p>
    <w:p w14:paraId="4A1A7BB1">
      <w:pPr>
        <w:pStyle w:val="13"/>
        <w:numPr>
          <w:ilvl w:val="0"/>
          <w:numId w:val="1"/>
        </w:numPr>
        <w:tabs>
          <w:tab w:val="left" w:pos="1111"/>
        </w:tabs>
        <w:spacing w:before="139" w:after="0" w:line="364" w:lineRule="auto"/>
        <w:ind w:left="166" w:right="717" w:firstLine="420"/>
        <w:jc w:val="left"/>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尺寸精度：管材的内径和外径应符合设计要求，允许偏差应符合GB/T</w:t>
      </w:r>
      <w:r>
        <w:rPr>
          <w:rFonts w:hint="eastAsia" w:ascii="宋体" w:hAnsi="宋体" w:eastAsia="宋体" w:cs="宋体"/>
          <w:b w:val="0"/>
          <w:bCs/>
          <w:spacing w:val="-27"/>
          <w:sz w:val="24"/>
          <w:szCs w:val="24"/>
          <w:highlight w:val="none"/>
        </w:rPr>
        <w:t xml:space="preserve"> </w:t>
      </w:r>
      <w:r>
        <w:rPr>
          <w:rFonts w:hint="eastAsia" w:ascii="宋体" w:hAnsi="宋体" w:eastAsia="宋体" w:cs="宋体"/>
          <w:b w:val="0"/>
          <w:bCs/>
          <w:sz w:val="24"/>
          <w:szCs w:val="24"/>
          <w:highlight w:val="none"/>
        </w:rPr>
        <w:t>19472.2标准。壁厚应均匀，允许偏差一般为±5%。管材长度应符合设计要求，6米或12米，允许偏差为±10 mm。</w:t>
      </w:r>
    </w:p>
    <w:p w14:paraId="68993A30">
      <w:pPr>
        <w:pStyle w:val="13"/>
        <w:numPr>
          <w:ilvl w:val="0"/>
          <w:numId w:val="1"/>
        </w:numPr>
        <w:tabs>
          <w:tab w:val="left" w:pos="1111"/>
        </w:tabs>
        <w:spacing w:before="0" w:after="0" w:line="268" w:lineRule="exact"/>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pacing w:val="-1"/>
          <w:sz w:val="24"/>
          <w:szCs w:val="24"/>
          <w:highlight w:val="none"/>
        </w:rPr>
        <w:t>包装：每根管材应有清晰标识，包括规格、型号、生产日期、环刚度等级等。</w:t>
      </w:r>
    </w:p>
    <w:p w14:paraId="186D516B">
      <w:pPr>
        <w:pStyle w:val="13"/>
        <w:numPr>
          <w:ilvl w:val="0"/>
          <w:numId w:val="1"/>
        </w:numPr>
        <w:tabs>
          <w:tab w:val="left" w:pos="1111"/>
        </w:tabs>
        <w:spacing w:before="50"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pacing w:val="-1"/>
          <w:sz w:val="24"/>
          <w:szCs w:val="24"/>
          <w:highlight w:val="none"/>
        </w:rPr>
        <w:t>提供环刚度、环柔度、抗冲击、水压试验等检测报告。</w:t>
      </w:r>
    </w:p>
    <w:p w14:paraId="0936154A">
      <w:pPr>
        <w:pStyle w:val="13"/>
        <w:numPr>
          <w:ilvl w:val="0"/>
          <w:numId w:val="1"/>
        </w:numPr>
        <w:tabs>
          <w:tab w:val="left" w:pos="1111"/>
        </w:tabs>
        <w:spacing w:before="139" w:after="0" w:line="364" w:lineRule="auto"/>
        <w:ind w:left="166" w:right="612" w:firstLine="420"/>
        <w:jc w:val="left"/>
        <w:rPr>
          <w:rFonts w:hint="eastAsia" w:ascii="宋体" w:hAnsi="宋体" w:eastAsia="宋体" w:cs="宋体"/>
          <w:b w:val="0"/>
          <w:bCs/>
          <w:sz w:val="24"/>
          <w:szCs w:val="24"/>
          <w:highlight w:val="none"/>
        </w:rPr>
      </w:pPr>
      <w:r>
        <w:rPr>
          <w:rFonts w:hint="eastAsia" w:ascii="宋体" w:hAnsi="宋体" w:eastAsia="宋体" w:cs="宋体"/>
          <w:b w:val="0"/>
          <w:bCs/>
          <w:spacing w:val="-2"/>
          <w:sz w:val="24"/>
          <w:szCs w:val="24"/>
          <w:highlight w:val="none"/>
        </w:rPr>
        <w:t>HDPE缠绕结构壁采用B型结构壁管，管材、管件颜色一般为黑色</w:t>
      </w:r>
      <w:r>
        <w:rPr>
          <w:rFonts w:hint="eastAsia" w:ascii="宋体" w:hAnsi="宋体" w:eastAsia="宋体" w:cs="宋体"/>
          <w:b w:val="0"/>
          <w:bCs/>
          <w:spacing w:val="-2"/>
          <w:sz w:val="24"/>
          <w:szCs w:val="24"/>
          <w:highlight w:val="none"/>
          <w:lang w:eastAsia="zh-CN"/>
        </w:rPr>
        <w:t>，</w:t>
      </w:r>
      <w:r>
        <w:rPr>
          <w:rFonts w:hint="eastAsia" w:ascii="宋体" w:hAnsi="宋体" w:eastAsia="宋体" w:cs="宋体"/>
          <w:b w:val="0"/>
          <w:bCs/>
          <w:spacing w:val="-2"/>
          <w:sz w:val="24"/>
          <w:szCs w:val="24"/>
          <w:highlight w:val="none"/>
        </w:rPr>
        <w:t>其他颜色由供需双方协商确定，管件应不低于与其配合使用的管材的环刚度级别。</w:t>
      </w:r>
    </w:p>
    <w:p w14:paraId="37255FD2">
      <w:pPr>
        <w:pStyle w:val="4"/>
        <w:spacing w:line="319" w:lineRule="exact"/>
        <w:rPr>
          <w:rFonts w:hint="eastAsia" w:ascii="宋体" w:hAnsi="宋体" w:eastAsia="宋体" w:cs="宋体"/>
          <w:b w:val="0"/>
          <w:bCs/>
          <w:sz w:val="24"/>
          <w:szCs w:val="24"/>
          <w:highlight w:val="none"/>
        </w:rPr>
      </w:pPr>
      <w:r>
        <w:rPr>
          <w:rFonts w:hint="eastAsia" w:ascii="宋体" w:hAnsi="宋体" w:eastAsia="宋体" w:cs="宋体"/>
          <w:b w:val="0"/>
          <w:bCs/>
          <w:spacing w:val="-6"/>
          <w:sz w:val="24"/>
          <w:szCs w:val="24"/>
          <w:highlight w:val="none"/>
        </w:rPr>
        <w:t>3</w:t>
      </w:r>
      <w:r>
        <w:rPr>
          <w:rFonts w:hint="eastAsia" w:ascii="宋体" w:hAnsi="宋体" w:eastAsia="宋体" w:cs="宋体"/>
          <w:b w:val="0"/>
          <w:bCs/>
          <w:spacing w:val="-7"/>
          <w:sz w:val="24"/>
          <w:szCs w:val="24"/>
          <w:highlight w:val="none"/>
          <w:lang w:val="en-US" w:eastAsia="zh-CN"/>
        </w:rPr>
        <w:t>.</w:t>
      </w:r>
      <w:r>
        <w:rPr>
          <w:rFonts w:hint="eastAsia" w:ascii="宋体" w:hAnsi="宋体" w:eastAsia="宋体" w:cs="宋体"/>
          <w:b w:val="0"/>
          <w:bCs/>
          <w:spacing w:val="-7"/>
          <w:sz w:val="24"/>
          <w:szCs w:val="24"/>
          <w:highlight w:val="none"/>
        </w:rPr>
        <w:t>物理性能</w:t>
      </w:r>
    </w:p>
    <w:p w14:paraId="55ED929F">
      <w:pPr>
        <w:pStyle w:val="2"/>
        <w:spacing w:before="9"/>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drawing>
          <wp:anchor distT="0" distB="0" distL="114300" distR="114300" simplePos="0" relativeHeight="251659264" behindDoc="1" locked="0" layoutInCell="1" allowOverlap="1">
            <wp:simplePos x="0" y="0"/>
            <wp:positionH relativeFrom="page">
              <wp:posOffset>811530</wp:posOffset>
            </wp:positionH>
            <wp:positionV relativeFrom="paragraph">
              <wp:posOffset>67310</wp:posOffset>
            </wp:positionV>
            <wp:extent cx="6082030" cy="2832735"/>
            <wp:effectExtent l="0" t="0" r="13970" b="5715"/>
            <wp:wrapTopAndBottom/>
            <wp:docPr id="2" name="Image 7"/>
            <wp:cNvGraphicFramePr/>
            <a:graphic xmlns:a="http://schemas.openxmlformats.org/drawingml/2006/main">
              <a:graphicData uri="http://schemas.openxmlformats.org/drawingml/2006/picture">
                <pic:pic xmlns:pic="http://schemas.openxmlformats.org/drawingml/2006/picture">
                  <pic:nvPicPr>
                    <pic:cNvPr id="2" name="Image 7"/>
                    <pic:cNvPicPr/>
                  </pic:nvPicPr>
                  <pic:blipFill>
                    <a:blip r:embed="rId4"/>
                    <a:stretch>
                      <a:fillRect/>
                    </a:stretch>
                  </pic:blipFill>
                  <pic:spPr>
                    <a:xfrm>
                      <a:off x="0" y="0"/>
                      <a:ext cx="6082030" cy="2832735"/>
                    </a:xfrm>
                    <a:prstGeom prst="rect">
                      <a:avLst/>
                    </a:prstGeom>
                    <a:noFill/>
                    <a:ln>
                      <a:noFill/>
                    </a:ln>
                  </pic:spPr>
                </pic:pic>
              </a:graphicData>
            </a:graphic>
          </wp:anchor>
        </w:drawing>
      </w:r>
    </w:p>
    <w:p w14:paraId="18FEFFF5">
      <w:pPr>
        <w:spacing w:before="0"/>
        <w:ind w:left="166" w:right="0" w:firstLine="0"/>
        <w:jc w:val="left"/>
        <w:rPr>
          <w:rFonts w:hint="eastAsia" w:ascii="宋体" w:hAnsi="宋体" w:eastAsia="宋体" w:cs="宋体"/>
          <w:b w:val="0"/>
          <w:bCs/>
          <w:sz w:val="24"/>
          <w:szCs w:val="24"/>
          <w:highlight w:val="none"/>
        </w:rPr>
      </w:pPr>
      <w:r>
        <w:rPr>
          <w:rFonts w:hint="eastAsia" w:ascii="宋体" w:hAnsi="宋体" w:eastAsia="宋体" w:cs="宋体"/>
          <w:b w:val="0"/>
          <w:bCs/>
          <w:spacing w:val="-6"/>
          <w:sz w:val="24"/>
          <w:szCs w:val="24"/>
          <w:highlight w:val="none"/>
        </w:rPr>
        <w:t>4</w:t>
      </w:r>
      <w:r>
        <w:rPr>
          <w:rFonts w:hint="eastAsia" w:ascii="宋体" w:hAnsi="宋体" w:eastAsia="宋体" w:cs="宋体"/>
          <w:b w:val="0"/>
          <w:bCs/>
          <w:spacing w:val="-7"/>
          <w:sz w:val="24"/>
          <w:szCs w:val="24"/>
          <w:highlight w:val="none"/>
          <w:lang w:val="en-US" w:eastAsia="zh-CN"/>
        </w:rPr>
        <w:t>.</w:t>
      </w:r>
      <w:r>
        <w:rPr>
          <w:rFonts w:hint="eastAsia" w:ascii="宋体" w:hAnsi="宋体" w:eastAsia="宋体" w:cs="宋体"/>
          <w:b w:val="0"/>
          <w:bCs/>
          <w:spacing w:val="-7"/>
          <w:sz w:val="24"/>
          <w:szCs w:val="24"/>
          <w:highlight w:val="none"/>
        </w:rPr>
        <w:t>力学性能</w:t>
      </w:r>
    </w:p>
    <w:p w14:paraId="5A348736">
      <w:pPr>
        <w:pStyle w:val="2"/>
        <w:spacing w:before="73"/>
        <w:ind w:left="586"/>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（1）环刚度</w:t>
      </w:r>
      <w:r>
        <w:rPr>
          <w:rFonts w:hint="eastAsia" w:ascii="宋体" w:hAnsi="宋体" w:eastAsia="宋体" w:cs="宋体"/>
          <w:b w:val="0"/>
          <w:bCs/>
          <w:spacing w:val="-2"/>
          <w:sz w:val="24"/>
          <w:szCs w:val="24"/>
          <w:highlight w:val="none"/>
        </w:rPr>
        <w:t>：SN10，≥10KN/m2；SN12.5，≥12.5KN/m2</w:t>
      </w:r>
    </w:p>
    <w:p w14:paraId="3B49AEB2">
      <w:pPr>
        <w:pStyle w:val="13"/>
        <w:numPr>
          <w:ilvl w:val="0"/>
          <w:numId w:val="2"/>
        </w:numPr>
        <w:tabs>
          <w:tab w:val="left" w:pos="1111"/>
        </w:tabs>
        <w:spacing w:before="139"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冲击性能</w:t>
      </w:r>
      <w:r>
        <w:rPr>
          <w:rFonts w:hint="eastAsia" w:ascii="宋体" w:hAnsi="宋体" w:eastAsia="宋体" w:cs="宋体"/>
          <w:b w:val="0"/>
          <w:bCs/>
          <w:spacing w:val="-2"/>
          <w:sz w:val="24"/>
          <w:szCs w:val="24"/>
          <w:highlight w:val="none"/>
        </w:rPr>
        <w:t>TIR≤10%</w:t>
      </w:r>
    </w:p>
    <w:p w14:paraId="525D36AC">
      <w:pPr>
        <w:pStyle w:val="13"/>
        <w:numPr>
          <w:ilvl w:val="0"/>
          <w:numId w:val="2"/>
        </w:numPr>
        <w:tabs>
          <w:tab w:val="left" w:pos="1111"/>
        </w:tabs>
        <w:spacing w:before="140"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环柔性：试样圆滑，无反向弯曲，无破裂，试样沿肋切割处开始的撕裂允许小于0.075DN/ID</w:t>
      </w:r>
      <w:r>
        <w:rPr>
          <w:rFonts w:hint="eastAsia" w:ascii="宋体" w:hAnsi="宋体" w:eastAsia="宋体" w:cs="宋体"/>
          <w:b w:val="0"/>
          <w:bCs/>
          <w:spacing w:val="-10"/>
          <w:sz w:val="24"/>
          <w:szCs w:val="24"/>
          <w:highlight w:val="none"/>
        </w:rPr>
        <w:t>或</w:t>
      </w:r>
      <w:r>
        <w:rPr>
          <w:rFonts w:hint="eastAsia" w:ascii="宋体" w:hAnsi="宋体" w:eastAsia="宋体" w:cs="宋体"/>
          <w:b w:val="0"/>
          <w:bCs/>
          <w:sz w:val="24"/>
          <w:szCs w:val="24"/>
          <w:highlight w:val="none"/>
        </w:rPr>
        <w:t>75mm（取较小值</w:t>
      </w:r>
      <w:r>
        <w:rPr>
          <w:rFonts w:hint="eastAsia" w:ascii="宋体" w:hAnsi="宋体" w:eastAsia="宋体" w:cs="宋体"/>
          <w:b w:val="0"/>
          <w:bCs/>
          <w:spacing w:val="-10"/>
          <w:sz w:val="24"/>
          <w:szCs w:val="24"/>
          <w:highlight w:val="none"/>
        </w:rPr>
        <w:t>）</w:t>
      </w:r>
    </w:p>
    <w:p w14:paraId="69F270CA">
      <w:pPr>
        <w:pStyle w:val="13"/>
        <w:numPr>
          <w:ilvl w:val="0"/>
          <w:numId w:val="2"/>
        </w:numPr>
        <w:tabs>
          <w:tab w:val="left" w:pos="1111"/>
        </w:tabs>
        <w:spacing w:before="140"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蠕变比率</w:t>
      </w:r>
      <w:r>
        <w:rPr>
          <w:rFonts w:hint="eastAsia" w:ascii="宋体" w:hAnsi="宋体" w:eastAsia="宋体" w:cs="宋体"/>
          <w:b w:val="0"/>
          <w:bCs/>
          <w:spacing w:val="-5"/>
          <w:sz w:val="24"/>
          <w:szCs w:val="24"/>
          <w:highlight w:val="none"/>
        </w:rPr>
        <w:t>：≤4</w:t>
      </w:r>
    </w:p>
    <w:p w14:paraId="66E16C5C">
      <w:pPr>
        <w:pStyle w:val="13"/>
        <w:numPr>
          <w:ilvl w:val="0"/>
          <w:numId w:val="2"/>
        </w:numPr>
        <w:tabs>
          <w:tab w:val="left" w:pos="1111"/>
        </w:tabs>
        <w:spacing w:before="139" w:after="0" w:line="240" w:lineRule="auto"/>
        <w:ind w:left="1111" w:right="0" w:hanging="525"/>
        <w:jc w:val="left"/>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熔接处的拉伸力</w:t>
      </w:r>
      <w:r>
        <w:rPr>
          <w:rFonts w:hint="eastAsia" w:ascii="宋体" w:hAnsi="宋体" w:eastAsia="宋体" w:cs="宋体"/>
          <w:b w:val="0"/>
          <w:bCs/>
          <w:spacing w:val="-2"/>
          <w:sz w:val="24"/>
          <w:szCs w:val="24"/>
          <w:highlight w:val="none"/>
        </w:rPr>
        <w:t>：DN/ID≤300，≥380；</w:t>
      </w:r>
    </w:p>
    <w:p w14:paraId="75E3EDA4">
      <w:pPr>
        <w:pStyle w:val="2"/>
        <w:spacing w:before="139"/>
        <w:ind w:left="2792"/>
        <w:rPr>
          <w:rFonts w:hint="eastAsia" w:ascii="宋体" w:hAnsi="宋体" w:eastAsia="宋体" w:cs="宋体"/>
          <w:b w:val="0"/>
          <w:bCs/>
          <w:sz w:val="24"/>
          <w:szCs w:val="24"/>
          <w:highlight w:val="none"/>
        </w:rPr>
      </w:pPr>
      <w:r>
        <w:rPr>
          <w:rFonts w:hint="eastAsia" w:ascii="宋体" w:hAnsi="宋体" w:eastAsia="宋体" w:cs="宋体"/>
          <w:b w:val="0"/>
          <w:bCs/>
          <w:spacing w:val="-2"/>
          <w:sz w:val="24"/>
          <w:szCs w:val="24"/>
          <w:highlight w:val="none"/>
        </w:rPr>
        <w:t>400≤DN/ID≤500，≥510；</w:t>
      </w:r>
    </w:p>
    <w:p w14:paraId="3FDE432E">
      <w:pPr>
        <w:pStyle w:val="2"/>
        <w:spacing w:before="139"/>
        <w:ind w:left="2792"/>
        <w:rPr>
          <w:rFonts w:hint="eastAsia" w:ascii="宋体" w:hAnsi="宋体" w:eastAsia="宋体" w:cs="宋体"/>
          <w:b w:val="0"/>
          <w:bCs/>
          <w:spacing w:val="-2"/>
          <w:sz w:val="24"/>
          <w:szCs w:val="24"/>
          <w:highlight w:val="none"/>
        </w:rPr>
      </w:pPr>
      <w:r>
        <w:rPr>
          <w:rFonts w:hint="eastAsia" w:ascii="宋体" w:hAnsi="宋体" w:eastAsia="宋体" w:cs="宋体"/>
          <w:b w:val="0"/>
          <w:bCs/>
          <w:spacing w:val="-2"/>
          <w:sz w:val="24"/>
          <w:szCs w:val="24"/>
          <w:highlight w:val="none"/>
        </w:rPr>
        <w:t>600≤DN/ID≤700，≥760；</w:t>
      </w:r>
    </w:p>
    <w:p w14:paraId="21CD71BF">
      <w:pPr>
        <w:pStyle w:val="2"/>
        <w:spacing w:before="139"/>
        <w:ind w:left="2792"/>
        <w:rPr>
          <w:rFonts w:hint="eastAsia" w:ascii="宋体" w:hAnsi="宋体" w:eastAsia="宋体" w:cs="宋体"/>
          <w:b w:val="0"/>
          <w:bCs/>
          <w:spacing w:val="-2"/>
          <w:sz w:val="24"/>
          <w:szCs w:val="24"/>
          <w:highlight w:val="none"/>
        </w:rPr>
      </w:pPr>
      <w:r>
        <w:rPr>
          <w:rFonts w:hint="eastAsia" w:ascii="宋体" w:hAnsi="宋体" w:eastAsia="宋体" w:cs="宋体"/>
          <w:b w:val="0"/>
          <w:bCs/>
          <w:spacing w:val="-2"/>
          <w:sz w:val="24"/>
          <w:szCs w:val="24"/>
          <w:highlight w:val="none"/>
        </w:rPr>
        <w:t>800≤DN/ID≤1700，≥1020；</w:t>
      </w:r>
    </w:p>
    <w:p w14:paraId="191A0466">
      <w:pPr>
        <w:pStyle w:val="2"/>
        <w:spacing w:before="139"/>
        <w:ind w:left="2792"/>
        <w:rPr>
          <w:rFonts w:hint="eastAsia" w:ascii="宋体" w:hAnsi="宋体" w:eastAsia="宋体" w:cs="宋体"/>
          <w:b w:val="0"/>
          <w:bCs/>
          <w:spacing w:val="-2"/>
          <w:sz w:val="24"/>
          <w:szCs w:val="24"/>
          <w:highlight w:val="none"/>
        </w:rPr>
      </w:pPr>
      <w:r>
        <w:rPr>
          <w:rFonts w:hint="eastAsia" w:ascii="宋体" w:hAnsi="宋体" w:eastAsia="宋体" w:cs="宋体"/>
          <w:b w:val="0"/>
          <w:bCs/>
          <w:spacing w:val="-2"/>
          <w:sz w:val="24"/>
          <w:szCs w:val="24"/>
          <w:highlight w:val="none"/>
        </w:rPr>
        <w:t>1800≤DN/1D≤2400，≥1428；</w:t>
      </w:r>
    </w:p>
    <w:p w14:paraId="453CD2F3">
      <w:pPr>
        <w:pStyle w:val="2"/>
        <w:spacing w:before="139"/>
        <w:ind w:left="2792"/>
        <w:rPr>
          <w:rFonts w:hint="eastAsia" w:ascii="宋体" w:hAnsi="宋体" w:eastAsia="宋体" w:cs="宋体"/>
          <w:b w:val="0"/>
          <w:bCs/>
          <w:spacing w:val="-4"/>
          <w:sz w:val="24"/>
          <w:szCs w:val="24"/>
          <w:highlight w:val="none"/>
        </w:rPr>
      </w:pPr>
      <w:r>
        <w:rPr>
          <w:rFonts w:hint="eastAsia" w:ascii="宋体" w:hAnsi="宋体" w:eastAsia="宋体" w:cs="宋体"/>
          <w:b w:val="0"/>
          <w:bCs/>
          <w:spacing w:val="-2"/>
          <w:sz w:val="24"/>
          <w:szCs w:val="24"/>
          <w:highlight w:val="none"/>
        </w:rPr>
        <w:t>DN/ID≥2500，≥2040</w:t>
      </w:r>
    </w:p>
    <w:p w14:paraId="7A7369E4">
      <w:pPr>
        <w:pStyle w:val="4"/>
        <w:spacing w:line="370" w:lineRule="exact"/>
        <w:rPr>
          <w:rFonts w:hint="eastAsia" w:ascii="宋体" w:hAnsi="宋体" w:eastAsia="宋体" w:cs="宋体"/>
          <w:b w:val="0"/>
          <w:bCs/>
          <w:spacing w:val="-4"/>
          <w:sz w:val="24"/>
          <w:szCs w:val="24"/>
          <w:highlight w:val="none"/>
        </w:rPr>
      </w:pPr>
    </w:p>
    <w:p w14:paraId="615B3056">
      <w:pPr>
        <w:pStyle w:val="4"/>
        <w:spacing w:line="370" w:lineRule="exact"/>
        <w:rPr>
          <w:rFonts w:hint="eastAsia" w:ascii="宋体" w:hAnsi="宋体" w:eastAsia="宋体" w:cs="宋体"/>
          <w:b w:val="0"/>
          <w:bCs/>
          <w:sz w:val="24"/>
          <w:szCs w:val="24"/>
          <w:highlight w:val="none"/>
        </w:rPr>
      </w:pPr>
      <w:r>
        <w:rPr>
          <w:rFonts w:hint="eastAsia" w:ascii="宋体" w:hAnsi="宋体" w:eastAsia="宋体" w:cs="宋体"/>
          <w:b w:val="0"/>
          <w:bCs/>
          <w:spacing w:val="-4"/>
          <w:sz w:val="24"/>
          <w:szCs w:val="24"/>
          <w:highlight w:val="none"/>
        </w:rPr>
        <w:t>5</w:t>
      </w:r>
      <w:r>
        <w:rPr>
          <w:rFonts w:hint="eastAsia" w:ascii="宋体" w:hAnsi="宋体" w:eastAsia="宋体" w:cs="宋体"/>
          <w:b w:val="0"/>
          <w:bCs/>
          <w:spacing w:val="-5"/>
          <w:sz w:val="24"/>
          <w:szCs w:val="24"/>
          <w:highlight w:val="none"/>
          <w:lang w:val="en-US" w:eastAsia="zh-CN"/>
        </w:rPr>
        <w:t>.</w:t>
      </w:r>
      <w:r>
        <w:rPr>
          <w:rFonts w:hint="eastAsia" w:ascii="宋体" w:hAnsi="宋体" w:eastAsia="宋体" w:cs="宋体"/>
          <w:b w:val="0"/>
          <w:bCs/>
          <w:spacing w:val="-5"/>
          <w:sz w:val="24"/>
          <w:szCs w:val="24"/>
          <w:highlight w:val="none"/>
        </w:rPr>
        <w:t>物理力学性能</w:t>
      </w:r>
    </w:p>
    <w:p w14:paraId="0410CDCC">
      <w:pPr>
        <w:pStyle w:val="2"/>
        <w:spacing w:before="5"/>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drawing>
          <wp:anchor distT="0" distB="0" distL="114300" distR="114300" simplePos="0" relativeHeight="251660288" behindDoc="1" locked="0" layoutInCell="1" allowOverlap="1">
            <wp:simplePos x="0" y="0"/>
            <wp:positionH relativeFrom="page">
              <wp:posOffset>1258570</wp:posOffset>
            </wp:positionH>
            <wp:positionV relativeFrom="paragraph">
              <wp:posOffset>65405</wp:posOffset>
            </wp:positionV>
            <wp:extent cx="5290820" cy="1765935"/>
            <wp:effectExtent l="0" t="0" r="5080" b="5715"/>
            <wp:wrapTopAndBottom/>
            <wp:docPr id="1" name="Image 8"/>
            <wp:cNvGraphicFramePr/>
            <a:graphic xmlns:a="http://schemas.openxmlformats.org/drawingml/2006/main">
              <a:graphicData uri="http://schemas.openxmlformats.org/drawingml/2006/picture">
                <pic:pic xmlns:pic="http://schemas.openxmlformats.org/drawingml/2006/picture">
                  <pic:nvPicPr>
                    <pic:cNvPr id="1" name="Image 8"/>
                    <pic:cNvPicPr/>
                  </pic:nvPicPr>
                  <pic:blipFill>
                    <a:blip r:embed="rId5"/>
                    <a:stretch>
                      <a:fillRect/>
                    </a:stretch>
                  </pic:blipFill>
                  <pic:spPr>
                    <a:xfrm>
                      <a:off x="0" y="0"/>
                      <a:ext cx="5290820" cy="1765935"/>
                    </a:xfrm>
                    <a:prstGeom prst="rect">
                      <a:avLst/>
                    </a:prstGeom>
                    <a:noFill/>
                    <a:ln>
                      <a:noFill/>
                    </a:ln>
                  </pic:spPr>
                </pic:pic>
              </a:graphicData>
            </a:graphic>
          </wp:anchor>
        </w:drawing>
      </w:r>
    </w:p>
    <w:p w14:paraId="677C9860">
      <w:pPr>
        <w:spacing w:before="77"/>
        <w:ind w:left="166" w:right="0" w:firstLine="0"/>
        <w:jc w:val="left"/>
        <w:rPr>
          <w:rFonts w:hint="eastAsia" w:ascii="宋体" w:hAnsi="宋体" w:eastAsia="宋体" w:cs="宋体"/>
          <w:b w:val="0"/>
          <w:bCs/>
          <w:sz w:val="24"/>
          <w:szCs w:val="24"/>
          <w:highlight w:val="none"/>
        </w:rPr>
      </w:pPr>
      <w:r>
        <w:rPr>
          <w:rFonts w:hint="eastAsia" w:ascii="宋体" w:hAnsi="宋体" w:eastAsia="宋体" w:cs="宋体"/>
          <w:b w:val="0"/>
          <w:bCs/>
          <w:spacing w:val="-4"/>
          <w:sz w:val="24"/>
          <w:szCs w:val="24"/>
          <w:highlight w:val="none"/>
        </w:rPr>
        <w:t>6</w:t>
      </w:r>
      <w:r>
        <w:rPr>
          <w:rFonts w:hint="eastAsia" w:ascii="宋体" w:hAnsi="宋体" w:eastAsia="宋体" w:cs="宋体"/>
          <w:b w:val="0"/>
          <w:bCs/>
          <w:spacing w:val="-4"/>
          <w:sz w:val="24"/>
          <w:szCs w:val="24"/>
          <w:highlight w:val="none"/>
          <w:lang w:eastAsia="zh-CN"/>
        </w:rPr>
        <w:t>.</w:t>
      </w:r>
      <w:r>
        <w:rPr>
          <w:rFonts w:hint="eastAsia" w:ascii="宋体" w:hAnsi="宋体" w:eastAsia="宋体" w:cs="宋体"/>
          <w:b w:val="0"/>
          <w:bCs/>
          <w:spacing w:val="-5"/>
          <w:sz w:val="24"/>
          <w:szCs w:val="24"/>
          <w:highlight w:val="none"/>
        </w:rPr>
        <w:t>管道内径和壁厚尺寸表</w:t>
      </w:r>
    </w:p>
    <w:p w14:paraId="58505749">
      <w:pPr>
        <w:pStyle w:val="2"/>
        <w:spacing w:before="1"/>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drawing>
          <wp:anchor distT="0" distB="0" distL="114300" distR="114300" simplePos="0" relativeHeight="251661312" behindDoc="1" locked="0" layoutInCell="1" allowOverlap="1">
            <wp:simplePos x="0" y="0"/>
            <wp:positionH relativeFrom="page">
              <wp:posOffset>965835</wp:posOffset>
            </wp:positionH>
            <wp:positionV relativeFrom="paragraph">
              <wp:posOffset>144780</wp:posOffset>
            </wp:positionV>
            <wp:extent cx="5640070" cy="6101715"/>
            <wp:effectExtent l="0" t="0" r="17780" b="13335"/>
            <wp:wrapTopAndBottom/>
            <wp:docPr id="5" name="Image 9"/>
            <wp:cNvGraphicFramePr/>
            <a:graphic xmlns:a="http://schemas.openxmlformats.org/drawingml/2006/main">
              <a:graphicData uri="http://schemas.openxmlformats.org/drawingml/2006/picture">
                <pic:pic xmlns:pic="http://schemas.openxmlformats.org/drawingml/2006/picture">
                  <pic:nvPicPr>
                    <pic:cNvPr id="5" name="Image 9"/>
                    <pic:cNvPicPr/>
                  </pic:nvPicPr>
                  <pic:blipFill>
                    <a:blip r:embed="rId6"/>
                    <a:stretch>
                      <a:fillRect/>
                    </a:stretch>
                  </pic:blipFill>
                  <pic:spPr>
                    <a:xfrm>
                      <a:off x="0" y="0"/>
                      <a:ext cx="5640070" cy="6101715"/>
                    </a:xfrm>
                    <a:prstGeom prst="rect">
                      <a:avLst/>
                    </a:prstGeom>
                    <a:noFill/>
                    <a:ln>
                      <a:noFill/>
                    </a:ln>
                  </pic:spPr>
                </pic:pic>
              </a:graphicData>
            </a:graphic>
          </wp:anchor>
        </w:drawing>
      </w:r>
    </w:p>
    <w:p w14:paraId="2D2B505E">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spacing w:val="-2"/>
          <w:sz w:val="24"/>
          <w:szCs w:val="24"/>
          <w:highlight w:val="none"/>
          <w:lang w:eastAsia="zh-CN"/>
        </w:rPr>
      </w:pPr>
      <w:r>
        <w:rPr>
          <w:rFonts w:hint="eastAsia" w:ascii="宋体" w:hAnsi="宋体" w:eastAsia="宋体" w:cs="宋体"/>
          <w:b w:val="0"/>
          <w:bCs/>
          <w:sz w:val="24"/>
          <w:szCs w:val="24"/>
          <w:highlight w:val="none"/>
        </w:rPr>
        <w:t>未尽事宜参照《埋地用聚乙烯（PE）</w:t>
      </w:r>
      <w:r>
        <w:rPr>
          <w:rFonts w:hint="eastAsia" w:ascii="宋体" w:hAnsi="宋体" w:eastAsia="宋体" w:cs="宋体"/>
          <w:b w:val="0"/>
          <w:bCs/>
          <w:spacing w:val="-4"/>
          <w:sz w:val="24"/>
          <w:szCs w:val="24"/>
          <w:highlight w:val="none"/>
        </w:rPr>
        <w:t>结构壁管道系统 第</w:t>
      </w:r>
      <w:r>
        <w:rPr>
          <w:rFonts w:hint="eastAsia" w:ascii="宋体" w:hAnsi="宋体" w:eastAsia="宋体" w:cs="宋体"/>
          <w:b w:val="0"/>
          <w:bCs/>
          <w:sz w:val="24"/>
          <w:szCs w:val="24"/>
          <w:highlight w:val="none"/>
        </w:rPr>
        <w:t xml:space="preserve">2部分：聚乙烯缠绕结构壁管材》（GBT </w:t>
      </w:r>
      <w:r>
        <w:rPr>
          <w:rFonts w:hint="eastAsia" w:ascii="宋体" w:hAnsi="宋体" w:eastAsia="宋体" w:cs="宋体"/>
          <w:b w:val="0"/>
          <w:bCs/>
          <w:spacing w:val="-2"/>
          <w:sz w:val="24"/>
          <w:szCs w:val="24"/>
          <w:highlight w:val="none"/>
        </w:rPr>
        <w:t>19472.2-2017）等相关规范、规程及现行行业标准的要求</w:t>
      </w:r>
      <w:r>
        <w:rPr>
          <w:rFonts w:hint="eastAsia" w:ascii="宋体" w:hAnsi="宋体" w:eastAsia="宋体" w:cs="宋体"/>
          <w:b w:val="0"/>
          <w:bCs/>
          <w:spacing w:val="-2"/>
          <w:sz w:val="24"/>
          <w:szCs w:val="24"/>
          <w:highlight w:val="none"/>
          <w:lang w:eastAsia="zh-CN"/>
        </w:rPr>
        <w:t>。</w:t>
      </w:r>
    </w:p>
    <w:p w14:paraId="34810CC1">
      <w:pPr>
        <w:pStyle w:val="2"/>
        <w:keepNext w:val="0"/>
        <w:keepLines w:val="0"/>
        <w:pageBreakBefore w:val="0"/>
        <w:widowControl w:val="0"/>
        <w:kinsoku/>
        <w:wordWrap/>
        <w:overflowPunct/>
        <w:topLinePunct w:val="0"/>
        <w:autoSpaceDE/>
        <w:autoSpaceDN/>
        <w:bidi w:val="0"/>
        <w:adjustRightInd/>
        <w:snapToGrid/>
        <w:spacing w:after="0" w:line="360" w:lineRule="auto"/>
        <w:ind w:firstLine="472" w:firstLineChars="200"/>
        <w:textAlignment w:val="auto"/>
        <w:rPr>
          <w:rFonts w:hint="eastAsia" w:ascii="宋体" w:hAnsi="宋体" w:eastAsia="宋体" w:cs="宋体"/>
          <w:b w:val="0"/>
          <w:bCs/>
          <w:spacing w:val="-2"/>
          <w:sz w:val="24"/>
          <w:szCs w:val="24"/>
          <w:highlight w:val="none"/>
          <w:lang w:eastAsia="zh-CN"/>
        </w:rPr>
      </w:pPr>
    </w:p>
    <w:p w14:paraId="6BF588BD">
      <w:pPr>
        <w:pStyle w:val="2"/>
        <w:keepNext w:val="0"/>
        <w:keepLines w:val="0"/>
        <w:pageBreakBefore w:val="0"/>
        <w:widowControl w:val="0"/>
        <w:kinsoku/>
        <w:wordWrap/>
        <w:overflowPunct/>
        <w:topLinePunct w:val="0"/>
        <w:autoSpaceDE/>
        <w:autoSpaceDN/>
        <w:bidi w:val="0"/>
        <w:adjustRightInd/>
        <w:snapToGrid/>
        <w:spacing w:after="0" w:line="360" w:lineRule="auto"/>
        <w:ind w:firstLine="474" w:firstLineChars="200"/>
        <w:textAlignment w:val="auto"/>
        <w:rPr>
          <w:rFonts w:hint="default" w:ascii="宋体" w:hAnsi="宋体" w:eastAsia="宋体" w:cs="宋体"/>
          <w:b/>
          <w:bCs w:val="0"/>
          <w:spacing w:val="-2"/>
          <w:sz w:val="24"/>
          <w:szCs w:val="24"/>
          <w:highlight w:val="none"/>
          <w:lang w:val="en-US" w:eastAsia="zh-CN"/>
        </w:rPr>
      </w:pPr>
      <w:r>
        <w:rPr>
          <w:rFonts w:hint="eastAsia" w:ascii="宋体" w:hAnsi="宋体" w:eastAsia="宋体" w:cs="宋体"/>
          <w:b/>
          <w:bCs w:val="0"/>
          <w:spacing w:val="-2"/>
          <w:sz w:val="24"/>
          <w:szCs w:val="24"/>
          <w:highlight w:val="none"/>
          <w:lang w:eastAsia="zh-CN"/>
        </w:rPr>
        <w:t>（</w:t>
      </w:r>
      <w:r>
        <w:rPr>
          <w:rFonts w:hint="eastAsia" w:ascii="宋体" w:hAnsi="宋体" w:eastAsia="宋体" w:cs="宋体"/>
          <w:b/>
          <w:bCs w:val="0"/>
          <w:spacing w:val="-2"/>
          <w:sz w:val="24"/>
          <w:szCs w:val="24"/>
          <w:highlight w:val="none"/>
          <w:lang w:val="en-US" w:eastAsia="zh-CN"/>
        </w:rPr>
        <w:t>三</w:t>
      </w:r>
      <w:r>
        <w:rPr>
          <w:rFonts w:hint="eastAsia" w:ascii="宋体" w:hAnsi="宋体" w:eastAsia="宋体" w:cs="宋体"/>
          <w:b/>
          <w:bCs w:val="0"/>
          <w:spacing w:val="-2"/>
          <w:sz w:val="24"/>
          <w:szCs w:val="24"/>
          <w:highlight w:val="none"/>
          <w:lang w:eastAsia="zh-CN"/>
        </w:rPr>
        <w:t>）</w:t>
      </w:r>
      <w:r>
        <w:rPr>
          <w:rFonts w:hint="eastAsia" w:ascii="宋体" w:hAnsi="宋体" w:eastAsia="宋体" w:cs="宋体"/>
          <w:b/>
          <w:bCs w:val="0"/>
          <w:spacing w:val="-2"/>
          <w:sz w:val="24"/>
          <w:szCs w:val="24"/>
          <w:highlight w:val="none"/>
          <w:lang w:val="en-US" w:eastAsia="zh-CN"/>
        </w:rPr>
        <w:t>商务要求</w:t>
      </w:r>
    </w:p>
    <w:p w14:paraId="224EAE0F">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1、质量保证期：自验收合格之日起计一年（国家或清单内另有规定高于一年的按其规定执行）；质保期自采购人在每批货物质量验收单上签字之日起计算。 </w:t>
      </w:r>
    </w:p>
    <w:p w14:paraId="056905A6">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cs="宋体"/>
          <w:sz w:val="24"/>
          <w:szCs w:val="24"/>
          <w:highlight w:val="none"/>
          <w:lang w:val="en-US" w:eastAsia="zh-CN"/>
        </w:rPr>
        <w:t>2、付款方式：</w:t>
      </w:r>
      <w:r>
        <w:rPr>
          <w:rFonts w:hint="eastAsia" w:ascii="宋体" w:hAnsi="宋体" w:eastAsia="宋体" w:cs="宋体"/>
          <w:snapToGrid w:val="0"/>
          <w:color w:val="000000"/>
          <w:sz w:val="24"/>
          <w:szCs w:val="24"/>
          <w:highlight w:val="none"/>
          <w:lang w:val="en-US" w:eastAsia="zh-CN" w:bidi="ar-SA"/>
        </w:rPr>
        <w:t>采购人按照中标报价折扣率及实际服务工作量进行结算，每月核算一次，每月15日前再根据中标人上月作业成绩支付相应的月服务费(结算单位为:人民币.元)。</w:t>
      </w:r>
    </w:p>
    <w:p w14:paraId="2F246918">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cs="宋体"/>
          <w:snapToGrid w:val="0"/>
          <w:color w:val="000000"/>
          <w:sz w:val="24"/>
          <w:szCs w:val="24"/>
          <w:highlight w:val="none"/>
          <w:lang w:val="en-US" w:eastAsia="zh-CN" w:bidi="ar-SA"/>
        </w:rPr>
        <w:t>3</w:t>
      </w:r>
      <w:r>
        <w:rPr>
          <w:rFonts w:hint="eastAsia" w:ascii="宋体" w:hAnsi="宋体" w:eastAsia="宋体" w:cs="宋体"/>
          <w:snapToGrid w:val="0"/>
          <w:color w:val="000000"/>
          <w:sz w:val="24"/>
          <w:szCs w:val="24"/>
          <w:highlight w:val="none"/>
          <w:lang w:val="en-US" w:eastAsia="zh-CN" w:bidi="ar-SA"/>
        </w:rPr>
        <w:t>、结算方式</w:t>
      </w:r>
      <w:bookmarkStart w:id="0" w:name="_GoBack"/>
      <w:bookmarkEnd w:id="0"/>
    </w:p>
    <w:p w14:paraId="2E2BCC2C">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cs="宋体"/>
          <w:snapToGrid w:val="0"/>
          <w:color w:val="000000"/>
          <w:sz w:val="24"/>
          <w:szCs w:val="24"/>
          <w:highlight w:val="none"/>
          <w:lang w:val="en-US" w:eastAsia="zh-CN" w:bidi="ar-SA"/>
        </w:rPr>
        <w:t>3</w:t>
      </w:r>
      <w:r>
        <w:rPr>
          <w:rFonts w:hint="eastAsia" w:ascii="宋体" w:hAnsi="宋体" w:eastAsia="宋体" w:cs="宋体"/>
          <w:snapToGrid w:val="0"/>
          <w:color w:val="000000"/>
          <w:sz w:val="24"/>
          <w:szCs w:val="24"/>
          <w:highlight w:val="none"/>
          <w:lang w:val="en-US" w:eastAsia="zh-CN" w:bidi="ar-SA"/>
        </w:rPr>
        <w:t>.1</w:t>
      </w:r>
      <w:r>
        <w:rPr>
          <w:rFonts w:hint="eastAsia" w:ascii="宋体" w:hAnsi="宋体" w:cs="宋体"/>
          <w:snapToGrid w:val="0"/>
          <w:color w:val="000000"/>
          <w:sz w:val="24"/>
          <w:szCs w:val="24"/>
          <w:highlight w:val="none"/>
          <w:lang w:val="en-US" w:eastAsia="zh-CN" w:bidi="ar-SA"/>
        </w:rPr>
        <w:t xml:space="preserve"> </w:t>
      </w:r>
      <w:r>
        <w:rPr>
          <w:rFonts w:hint="eastAsia" w:ascii="宋体" w:hAnsi="宋体" w:eastAsia="宋体" w:cs="宋体"/>
          <w:snapToGrid w:val="0"/>
          <w:color w:val="000000"/>
          <w:sz w:val="24"/>
          <w:szCs w:val="24"/>
          <w:highlight w:val="none"/>
          <w:lang w:val="en-US" w:eastAsia="zh-CN" w:bidi="ar-SA"/>
        </w:rPr>
        <w:t>市政设施维修和管护服务费据实结算，每个单项项目完工并验收合格，经财政评审后</w:t>
      </w:r>
      <w:r>
        <w:rPr>
          <w:rFonts w:hint="eastAsia" w:ascii="宋体" w:hAnsi="宋体" w:cs="宋体"/>
          <w:snapToGrid w:val="0"/>
          <w:color w:val="000000"/>
          <w:sz w:val="24"/>
          <w:szCs w:val="24"/>
          <w:highlight w:val="none"/>
          <w:lang w:val="en-US" w:eastAsia="zh-CN" w:bidi="ar-SA"/>
        </w:rPr>
        <w:t>（如有）</w:t>
      </w:r>
      <w:r>
        <w:rPr>
          <w:rFonts w:hint="eastAsia" w:ascii="宋体" w:hAnsi="宋体" w:eastAsia="宋体" w:cs="宋体"/>
          <w:snapToGrid w:val="0"/>
          <w:color w:val="000000"/>
          <w:sz w:val="24"/>
          <w:szCs w:val="24"/>
          <w:highlight w:val="none"/>
          <w:lang w:val="en-US" w:eastAsia="zh-CN" w:bidi="ar-SA"/>
        </w:rPr>
        <w:t>，按报价折扣率结算。(其中因中标人失职监管不力造成的附属构筑物维修拆除等应急项目费用自行负责)</w:t>
      </w:r>
    </w:p>
    <w:p w14:paraId="3B86F62D">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cs="宋体"/>
          <w:snapToGrid w:val="0"/>
          <w:color w:val="000000"/>
          <w:sz w:val="24"/>
          <w:szCs w:val="24"/>
          <w:highlight w:val="none"/>
          <w:lang w:val="en-US" w:eastAsia="zh-CN" w:bidi="ar-SA"/>
        </w:rPr>
        <w:t>3</w:t>
      </w:r>
      <w:r>
        <w:rPr>
          <w:rFonts w:hint="eastAsia" w:ascii="宋体" w:hAnsi="宋体" w:eastAsia="宋体" w:cs="宋体"/>
          <w:snapToGrid w:val="0"/>
          <w:color w:val="000000"/>
          <w:sz w:val="24"/>
          <w:szCs w:val="24"/>
          <w:highlight w:val="none"/>
          <w:lang w:val="en-US" w:eastAsia="zh-CN" w:bidi="ar-SA"/>
        </w:rPr>
        <w:t>.2</w:t>
      </w:r>
      <w:r>
        <w:rPr>
          <w:rFonts w:hint="eastAsia" w:ascii="宋体" w:hAnsi="宋体" w:cs="宋体"/>
          <w:snapToGrid w:val="0"/>
          <w:color w:val="000000"/>
          <w:sz w:val="24"/>
          <w:szCs w:val="24"/>
          <w:highlight w:val="none"/>
          <w:lang w:val="en-US" w:eastAsia="zh-CN" w:bidi="ar-SA"/>
        </w:rPr>
        <w:t xml:space="preserve"> </w:t>
      </w:r>
      <w:r>
        <w:rPr>
          <w:rFonts w:hint="eastAsia" w:ascii="宋体" w:hAnsi="宋体" w:eastAsia="宋体" w:cs="宋体"/>
          <w:snapToGrid w:val="0"/>
          <w:color w:val="000000"/>
          <w:sz w:val="24"/>
          <w:szCs w:val="24"/>
          <w:highlight w:val="none"/>
          <w:lang w:val="en-US" w:eastAsia="zh-CN" w:bidi="ar-SA"/>
        </w:rPr>
        <w:t>路灯修复和管护服务费据实结算，每个单项项目完工并验收合格，经财政评审后</w:t>
      </w:r>
      <w:r>
        <w:rPr>
          <w:rFonts w:hint="eastAsia" w:ascii="宋体" w:hAnsi="宋体" w:cs="宋体"/>
          <w:snapToGrid w:val="0"/>
          <w:color w:val="000000"/>
          <w:sz w:val="24"/>
          <w:szCs w:val="24"/>
          <w:highlight w:val="none"/>
          <w:lang w:val="en-US" w:eastAsia="zh-CN" w:bidi="ar-SA"/>
        </w:rPr>
        <w:t>（如有）</w:t>
      </w:r>
      <w:r>
        <w:rPr>
          <w:rFonts w:hint="eastAsia" w:ascii="宋体" w:hAnsi="宋体" w:eastAsia="宋体" w:cs="宋体"/>
          <w:snapToGrid w:val="0"/>
          <w:color w:val="000000"/>
          <w:sz w:val="24"/>
          <w:szCs w:val="24"/>
          <w:highlight w:val="none"/>
          <w:lang w:val="en-US" w:eastAsia="zh-CN" w:bidi="ar-SA"/>
        </w:rPr>
        <w:t>，按报价折扣率结算。</w:t>
      </w:r>
    </w:p>
    <w:p w14:paraId="061BC649">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cs="宋体"/>
          <w:snapToGrid w:val="0"/>
          <w:color w:val="000000"/>
          <w:sz w:val="24"/>
          <w:szCs w:val="24"/>
          <w:highlight w:val="none"/>
          <w:lang w:val="en-US" w:eastAsia="zh-CN" w:bidi="ar-SA"/>
        </w:rPr>
        <w:t>3</w:t>
      </w:r>
      <w:r>
        <w:rPr>
          <w:rFonts w:hint="eastAsia" w:ascii="宋体" w:hAnsi="宋体" w:eastAsia="宋体" w:cs="宋体"/>
          <w:snapToGrid w:val="0"/>
          <w:color w:val="000000"/>
          <w:sz w:val="24"/>
          <w:szCs w:val="24"/>
          <w:highlight w:val="none"/>
          <w:lang w:val="en-US" w:eastAsia="zh-CN" w:bidi="ar-SA"/>
        </w:rPr>
        <w:t>.3</w:t>
      </w:r>
      <w:r>
        <w:rPr>
          <w:rFonts w:hint="eastAsia" w:ascii="宋体" w:hAnsi="宋体" w:cs="宋体"/>
          <w:snapToGrid w:val="0"/>
          <w:color w:val="000000"/>
          <w:sz w:val="24"/>
          <w:szCs w:val="24"/>
          <w:highlight w:val="none"/>
          <w:lang w:val="en-US" w:eastAsia="zh-CN" w:bidi="ar-SA"/>
        </w:rPr>
        <w:t xml:space="preserve"> </w:t>
      </w:r>
      <w:r>
        <w:rPr>
          <w:rFonts w:hint="eastAsia" w:ascii="宋体" w:hAnsi="宋体" w:eastAsia="宋体" w:cs="宋体"/>
          <w:snapToGrid w:val="0"/>
          <w:color w:val="000000"/>
          <w:sz w:val="24"/>
          <w:szCs w:val="24"/>
          <w:highlight w:val="none"/>
          <w:lang w:val="en-US" w:eastAsia="zh-CN" w:bidi="ar-SA"/>
        </w:rPr>
        <w:t>园林绿化修复完工并验收合格，经财政评审后</w:t>
      </w:r>
      <w:r>
        <w:rPr>
          <w:rFonts w:hint="eastAsia" w:ascii="宋体" w:hAnsi="宋体" w:cs="宋体"/>
          <w:snapToGrid w:val="0"/>
          <w:color w:val="000000"/>
          <w:sz w:val="24"/>
          <w:szCs w:val="24"/>
          <w:highlight w:val="none"/>
          <w:lang w:val="en-US" w:eastAsia="zh-CN" w:bidi="ar-SA"/>
        </w:rPr>
        <w:t>（如有）</w:t>
      </w:r>
      <w:r>
        <w:rPr>
          <w:rFonts w:hint="eastAsia" w:ascii="宋体" w:hAnsi="宋体" w:eastAsia="宋体" w:cs="宋体"/>
          <w:snapToGrid w:val="0"/>
          <w:color w:val="000000"/>
          <w:sz w:val="24"/>
          <w:szCs w:val="24"/>
          <w:highlight w:val="none"/>
          <w:lang w:val="en-US" w:eastAsia="zh-CN" w:bidi="ar-SA"/>
        </w:rPr>
        <w:t>，按报价折扣率结算;按月结合报价折扣率据实结算。</w:t>
      </w:r>
    </w:p>
    <w:p w14:paraId="6A6F57FF">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3.4 城区及周边违法倾倒建筑垃圾，按月结合报价折扣率据实结算。</w:t>
      </w:r>
    </w:p>
    <w:p w14:paraId="37198D0E">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4、履约保证金的金额：本项目履约保证金为合同金额的5%，中标人可自主选择以支票、汇票、本票或金融机构、担保机构出具的保函等非现金方式提交。中标人在与采购人签订合同前缴纳履约保证金。</w:t>
      </w:r>
    </w:p>
    <w:p w14:paraId="1D548AB9">
      <w:pPr>
        <w:pStyle w:val="5"/>
        <w:spacing w:line="360" w:lineRule="auto"/>
        <w:rPr>
          <w:rFonts w:hint="eastAsia" w:ascii="宋体" w:hAnsi="宋体" w:eastAsia="宋体" w:cs="宋体"/>
          <w:snapToGrid w:val="0"/>
          <w:color w:val="000000"/>
          <w:sz w:val="24"/>
          <w:szCs w:val="24"/>
          <w:highlight w:val="none"/>
          <w:lang w:val="en-US" w:eastAsia="zh-CN" w:bidi="ar-SA"/>
        </w:rPr>
      </w:pPr>
      <w:r>
        <w:rPr>
          <w:rFonts w:hint="eastAsia" w:ascii="宋体" w:hAnsi="宋体" w:cs="宋体"/>
          <w:snapToGrid w:val="0"/>
          <w:color w:val="000000"/>
          <w:sz w:val="24"/>
          <w:szCs w:val="24"/>
          <w:highlight w:val="none"/>
          <w:lang w:val="en-US" w:eastAsia="zh-CN" w:bidi="ar-SA"/>
        </w:rPr>
        <w:t xml:space="preserve">4.1 </w:t>
      </w:r>
      <w:r>
        <w:rPr>
          <w:rFonts w:hint="eastAsia" w:ascii="宋体" w:hAnsi="宋体" w:eastAsia="宋体" w:cs="宋体"/>
          <w:snapToGrid w:val="0"/>
          <w:color w:val="000000"/>
          <w:sz w:val="24"/>
          <w:szCs w:val="24"/>
          <w:highlight w:val="none"/>
          <w:lang w:val="en-US" w:eastAsia="zh-CN" w:bidi="ar-SA"/>
        </w:rPr>
        <w:t>履约保证金的退还</w:t>
      </w:r>
      <w:r>
        <w:rPr>
          <w:rFonts w:hint="eastAsia" w:ascii="宋体" w:hAnsi="宋体" w:cs="宋体"/>
          <w:snapToGrid w:val="0"/>
          <w:color w:val="000000"/>
          <w:sz w:val="24"/>
          <w:szCs w:val="24"/>
          <w:highlight w:val="none"/>
          <w:lang w:val="en-US" w:eastAsia="zh-CN" w:bidi="ar-SA"/>
        </w:rPr>
        <w:t>：</w:t>
      </w:r>
      <w:r>
        <w:rPr>
          <w:rFonts w:hint="eastAsia" w:ascii="宋体" w:hAnsi="宋体" w:eastAsia="宋体" w:cs="宋体"/>
          <w:snapToGrid w:val="0"/>
          <w:color w:val="000000"/>
          <w:sz w:val="24"/>
          <w:szCs w:val="24"/>
          <w:highlight w:val="none"/>
          <w:lang w:val="en-US" w:eastAsia="zh-CN" w:bidi="ar-SA"/>
        </w:rPr>
        <w:t>合同期满，服务区域内各项市政设施经采购人验收合格后，合同履约保证金保函在所有手续交接完毕后5个工作日内，无息退还原中标人。如设施设备有缺损情况，视设施设备的缺损程度扣除相应的款项；</w:t>
      </w:r>
    </w:p>
    <w:p w14:paraId="3DD21C97">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napToGrid w:val="0"/>
          <w:color w:val="000000"/>
          <w:sz w:val="24"/>
          <w:szCs w:val="24"/>
          <w:highlight w:val="none"/>
          <w:lang w:val="en-US" w:eastAsia="zh-CN" w:bidi="ar-SA"/>
        </w:rPr>
        <w:t>5、质量保证期内，成交供应商负责对其提供的产品进行维修和系统维护，不再收取任何费用，但不可抗力（如火灾、雷击等）造成的故障除外。</w:t>
      </w:r>
      <w:r>
        <w:rPr>
          <w:rFonts w:hint="eastAsia" w:ascii="宋体" w:hAnsi="宋体" w:eastAsia="宋体" w:cs="宋体"/>
          <w:sz w:val="24"/>
          <w:szCs w:val="24"/>
          <w:highlight w:val="none"/>
          <w:lang w:val="en-US" w:eastAsia="zh-CN"/>
        </w:rPr>
        <w:t xml:space="preserve"> </w:t>
      </w:r>
    </w:p>
    <w:p w14:paraId="5A692BC4">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6、所有设备或组件保修服务方式均为成交供应商上门保修，即由成交供应商派员到采购人指定地点现场维修，由此产生的一切费用均由成交供应商承担。成交供应商需在接到采购人维修通知后6小时内响应，逾期未响应的，采购人可委托第三方维修，费用由成交供应商承担，超过两次未及时响应，视为成交供应商严重违约，采购人可解除合同。 </w:t>
      </w:r>
    </w:p>
    <w:p w14:paraId="0F944935">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7、保修期后的货物维护由双方协商再定。涵盖货物本身质量问题、安装调试缺陷及正常使用下的性能故障，不得以“使用不当”为由拒绝保修。</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8、投标人需为本项目拟派现场负责人、技术负责人各一人（提供承诺函）。</w:t>
      </w:r>
    </w:p>
    <w:p w14:paraId="2312E3C8">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en-US" w:eastAsia="zh-CN"/>
        </w:rPr>
        <w:t>9、投标报价是招标文件所确定的报价范围内全部工作内容的价格体现。本次投标采用折扣率（%）报价方式（注：所有采购标的最高控制单价折扣率报价须一致且≤100%，否则按无效报价处理）。结算时按中标折扣率（%）*最高控制单价*实际发生的工程量。投标报价应包含所有货物、服务、运保费、装卸费、机械费、管理费、人工、材料、安装、拆除、保险费、检测、验收、利润、税金和政策性文件规定应计取的合法取费等各项费用，采购人不支付除合同金额以外的其他任何费用。</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lang w:val="zh-CN" w:eastAsia="zh-CN"/>
        </w:rPr>
        <w:t>、验收</w:t>
      </w:r>
    </w:p>
    <w:p w14:paraId="747E4DA7">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（1）货物到现场后，由采购人组织有关专业人员共同现场验收。验收时主要对到货货物的 数量、外观、包装质量、技术资料（检测报告、合格证）等进行检查，对货物依照招标文件上的技术规格要求、以及国家有关标准进行验收；货物性能达到技术要求以及最终业主满意需求的，给予签收；验收合格后由采购人（或其授权代表）签署确认验收合格文件，验收时如发现货物的质量、性能不符合招标文件规定标准的，本项目采购人有权在货物验收时予以拒收；因此产生的一切经济损失由中标供应商承担。</w:t>
      </w:r>
    </w:p>
    <w:p w14:paraId="53F77E05">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（2）交付验收标准：依次序对照适用标准为：</w:t>
      </w:r>
    </w:p>
    <w:p w14:paraId="48CDDF85">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①符合中华人民共和国国家相关行业标准。</w:t>
      </w:r>
    </w:p>
    <w:p w14:paraId="22B8CD17">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②符合招标文件和投标承诺中采购人认可的合理最佳配置、参数及各项要求。</w:t>
      </w:r>
    </w:p>
    <w:p w14:paraId="4991BD5D">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注：上述标准必须是有关官方机构发布的最新版本的标准。</w:t>
      </w:r>
    </w:p>
    <w:p w14:paraId="349C1953">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（3）中标供应商须为验收提供必需的设备、工具及其他便利条件。</w:t>
      </w:r>
    </w:p>
    <w:p w14:paraId="5146721A">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（4）在验收过程中发现有质量、技术等问题，中标供应商应负责按照采购人的要求采取更换或退货等措施妥善处理，并承担由此发生的一切费用和损失。</w:t>
      </w:r>
    </w:p>
    <w:p w14:paraId="21D555C0">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（5）对于不合格的货物，中标供应商必须在7个工作日内及时完成更换并重新对更换货物进行验收。</w:t>
      </w:r>
    </w:p>
    <w:p w14:paraId="14DA721A">
      <w:pPr>
        <w:spacing w:line="360" w:lineRule="auto"/>
        <w:rPr>
          <w:rFonts w:hint="eastAsia" w:ascii="宋体" w:hAnsi="宋体" w:eastAsia="宋体" w:cs="宋体"/>
          <w:sz w:val="24"/>
          <w:szCs w:val="24"/>
          <w:highlight w:val="none"/>
          <w:lang w:val="zh-CN" w:eastAsia="zh-CN"/>
        </w:rPr>
      </w:pPr>
      <w:r>
        <w:rPr>
          <w:rFonts w:hint="eastAsia" w:ascii="宋体" w:hAnsi="宋体" w:eastAsia="宋体" w:cs="宋体"/>
          <w:sz w:val="24"/>
          <w:szCs w:val="24"/>
          <w:highlight w:val="none"/>
          <w:lang w:val="zh-CN" w:eastAsia="zh-CN"/>
        </w:rPr>
        <w:t>（6）货物验收所产生的一切费用（含所有检测费用、验收费）由中标供应商全部承担。</w:t>
      </w:r>
    </w:p>
    <w:p w14:paraId="32977B5C">
      <w:pPr>
        <w:pageBreakBefore w:val="0"/>
        <w:widowControl w:val="0"/>
        <w:wordWrap/>
        <w:overflowPunct/>
        <w:topLinePunct w:val="0"/>
        <w:bidi w:val="0"/>
        <w:spacing w:line="283" w:lineRule="auto"/>
        <w:rPr>
          <w:color w:val="auto"/>
          <w:spacing w:val="0"/>
          <w:position w:val="0"/>
          <w:highlight w:val="none"/>
          <w:lang w:eastAsia="zh-CN"/>
        </w:rPr>
      </w:pPr>
      <w:r>
        <w:rPr>
          <w:rFonts w:hint="eastAsia" w:cs="宋体" w:asciiTheme="majorEastAsia" w:hAnsiTheme="majorEastAsia" w:eastAsiaTheme="majorEastAsia"/>
          <w:color w:val="auto"/>
          <w:sz w:val="24"/>
          <w:highlight w:val="none"/>
          <w:lang w:val="en-US" w:bidi="zh-CN"/>
        </w:rPr>
        <w:t>11</w:t>
      </w:r>
      <w:r>
        <w:rPr>
          <w:rFonts w:hint="eastAsia" w:cs="宋体" w:asciiTheme="majorEastAsia" w:hAnsiTheme="majorEastAsia" w:eastAsiaTheme="majorEastAsia"/>
          <w:color w:val="auto"/>
          <w:sz w:val="24"/>
          <w:highlight w:val="none"/>
          <w:lang w:val="zh-CN" w:bidi="zh-CN"/>
        </w:rPr>
        <w:t>、未尽事宜，请与采购人联系。</w:t>
      </w:r>
    </w:p>
    <w:p w14:paraId="3D503EAB"/>
    <w:sectPr>
      <w:pgSz w:w="11906" w:h="16838"/>
      <w:pgMar w:top="1440" w:right="1474" w:bottom="1440"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B5372"/>
    <w:multiLevelType w:val="multilevel"/>
    <w:tmpl w:val="845B5372"/>
    <w:lvl w:ilvl="0" w:tentative="0">
      <w:start w:val="2"/>
      <w:numFmt w:val="decimal"/>
      <w:lvlText w:val="（%1）"/>
      <w:lvlJc w:val="left"/>
      <w:pPr>
        <w:ind w:left="1113" w:hanging="526"/>
        <w:jc w:val="left"/>
      </w:pPr>
      <w:rPr>
        <w:rFonts w:hint="default" w:ascii="宋体" w:hAnsi="宋体" w:eastAsia="宋体" w:cs="宋体"/>
        <w:b w:val="0"/>
        <w:bCs w:val="0"/>
        <w:i w:val="0"/>
        <w:iCs w:val="0"/>
        <w:spacing w:val="0"/>
        <w:w w:val="100"/>
        <w:sz w:val="24"/>
        <w:szCs w:val="24"/>
        <w:lang w:val="en-US" w:eastAsia="zh-CN" w:bidi="ar-SA"/>
      </w:rPr>
    </w:lvl>
    <w:lvl w:ilvl="1" w:tentative="0">
      <w:start w:val="0"/>
      <w:numFmt w:val="bullet"/>
      <w:lvlText w:val="•"/>
      <w:lvlJc w:val="left"/>
      <w:pPr>
        <w:ind w:left="2052" w:hanging="526"/>
      </w:pPr>
      <w:rPr>
        <w:rFonts w:hint="default"/>
        <w:lang w:val="en-US" w:eastAsia="zh-CN" w:bidi="ar-SA"/>
      </w:rPr>
    </w:lvl>
    <w:lvl w:ilvl="2" w:tentative="0">
      <w:start w:val="0"/>
      <w:numFmt w:val="bullet"/>
      <w:lvlText w:val="•"/>
      <w:lvlJc w:val="left"/>
      <w:pPr>
        <w:ind w:left="2984" w:hanging="526"/>
      </w:pPr>
      <w:rPr>
        <w:rFonts w:hint="default"/>
        <w:lang w:val="en-US" w:eastAsia="zh-CN" w:bidi="ar-SA"/>
      </w:rPr>
    </w:lvl>
    <w:lvl w:ilvl="3" w:tentative="0">
      <w:start w:val="0"/>
      <w:numFmt w:val="bullet"/>
      <w:lvlText w:val="•"/>
      <w:lvlJc w:val="left"/>
      <w:pPr>
        <w:ind w:left="3916" w:hanging="526"/>
      </w:pPr>
      <w:rPr>
        <w:rFonts w:hint="default"/>
        <w:lang w:val="en-US" w:eastAsia="zh-CN" w:bidi="ar-SA"/>
      </w:rPr>
    </w:lvl>
    <w:lvl w:ilvl="4" w:tentative="0">
      <w:start w:val="0"/>
      <w:numFmt w:val="bullet"/>
      <w:lvlText w:val="•"/>
      <w:lvlJc w:val="left"/>
      <w:pPr>
        <w:ind w:left="4848" w:hanging="526"/>
      </w:pPr>
      <w:rPr>
        <w:rFonts w:hint="default"/>
        <w:lang w:val="en-US" w:eastAsia="zh-CN" w:bidi="ar-SA"/>
      </w:rPr>
    </w:lvl>
    <w:lvl w:ilvl="5" w:tentative="0">
      <w:start w:val="0"/>
      <w:numFmt w:val="bullet"/>
      <w:lvlText w:val="•"/>
      <w:lvlJc w:val="left"/>
      <w:pPr>
        <w:ind w:left="5780" w:hanging="526"/>
      </w:pPr>
      <w:rPr>
        <w:rFonts w:hint="default"/>
        <w:lang w:val="en-US" w:eastAsia="zh-CN" w:bidi="ar-SA"/>
      </w:rPr>
    </w:lvl>
    <w:lvl w:ilvl="6" w:tentative="0">
      <w:start w:val="0"/>
      <w:numFmt w:val="bullet"/>
      <w:lvlText w:val="•"/>
      <w:lvlJc w:val="left"/>
      <w:pPr>
        <w:ind w:left="6712" w:hanging="526"/>
      </w:pPr>
      <w:rPr>
        <w:rFonts w:hint="default"/>
        <w:lang w:val="en-US" w:eastAsia="zh-CN" w:bidi="ar-SA"/>
      </w:rPr>
    </w:lvl>
    <w:lvl w:ilvl="7" w:tentative="0">
      <w:start w:val="0"/>
      <w:numFmt w:val="bullet"/>
      <w:lvlText w:val="•"/>
      <w:lvlJc w:val="left"/>
      <w:pPr>
        <w:ind w:left="7644" w:hanging="526"/>
      </w:pPr>
      <w:rPr>
        <w:rFonts w:hint="default"/>
        <w:lang w:val="en-US" w:eastAsia="zh-CN" w:bidi="ar-SA"/>
      </w:rPr>
    </w:lvl>
    <w:lvl w:ilvl="8" w:tentative="0">
      <w:start w:val="0"/>
      <w:numFmt w:val="bullet"/>
      <w:lvlText w:val="•"/>
      <w:lvlJc w:val="left"/>
      <w:pPr>
        <w:ind w:left="8576" w:hanging="526"/>
      </w:pPr>
      <w:rPr>
        <w:rFonts w:hint="default"/>
        <w:lang w:val="en-US" w:eastAsia="zh-CN" w:bidi="ar-SA"/>
      </w:rPr>
    </w:lvl>
  </w:abstractNum>
  <w:abstractNum w:abstractNumId="1">
    <w:nsid w:val="5E29AB5A"/>
    <w:multiLevelType w:val="multilevel"/>
    <w:tmpl w:val="5E29AB5A"/>
    <w:lvl w:ilvl="0" w:tentative="0">
      <w:start w:val="1"/>
      <w:numFmt w:val="decimal"/>
      <w:lvlText w:val="（%1）"/>
      <w:lvlJc w:val="left"/>
      <w:pPr>
        <w:ind w:left="1113" w:hanging="526"/>
        <w:jc w:val="left"/>
      </w:pPr>
      <w:rPr>
        <w:rFonts w:hint="default" w:ascii="宋体" w:hAnsi="宋体" w:eastAsia="宋体" w:cs="宋体"/>
        <w:b w:val="0"/>
        <w:bCs w:val="0"/>
        <w:i w:val="0"/>
        <w:iCs w:val="0"/>
        <w:spacing w:val="0"/>
        <w:w w:val="100"/>
        <w:sz w:val="24"/>
        <w:szCs w:val="24"/>
        <w:lang w:val="en-US" w:eastAsia="zh-CN" w:bidi="ar-SA"/>
      </w:rPr>
    </w:lvl>
    <w:lvl w:ilvl="1" w:tentative="0">
      <w:start w:val="0"/>
      <w:numFmt w:val="bullet"/>
      <w:lvlText w:val="•"/>
      <w:lvlJc w:val="left"/>
      <w:pPr>
        <w:ind w:left="2052" w:hanging="526"/>
      </w:pPr>
      <w:rPr>
        <w:rFonts w:hint="default"/>
        <w:lang w:val="en-US" w:eastAsia="zh-CN" w:bidi="ar-SA"/>
      </w:rPr>
    </w:lvl>
    <w:lvl w:ilvl="2" w:tentative="0">
      <w:start w:val="0"/>
      <w:numFmt w:val="bullet"/>
      <w:lvlText w:val="•"/>
      <w:lvlJc w:val="left"/>
      <w:pPr>
        <w:ind w:left="2984" w:hanging="526"/>
      </w:pPr>
      <w:rPr>
        <w:rFonts w:hint="default"/>
        <w:lang w:val="en-US" w:eastAsia="zh-CN" w:bidi="ar-SA"/>
      </w:rPr>
    </w:lvl>
    <w:lvl w:ilvl="3" w:tentative="0">
      <w:start w:val="0"/>
      <w:numFmt w:val="bullet"/>
      <w:lvlText w:val="•"/>
      <w:lvlJc w:val="left"/>
      <w:pPr>
        <w:ind w:left="3916" w:hanging="526"/>
      </w:pPr>
      <w:rPr>
        <w:rFonts w:hint="default"/>
        <w:lang w:val="en-US" w:eastAsia="zh-CN" w:bidi="ar-SA"/>
      </w:rPr>
    </w:lvl>
    <w:lvl w:ilvl="4" w:tentative="0">
      <w:start w:val="0"/>
      <w:numFmt w:val="bullet"/>
      <w:lvlText w:val="•"/>
      <w:lvlJc w:val="left"/>
      <w:pPr>
        <w:ind w:left="4848" w:hanging="526"/>
      </w:pPr>
      <w:rPr>
        <w:rFonts w:hint="default"/>
        <w:lang w:val="en-US" w:eastAsia="zh-CN" w:bidi="ar-SA"/>
      </w:rPr>
    </w:lvl>
    <w:lvl w:ilvl="5" w:tentative="0">
      <w:start w:val="0"/>
      <w:numFmt w:val="bullet"/>
      <w:lvlText w:val="•"/>
      <w:lvlJc w:val="left"/>
      <w:pPr>
        <w:ind w:left="5780" w:hanging="526"/>
      </w:pPr>
      <w:rPr>
        <w:rFonts w:hint="default"/>
        <w:lang w:val="en-US" w:eastAsia="zh-CN" w:bidi="ar-SA"/>
      </w:rPr>
    </w:lvl>
    <w:lvl w:ilvl="6" w:tentative="0">
      <w:start w:val="0"/>
      <w:numFmt w:val="bullet"/>
      <w:lvlText w:val="•"/>
      <w:lvlJc w:val="left"/>
      <w:pPr>
        <w:ind w:left="6712" w:hanging="526"/>
      </w:pPr>
      <w:rPr>
        <w:rFonts w:hint="default"/>
        <w:lang w:val="en-US" w:eastAsia="zh-CN" w:bidi="ar-SA"/>
      </w:rPr>
    </w:lvl>
    <w:lvl w:ilvl="7" w:tentative="0">
      <w:start w:val="0"/>
      <w:numFmt w:val="bullet"/>
      <w:lvlText w:val="•"/>
      <w:lvlJc w:val="left"/>
      <w:pPr>
        <w:ind w:left="7644" w:hanging="526"/>
      </w:pPr>
      <w:rPr>
        <w:rFonts w:hint="default"/>
        <w:lang w:val="en-US" w:eastAsia="zh-CN" w:bidi="ar-SA"/>
      </w:rPr>
    </w:lvl>
    <w:lvl w:ilvl="8" w:tentative="0">
      <w:start w:val="0"/>
      <w:numFmt w:val="bullet"/>
      <w:lvlText w:val="•"/>
      <w:lvlJc w:val="left"/>
      <w:pPr>
        <w:ind w:left="8576" w:hanging="526"/>
      </w:pPr>
      <w:rPr>
        <w:rFonts w:hint="default"/>
        <w:lang w:val="en-US" w:eastAsia="zh-CN"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FC05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6"/>
    <w:basedOn w:val="1"/>
    <w:next w:val="1"/>
    <w:qFormat/>
    <w:uiPriority w:val="1"/>
    <w:pPr>
      <w:ind w:left="166"/>
      <w:outlineLvl w:val="5"/>
    </w:pPr>
    <w:rPr>
      <w:rFonts w:ascii="微软雅黑" w:hAnsi="微软雅黑" w:eastAsia="微软雅黑" w:cs="微软雅黑"/>
      <w:b/>
      <w:bCs/>
      <w:sz w:val="21"/>
      <w:szCs w:val="21"/>
      <w:lang w:val="en-US" w:eastAsia="zh-CN"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5">
    <w:name w:val="toa heading"/>
    <w:basedOn w:val="1"/>
    <w:next w:val="1"/>
    <w:qFormat/>
    <w:uiPriority w:val="0"/>
    <w:rPr>
      <w:rFonts w:ascii="Arial" w:hAnsi="Arial" w:eastAsia="宋体" w:cs="Times New Roman"/>
      <w:sz w:val="24"/>
    </w:rPr>
  </w:style>
  <w:style w:type="character" w:customStyle="1" w:styleId="8">
    <w:name w:val="font11"/>
    <w:basedOn w:val="7"/>
    <w:qFormat/>
    <w:uiPriority w:val="0"/>
    <w:rPr>
      <w:rFonts w:hint="eastAsia" w:ascii="宋体" w:hAnsi="宋体" w:eastAsia="宋体" w:cs="宋体"/>
      <w:color w:val="000000"/>
      <w:sz w:val="24"/>
      <w:szCs w:val="24"/>
      <w:u w:val="none"/>
    </w:rPr>
  </w:style>
  <w:style w:type="character" w:customStyle="1" w:styleId="9">
    <w:name w:val="font41"/>
    <w:basedOn w:val="7"/>
    <w:qFormat/>
    <w:uiPriority w:val="0"/>
    <w:rPr>
      <w:rFonts w:hint="eastAsia" w:ascii="宋体" w:hAnsi="宋体" w:eastAsia="宋体" w:cs="宋体"/>
      <w:color w:val="FF0000"/>
      <w:sz w:val="24"/>
      <w:szCs w:val="24"/>
      <w:u w:val="none"/>
    </w:rPr>
  </w:style>
  <w:style w:type="character" w:customStyle="1" w:styleId="10">
    <w:name w:val="font61"/>
    <w:basedOn w:val="7"/>
    <w:qFormat/>
    <w:uiPriority w:val="0"/>
    <w:rPr>
      <w:rFonts w:ascii="宋体" w:hAnsi="宋体" w:eastAsia="宋体" w:cs="宋体"/>
      <w:color w:val="000000"/>
      <w:sz w:val="24"/>
      <w:szCs w:val="24"/>
      <w:u w:val="none"/>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style>
  <w:style w:type="paragraph" w:styleId="13">
    <w:name w:val="List Paragraph"/>
    <w:basedOn w:val="1"/>
    <w:qFormat/>
    <w:uiPriority w:val="1"/>
    <w:pPr>
      <w:ind w:left="166" w:firstLine="416"/>
    </w:pPr>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2026-06-10T06:54:03Z</dcterms:created>
  <dc:creator>Administrator</dc:creator>
  <cp:lastModifiedBy>琳子</cp:lastModifiedBy>
  <dcterms:modified xsi:type="dcterms:W3CDTF">2026-06-10T06:54:56Z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KSOTemplateDocerSaveRecord">
    <vt:lpwstr>eyJoZGlkIjoiNWUxOTAxMzkxM2I2OTY3NzE5M2U5YTMyYTcyOWE4MzkiLCJ1c2VySWQiOiI5MDY4NTA5NjkifQ==</vt:lpwstr>
  </property>
  <property fmtid="{D5CDD505-2E9C-101B-9397-08002B2CF9AE}" pid="4" name="ICV">
    <vt:lpwstr>16F06B81895D4D11A4C463B19DA3D99D_12</vt:lpwstr>
  </property>
</Properties>
</file>