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0D9C0787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213747F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需求</w:t>
      </w:r>
    </w:p>
    <w:p w14:paraId="5A7A7476">
      <w:pPr>
        <w:spacing w:before="294" w:line="220" w:lineRule="auto"/>
        <w:ind w:left="49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（一）项目情况</w:t>
      </w:r>
    </w:p>
    <w:p w14:paraId="368868FD">
      <w:pPr>
        <w:pStyle w:val="2"/>
        <w:spacing w:line="268" w:lineRule="auto"/>
      </w:pPr>
    </w:p>
    <w:p w14:paraId="14087C16">
      <w:pPr>
        <w:spacing w:before="78" w:line="345" w:lineRule="auto"/>
        <w:ind w:left="430" w:firstLine="48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2"/>
          <w:sz w:val="24"/>
          <w:szCs w:val="24"/>
          <w:lang w:eastAsia="zh-CN"/>
        </w:rPr>
        <w:t>江西省⻘少年柔道、拳击、跆拳道锦标赛</w:t>
      </w:r>
      <w:r>
        <w:rPr>
          <w:rFonts w:ascii="宋体" w:hAnsi="宋体" w:eastAsia="宋体" w:cs="宋体"/>
          <w:spacing w:val="2"/>
          <w:sz w:val="24"/>
          <w:szCs w:val="24"/>
        </w:rPr>
        <w:t>项目按照赛事安排部署</w:t>
      </w:r>
      <w:r>
        <w:rPr>
          <w:rFonts w:ascii="宋体" w:hAnsi="宋体" w:eastAsia="宋体" w:cs="宋体"/>
          <w:spacing w:val="-1"/>
          <w:sz w:val="24"/>
          <w:szCs w:val="24"/>
        </w:rPr>
        <w:t>（最终承办赛事事项以合同签</w:t>
      </w:r>
      <w:r>
        <w:rPr>
          <w:rFonts w:ascii="宋体" w:hAnsi="宋体" w:eastAsia="宋体" w:cs="宋体"/>
          <w:spacing w:val="-2"/>
          <w:sz w:val="24"/>
          <w:szCs w:val="24"/>
        </w:rPr>
        <w:t>订为准）</w:t>
      </w:r>
    </w:p>
    <w:tbl>
      <w:tblPr>
        <w:tblStyle w:val="6"/>
        <w:tblW w:w="936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10"/>
        <w:gridCol w:w="1213"/>
        <w:gridCol w:w="1821"/>
        <w:gridCol w:w="2156"/>
        <w:gridCol w:w="2008"/>
        <w:gridCol w:w="1759"/>
      </w:tblGrid>
      <w:tr w14:paraId="44087D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7608" w:type="dxa"/>
            <w:gridSpan w:val="5"/>
            <w:vAlign w:val="center"/>
          </w:tcPr>
          <w:p w14:paraId="0FF6F1B6">
            <w:pPr>
              <w:pStyle w:val="5"/>
              <w:snapToGrid w:val="0"/>
              <w:spacing w:before="100" w:line="240" w:lineRule="auto"/>
              <w:ind w:left="0" w:leftChars="0" w:right="0" w:rightChars="0" w:firstLine="0" w:firstLineChars="0"/>
              <w:jc w:val="center"/>
            </w:pPr>
            <w:r>
              <w:rPr>
                <w:b/>
                <w:bCs/>
                <w:spacing w:val="-4"/>
              </w:rPr>
              <w:t>赛事项目表</w:t>
            </w:r>
          </w:p>
        </w:tc>
        <w:tc>
          <w:tcPr>
            <w:tcW w:w="1759" w:type="dxa"/>
            <w:vAlign w:val="center"/>
          </w:tcPr>
          <w:p w14:paraId="2AB4C89A">
            <w:pPr>
              <w:pStyle w:val="5"/>
              <w:snapToGrid w:val="0"/>
              <w:spacing w:before="100" w:line="240" w:lineRule="auto"/>
              <w:ind w:left="0" w:leftChars="0" w:right="0" w:rightChars="0" w:firstLine="0" w:firstLineChars="0"/>
              <w:jc w:val="center"/>
              <w:rPr>
                <w:rFonts w:hint="eastAsia" w:eastAsia="宋体"/>
                <w:b/>
                <w:bCs/>
                <w:spacing w:val="-4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spacing w:val="-4"/>
                <w:lang w:val="en-US" w:eastAsia="zh-CN"/>
              </w:rPr>
              <w:t>备注</w:t>
            </w:r>
          </w:p>
        </w:tc>
      </w:tr>
      <w:tr w14:paraId="7878BA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410" w:type="dxa"/>
            <w:textDirection w:val="tbRlV"/>
            <w:vAlign w:val="center"/>
          </w:tcPr>
          <w:p w14:paraId="46ED48BF">
            <w:pPr>
              <w:pStyle w:val="5"/>
              <w:snapToGrid w:val="0"/>
              <w:spacing w:before="174" w:line="240" w:lineRule="auto"/>
              <w:ind w:left="0" w:leftChars="0" w:right="0" w:rightChars="0" w:firstLine="0" w:firstLineChars="0"/>
              <w:jc w:val="center"/>
            </w:pPr>
            <w:r>
              <w:rPr>
                <w:spacing w:val="35"/>
              </w:rPr>
              <w:t>序号</w:t>
            </w:r>
          </w:p>
        </w:tc>
        <w:tc>
          <w:tcPr>
            <w:tcW w:w="1213" w:type="dxa"/>
            <w:vAlign w:val="center"/>
          </w:tcPr>
          <w:p w14:paraId="4E0ACF69">
            <w:pPr>
              <w:pStyle w:val="5"/>
              <w:snapToGrid w:val="0"/>
              <w:spacing w:before="189" w:line="240" w:lineRule="auto"/>
              <w:ind w:left="0" w:leftChars="0" w:right="0" w:rightChars="0" w:firstLine="0" w:firstLineChars="0"/>
              <w:jc w:val="center"/>
            </w:pPr>
            <w:r>
              <w:rPr>
                <w:spacing w:val="-4"/>
              </w:rPr>
              <w:t>组别</w:t>
            </w:r>
          </w:p>
        </w:tc>
        <w:tc>
          <w:tcPr>
            <w:tcW w:w="1821" w:type="dxa"/>
            <w:vAlign w:val="center"/>
          </w:tcPr>
          <w:p w14:paraId="525327C0">
            <w:pPr>
              <w:pStyle w:val="5"/>
              <w:snapToGrid w:val="0"/>
              <w:spacing w:before="189" w:line="240" w:lineRule="auto"/>
              <w:ind w:left="0" w:leftChars="0" w:right="0" w:rightChars="0" w:firstLine="0" w:firstLineChars="0"/>
              <w:jc w:val="center"/>
            </w:pPr>
            <w:r>
              <w:rPr>
                <w:spacing w:val="-4"/>
              </w:rPr>
              <w:t>项目</w:t>
            </w:r>
          </w:p>
        </w:tc>
        <w:tc>
          <w:tcPr>
            <w:tcW w:w="2156" w:type="dxa"/>
            <w:vAlign w:val="center"/>
          </w:tcPr>
          <w:p w14:paraId="409626EF">
            <w:pPr>
              <w:pStyle w:val="5"/>
              <w:snapToGrid w:val="0"/>
              <w:spacing w:before="33" w:line="240" w:lineRule="auto"/>
              <w:ind w:left="0" w:leftChars="0" w:right="0" w:rightChars="0" w:firstLine="0" w:firstLineChars="0"/>
              <w:jc w:val="center"/>
            </w:pPr>
            <w:r>
              <w:rPr>
                <w:spacing w:val="-2"/>
              </w:rPr>
              <w:t>运动队测算</w:t>
            </w:r>
            <w:r>
              <w:rPr>
                <w:spacing w:val="-3"/>
              </w:rPr>
              <w:t>人数\人</w:t>
            </w:r>
          </w:p>
        </w:tc>
        <w:tc>
          <w:tcPr>
            <w:tcW w:w="2008" w:type="dxa"/>
            <w:vAlign w:val="center"/>
          </w:tcPr>
          <w:p w14:paraId="2C6E862E">
            <w:pPr>
              <w:pStyle w:val="5"/>
              <w:snapToGrid w:val="0"/>
              <w:spacing w:before="33" w:line="240" w:lineRule="auto"/>
              <w:ind w:left="0" w:leftChars="0" w:right="0" w:rightChars="0" w:firstLine="0" w:firstLineChars="0"/>
              <w:jc w:val="center"/>
            </w:pPr>
            <w:r>
              <w:rPr>
                <w:spacing w:val="-3"/>
              </w:rPr>
              <w:t>裁判员测算人数\人</w:t>
            </w:r>
          </w:p>
        </w:tc>
        <w:tc>
          <w:tcPr>
            <w:tcW w:w="1759" w:type="dxa"/>
            <w:vAlign w:val="center"/>
          </w:tcPr>
          <w:p w14:paraId="647B9C3F">
            <w:pPr>
              <w:pStyle w:val="5"/>
              <w:snapToGrid w:val="0"/>
              <w:spacing w:before="33" w:line="240" w:lineRule="auto"/>
              <w:ind w:left="0" w:leftChars="0" w:right="0" w:rightChars="0" w:firstLine="0" w:firstLineChars="0"/>
              <w:jc w:val="center"/>
              <w:rPr>
                <w:spacing w:val="-3"/>
              </w:rPr>
            </w:pPr>
          </w:p>
        </w:tc>
      </w:tr>
      <w:tr w14:paraId="1FF184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0" w:type="dxa"/>
            <w:vAlign w:val="center"/>
          </w:tcPr>
          <w:p w14:paraId="316F95F8">
            <w:pPr>
              <w:pStyle w:val="5"/>
              <w:snapToGrid w:val="0"/>
              <w:spacing w:before="4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  <w:r>
              <w:rPr>
                <w:rFonts w:ascii="Arial" w:eastAsia="Arial"/>
                <w:sz w:val="21"/>
              </w:rPr>
              <w:t>1</w:t>
            </w:r>
          </w:p>
        </w:tc>
        <w:tc>
          <w:tcPr>
            <w:tcW w:w="1213" w:type="dxa"/>
            <w:vMerge w:val="restart"/>
            <w:tcBorders>
              <w:bottom w:val="nil"/>
            </w:tcBorders>
            <w:vAlign w:val="center"/>
          </w:tcPr>
          <w:p w14:paraId="3D788F90">
            <w:pPr>
              <w:pStyle w:val="5"/>
              <w:snapToGrid w:val="0"/>
              <w:spacing w:before="78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  <w:r>
              <w:rPr>
                <w:rFonts w:ascii="Arial" w:eastAsia="Arial"/>
                <w:spacing w:val="-3"/>
                <w:sz w:val="21"/>
              </w:rPr>
              <w:t>青少年部</w:t>
            </w:r>
          </w:p>
        </w:tc>
        <w:tc>
          <w:tcPr>
            <w:tcW w:w="1821" w:type="dxa"/>
            <w:vAlign w:val="center"/>
          </w:tcPr>
          <w:p w14:paraId="10088018">
            <w:pPr>
              <w:pStyle w:val="5"/>
              <w:snapToGrid w:val="0"/>
              <w:spacing w:before="4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1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⻘少年柔道</w:t>
            </w:r>
          </w:p>
        </w:tc>
        <w:tc>
          <w:tcPr>
            <w:tcW w:w="2156" w:type="dxa"/>
            <w:vAlign w:val="center"/>
          </w:tcPr>
          <w:p w14:paraId="4114D013">
            <w:pPr>
              <w:pStyle w:val="5"/>
              <w:snapToGrid w:val="0"/>
              <w:spacing w:before="4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3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2008" w:type="dxa"/>
            <w:vAlign w:val="center"/>
          </w:tcPr>
          <w:p w14:paraId="2248F352">
            <w:pPr>
              <w:pStyle w:val="5"/>
              <w:snapToGrid w:val="0"/>
              <w:spacing w:before="4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3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759" w:type="dxa"/>
            <w:vAlign w:val="center"/>
          </w:tcPr>
          <w:p w14:paraId="2332870D">
            <w:pPr>
              <w:pStyle w:val="5"/>
              <w:snapToGrid w:val="0"/>
              <w:spacing w:before="45" w:line="240" w:lineRule="auto"/>
              <w:ind w:left="0" w:leftChars="0" w:right="0" w:rightChars="0" w:firstLine="0" w:firstLineChars="0"/>
              <w:jc w:val="center"/>
              <w:rPr>
                <w:rFonts w:hint="eastAsia" w:ascii="Arial" w:eastAsia="Arial"/>
                <w:color w:val="000000" w:themeColor="text1"/>
                <w:spacing w:val="-3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pacing w:val="-3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提供全过程服务</w:t>
            </w:r>
          </w:p>
        </w:tc>
      </w:tr>
      <w:tr w14:paraId="0548A0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0" w:type="dxa"/>
            <w:vAlign w:val="center"/>
          </w:tcPr>
          <w:p w14:paraId="3FDBE720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  <w:r>
              <w:rPr>
                <w:rFonts w:ascii="Arial" w:eastAsia="Arial"/>
                <w:sz w:val="21"/>
              </w:rPr>
              <w:t>2</w:t>
            </w:r>
          </w:p>
        </w:tc>
        <w:tc>
          <w:tcPr>
            <w:tcW w:w="1213" w:type="dxa"/>
            <w:vMerge w:val="continue"/>
            <w:tcBorders>
              <w:top w:val="nil"/>
              <w:bottom w:val="nil"/>
            </w:tcBorders>
            <w:vAlign w:val="center"/>
          </w:tcPr>
          <w:p w14:paraId="4775A7E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821" w:type="dxa"/>
            <w:vAlign w:val="center"/>
          </w:tcPr>
          <w:p w14:paraId="3E7A5CEB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2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⻘少年</w:t>
            </w:r>
            <w:r>
              <w:rPr>
                <w:rFonts w:hint="eastAsia" w:ascii="Arial" w:eastAsia="Arial"/>
                <w:color w:val="000000" w:themeColor="text1"/>
                <w:spacing w:val="-2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跆拳道</w:t>
            </w:r>
          </w:p>
        </w:tc>
        <w:tc>
          <w:tcPr>
            <w:tcW w:w="2156" w:type="dxa"/>
            <w:vAlign w:val="center"/>
          </w:tcPr>
          <w:p w14:paraId="63CED6B2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4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769</w:t>
            </w:r>
          </w:p>
        </w:tc>
        <w:tc>
          <w:tcPr>
            <w:tcW w:w="2008" w:type="dxa"/>
            <w:vAlign w:val="center"/>
          </w:tcPr>
          <w:p w14:paraId="5F93F598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4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1759" w:type="dxa"/>
            <w:vAlign w:val="center"/>
          </w:tcPr>
          <w:p w14:paraId="237A7726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hint="eastAsia" w:ascii="Arial" w:eastAsia="Arial"/>
                <w:color w:val="000000" w:themeColor="text1"/>
                <w:spacing w:val="-4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pacing w:val="-3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提供全过程服务</w:t>
            </w:r>
          </w:p>
        </w:tc>
      </w:tr>
      <w:tr w14:paraId="02E13A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0" w:type="dxa"/>
            <w:vAlign w:val="center"/>
          </w:tcPr>
          <w:p w14:paraId="2293C527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  <w:r>
              <w:rPr>
                <w:rFonts w:ascii="Arial" w:eastAsia="Arial"/>
                <w:sz w:val="21"/>
              </w:rPr>
              <w:t>3</w:t>
            </w:r>
          </w:p>
        </w:tc>
        <w:tc>
          <w:tcPr>
            <w:tcW w:w="1213" w:type="dxa"/>
            <w:vMerge w:val="continue"/>
            <w:tcBorders>
              <w:top w:val="nil"/>
              <w:bottom w:val="nil"/>
            </w:tcBorders>
            <w:vAlign w:val="center"/>
          </w:tcPr>
          <w:p w14:paraId="4A714A4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sz w:val="21"/>
              </w:rPr>
            </w:pPr>
          </w:p>
        </w:tc>
        <w:tc>
          <w:tcPr>
            <w:tcW w:w="1821" w:type="dxa"/>
            <w:vAlign w:val="center"/>
          </w:tcPr>
          <w:p w14:paraId="31545C43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1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⻘少年</w:t>
            </w:r>
            <w:r>
              <w:rPr>
                <w:rFonts w:hint="eastAsia" w:ascii="Arial" w:eastAsia="Arial"/>
                <w:color w:val="000000" w:themeColor="text1"/>
                <w:spacing w:val="-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拳击</w:t>
            </w:r>
          </w:p>
        </w:tc>
        <w:tc>
          <w:tcPr>
            <w:tcW w:w="2156" w:type="dxa"/>
            <w:vAlign w:val="center"/>
          </w:tcPr>
          <w:p w14:paraId="4A959B96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2008" w:type="dxa"/>
            <w:vAlign w:val="center"/>
          </w:tcPr>
          <w:p w14:paraId="5C57072E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center"/>
              <w:rPr>
                <w:rFonts w:hint="default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</w:t>
            </w:r>
          </w:p>
        </w:tc>
        <w:tc>
          <w:tcPr>
            <w:tcW w:w="1759" w:type="dxa"/>
            <w:vAlign w:val="center"/>
          </w:tcPr>
          <w:p w14:paraId="743B0800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left"/>
              <w:rPr>
                <w:rFonts w:hint="eastAsia" w:ascii="Arial" w:eastAsia="宋体"/>
                <w:color w:val="000000" w:themeColor="text1"/>
                <w:spacing w:val="-4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Arial" w:eastAsia="Arial"/>
                <w:color w:val="000000" w:themeColor="text1"/>
                <w:spacing w:val="-4"/>
                <w:sz w:val="21"/>
                <w14:textFill>
                  <w14:solidFill>
                    <w14:schemeClr w14:val="tx1"/>
                  </w14:solidFill>
                </w14:textFill>
              </w:rPr>
              <w:t>提供比赛器材</w:t>
            </w:r>
            <w:r>
              <w:rPr>
                <w:rFonts w:hint="eastAsia" w:eastAsia="宋体"/>
                <w:color w:val="000000" w:themeColor="text1"/>
                <w:spacing w:val="-4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eastAsia="宋体"/>
                <w:color w:val="000000" w:themeColor="text1"/>
                <w:spacing w:val="-4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调试、安装等</w:t>
            </w:r>
            <w:r>
              <w:rPr>
                <w:rFonts w:hint="eastAsia" w:ascii="Arial" w:eastAsia="宋体"/>
                <w:color w:val="000000" w:themeColor="text1"/>
                <w:spacing w:val="-4"/>
                <w:sz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Arial" w:eastAsia="Arial"/>
                <w:color w:val="000000" w:themeColor="text1"/>
                <w:spacing w:val="-4"/>
                <w:sz w:val="21"/>
                <w14:textFill>
                  <w14:solidFill>
                    <w14:schemeClr w14:val="tx1"/>
                  </w14:solidFill>
                </w14:textFill>
              </w:rPr>
              <w:t>，不安排执裁与赛事流程</w:t>
            </w:r>
            <w:r>
              <w:rPr>
                <w:rFonts w:hint="eastAsia" w:eastAsia="宋体"/>
                <w:color w:val="000000" w:themeColor="text1"/>
                <w:spacing w:val="-4"/>
                <w:sz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12B57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7608" w:type="dxa"/>
            <w:gridSpan w:val="5"/>
            <w:vAlign w:val="center"/>
          </w:tcPr>
          <w:p w14:paraId="5E1BE274">
            <w:pPr>
              <w:pStyle w:val="5"/>
              <w:snapToGrid w:val="0"/>
              <w:spacing w:before="37" w:line="240" w:lineRule="auto"/>
              <w:ind w:left="0" w:leftChars="0" w:right="0" w:rightChars="0" w:firstLine="0" w:firstLineChars="0"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注</w:t>
            </w:r>
            <w:r>
              <w:rPr>
                <w:color w:val="000000" w:themeColor="text1"/>
                <w:spacing w:val="-14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：（</w:t>
            </w:r>
            <w:r>
              <w:rPr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1）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以上所列人员数量仅为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测算预估人数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，实际配置人数以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后期最终核</w:t>
            </w:r>
            <w:r>
              <w:rPr>
                <w:b/>
                <w:bCs/>
                <w:color w:val="000000" w:themeColor="text1"/>
                <w:spacing w:val="-8"/>
                <w14:textFill>
                  <w14:solidFill>
                    <w14:schemeClr w14:val="tx1"/>
                  </w14:solidFill>
                </w14:textFill>
              </w:rPr>
              <w:t>定人数</w:t>
            </w:r>
            <w:r>
              <w:rPr>
                <w:color w:val="000000" w:themeColor="text1"/>
                <w:spacing w:val="-8"/>
                <w14:textFill>
                  <w14:solidFill>
                    <w14:schemeClr w14:val="tx1"/>
                  </w14:solidFill>
                </w14:textFill>
              </w:rPr>
              <w:t>为准。</w:t>
            </w:r>
          </w:p>
          <w:p w14:paraId="48F99430">
            <w:pPr>
              <w:pStyle w:val="5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2"/>
                <w14:textFill>
                  <w14:solidFill>
                    <w14:schemeClr w14:val="tx1"/>
                  </w14:solidFill>
                </w14:textFill>
              </w:rPr>
              <w:t>（2）投标人需按赛事项目进行分项报价</w:t>
            </w:r>
          </w:p>
        </w:tc>
        <w:tc>
          <w:tcPr>
            <w:tcW w:w="1759" w:type="dxa"/>
            <w:vAlign w:val="center"/>
          </w:tcPr>
          <w:p w14:paraId="3A1225B3">
            <w:pPr>
              <w:pStyle w:val="5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color w:val="000000" w:themeColor="text1"/>
                <w:spacing w:val="-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29454293">
      <w:pPr>
        <w:sectPr>
          <w:footerReference r:id="rId3" w:type="default"/>
          <w:pgSz w:w="11906" w:h="16840"/>
          <w:pgMar w:top="400" w:right="1525" w:bottom="1214" w:left="1480" w:header="0" w:footer="968" w:gutter="0"/>
          <w:cols w:space="720" w:num="1"/>
        </w:sectPr>
      </w:pPr>
    </w:p>
    <w:p w14:paraId="2470931D">
      <w:pPr>
        <w:spacing w:before="13"/>
      </w:pPr>
    </w:p>
    <w:p w14:paraId="53DDA767">
      <w:pPr>
        <w:pStyle w:val="2"/>
        <w:spacing w:line="246" w:lineRule="auto"/>
      </w:pPr>
    </w:p>
    <w:p w14:paraId="7D341004">
      <w:pPr>
        <w:pStyle w:val="2"/>
        <w:spacing w:line="247" w:lineRule="auto"/>
      </w:pPr>
    </w:p>
    <w:p w14:paraId="5A426ECE">
      <w:pPr>
        <w:spacing w:before="78" w:line="220" w:lineRule="auto"/>
        <w:ind w:left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（二）总体策划</w:t>
      </w:r>
    </w:p>
    <w:p w14:paraId="41D98CA0">
      <w:pPr>
        <w:spacing w:before="298" w:line="361" w:lineRule="auto"/>
        <w:ind w:firstLine="480"/>
        <w:outlineLvl w:val="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作为赛事的承办单位，全面负责赛事的策划、执行与保障工作。设计全面、合理且极具操作性的赛事服务保障方案。建立沟通协调机制，确保总体统筹工作落实到位</w:t>
      </w:r>
      <w:r>
        <w:rPr>
          <w:rFonts w:ascii="宋体" w:hAnsi="宋体" w:eastAsia="宋体" w:cs="宋体"/>
          <w:spacing w:val="1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,</w:t>
      </w:r>
      <w:r>
        <w:rPr>
          <w:rFonts w:ascii="宋体" w:hAnsi="宋体" w:eastAsia="宋体" w:cs="宋体"/>
          <w:spacing w:val="8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各部门间信息流通顺畅。明确工作推进的关键节点，精确分配任务至个人，制定任</w:t>
      </w:r>
      <w:r>
        <w:rPr>
          <w:rFonts w:ascii="宋体" w:hAnsi="宋体" w:eastAsia="宋体" w:cs="宋体"/>
          <w:sz w:val="24"/>
          <w:szCs w:val="24"/>
        </w:rPr>
        <w:t>务时间表，以严谨的管理确保各项工作有条不紊地推进，为赛事的成功举办奠定坚实</w:t>
      </w:r>
      <w:r>
        <w:rPr>
          <w:rFonts w:ascii="宋体" w:hAnsi="宋体" w:eastAsia="宋体" w:cs="宋体"/>
          <w:spacing w:val="-10"/>
          <w:sz w:val="24"/>
          <w:szCs w:val="24"/>
        </w:rPr>
        <w:t>基础。</w:t>
      </w:r>
    </w:p>
    <w:p w14:paraId="7BD45DA3">
      <w:pPr>
        <w:spacing w:before="246" w:line="220" w:lineRule="auto"/>
        <w:ind w:left="487"/>
        <w:outlineLvl w:val="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（三）竞赛协调</w:t>
      </w:r>
    </w:p>
    <w:p w14:paraId="323A1307">
      <w:pPr>
        <w:spacing w:before="149" w:line="354" w:lineRule="auto"/>
        <w:ind w:left="8" w:right="20" w:firstLine="47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对接省体育局相关处室及直属有关项目中心，协调各单项</w:t>
      </w:r>
      <w:r>
        <w:rPr>
          <w:rFonts w:ascii="宋体" w:hAnsi="宋体" w:eastAsia="宋体" w:cs="宋体"/>
          <w:spacing w:val="-1"/>
          <w:sz w:val="24"/>
          <w:szCs w:val="24"/>
        </w:rPr>
        <w:t>赛事筹备工作，包括以</w:t>
      </w:r>
      <w:r>
        <w:rPr>
          <w:rFonts w:ascii="宋体" w:hAnsi="宋体" w:eastAsia="宋体" w:cs="宋体"/>
          <w:spacing w:val="-14"/>
          <w:sz w:val="24"/>
          <w:szCs w:val="24"/>
        </w:rPr>
        <w:t>下内容：</w:t>
      </w:r>
    </w:p>
    <w:p w14:paraId="5FE8975E">
      <w:pPr>
        <w:spacing w:before="3" w:line="353" w:lineRule="auto"/>
        <w:ind w:left="2" w:right="20" w:firstLine="49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1. 前期沟通与规划：与各有关项目中心，来赛事承办地深入沟通，了解赛事的</w:t>
      </w:r>
      <w:r>
        <w:rPr>
          <w:rFonts w:ascii="宋体" w:hAnsi="宋体" w:eastAsia="宋体" w:cs="宋体"/>
          <w:sz w:val="24"/>
          <w:szCs w:val="24"/>
        </w:rPr>
        <w:t>目标、规模、时间等关键信息，协助制定赛事筹备计划</w:t>
      </w:r>
      <w:r>
        <w:rPr>
          <w:rFonts w:ascii="宋体" w:hAnsi="宋体" w:eastAsia="宋体" w:cs="宋体"/>
          <w:spacing w:val="-1"/>
          <w:sz w:val="24"/>
          <w:szCs w:val="24"/>
        </w:rPr>
        <w:t>和时间表。根据赛事特点和要</w:t>
      </w:r>
      <w:r>
        <w:rPr>
          <w:rFonts w:ascii="宋体" w:hAnsi="宋体" w:eastAsia="宋体" w:cs="宋体"/>
          <w:spacing w:val="-2"/>
          <w:sz w:val="24"/>
          <w:szCs w:val="24"/>
        </w:rPr>
        <w:t>求，确定比赛的场地、时间、参赛人员范围等基本要素。</w:t>
      </w:r>
    </w:p>
    <w:p w14:paraId="50A9DC2C">
      <w:pPr>
        <w:spacing w:before="3" w:line="353" w:lineRule="auto"/>
        <w:ind w:right="20" w:firstLine="48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2. 资源协调与保障：协调各方资源，包括场地</w:t>
      </w:r>
      <w:r>
        <w:rPr>
          <w:rFonts w:ascii="宋体" w:hAnsi="宋体" w:eastAsia="宋体" w:cs="宋体"/>
          <w:spacing w:val="-1"/>
          <w:sz w:val="24"/>
          <w:szCs w:val="24"/>
        </w:rPr>
        <w:t>设置、设备采购与租赁、裁判员</w:t>
      </w:r>
      <w:r>
        <w:rPr>
          <w:rFonts w:ascii="宋体" w:hAnsi="宋体" w:eastAsia="宋体" w:cs="宋体"/>
          <w:sz w:val="24"/>
          <w:szCs w:val="24"/>
        </w:rPr>
        <w:t>招募与培训等。确保赛事所需的物资器材、设施等按时到位，</w:t>
      </w:r>
      <w:r>
        <w:rPr>
          <w:rFonts w:ascii="宋体" w:hAnsi="宋体" w:eastAsia="宋体" w:cs="宋体"/>
          <w:spacing w:val="-1"/>
          <w:sz w:val="24"/>
          <w:szCs w:val="24"/>
        </w:rPr>
        <w:t>并符合比赛标准。与组委会相关部门和单位沟通，争取必要的支持和保障，如安</w:t>
      </w:r>
      <w:r>
        <w:rPr>
          <w:rFonts w:ascii="宋体" w:hAnsi="宋体" w:eastAsia="宋体" w:cs="宋体"/>
          <w:spacing w:val="-2"/>
          <w:sz w:val="24"/>
          <w:szCs w:val="24"/>
        </w:rPr>
        <w:t>保、医疗、交通等。</w:t>
      </w:r>
    </w:p>
    <w:p w14:paraId="499376A9">
      <w:pPr>
        <w:spacing w:line="219" w:lineRule="auto"/>
        <w:ind w:left="48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3.报名组织与管理：建立沟通渠道，协助</w:t>
      </w:r>
      <w:r>
        <w:rPr>
          <w:rFonts w:ascii="宋体" w:hAnsi="宋体" w:eastAsia="宋体" w:cs="宋体"/>
          <w:spacing w:val="-2"/>
          <w:sz w:val="24"/>
          <w:szCs w:val="24"/>
        </w:rPr>
        <w:t>参赛人员的报名审核和信息管理。</w:t>
      </w:r>
    </w:p>
    <w:p w14:paraId="1047C740">
      <w:pPr>
        <w:spacing w:before="176" w:line="355" w:lineRule="auto"/>
        <w:ind w:right="20" w:firstLine="4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4.裁判组织与选调：积极沟通项目中心，确定各单项赛事</w:t>
      </w:r>
      <w:r>
        <w:rPr>
          <w:rFonts w:ascii="宋体" w:hAnsi="宋体" w:eastAsia="宋体" w:cs="宋体"/>
          <w:spacing w:val="-1"/>
          <w:sz w:val="24"/>
          <w:szCs w:val="24"/>
        </w:rPr>
        <w:t>省派裁判名单，组织本</w:t>
      </w:r>
      <w:r>
        <w:rPr>
          <w:rFonts w:ascii="宋体" w:hAnsi="宋体" w:eastAsia="宋体" w:cs="宋体"/>
          <w:sz w:val="24"/>
          <w:szCs w:val="24"/>
        </w:rPr>
        <w:t>地辅助裁判人员培训，提高裁判水平和执法能力。协助裁判</w:t>
      </w:r>
      <w:r>
        <w:rPr>
          <w:rFonts w:ascii="宋体" w:hAnsi="宋体" w:eastAsia="宋体" w:cs="宋体"/>
          <w:spacing w:val="-1"/>
          <w:sz w:val="24"/>
          <w:szCs w:val="24"/>
        </w:rPr>
        <w:t>组做好比赛的编排、分组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、抽签等工作，合理安排比赛日程和场地。</w:t>
      </w:r>
    </w:p>
    <w:p w14:paraId="365CD959">
      <w:pPr>
        <w:spacing w:before="181" w:line="220" w:lineRule="auto"/>
        <w:ind w:left="487"/>
        <w:outlineLvl w:val="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（四）竞赛组织</w:t>
      </w:r>
    </w:p>
    <w:p w14:paraId="588CB274">
      <w:pPr>
        <w:spacing w:before="150" w:line="355" w:lineRule="auto"/>
        <w:ind w:right="20" w:firstLine="48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严格按照省运会单项竞赛相关要求，制定竞赛工作计</w:t>
      </w:r>
      <w:r>
        <w:rPr>
          <w:rFonts w:ascii="宋体" w:hAnsi="宋体" w:eastAsia="宋体" w:cs="宋体"/>
          <w:spacing w:val="-1"/>
          <w:sz w:val="24"/>
          <w:szCs w:val="24"/>
        </w:rPr>
        <w:t>划和组织方案。积极配合省</w:t>
      </w:r>
      <w:r>
        <w:rPr>
          <w:rFonts w:ascii="宋体" w:hAnsi="宋体" w:eastAsia="宋体" w:cs="宋体"/>
          <w:sz w:val="24"/>
          <w:szCs w:val="24"/>
        </w:rPr>
        <w:t>运会竞赛委员会，协助各单项竞赛委员会组建保障团队。编</w:t>
      </w:r>
      <w:r>
        <w:rPr>
          <w:rFonts w:ascii="宋体" w:hAnsi="宋体" w:eastAsia="宋体" w:cs="宋体"/>
          <w:spacing w:val="-1"/>
          <w:sz w:val="24"/>
          <w:szCs w:val="24"/>
        </w:rPr>
        <w:t>制竞赛运行计划，充分考</w:t>
      </w:r>
      <w:r>
        <w:rPr>
          <w:rFonts w:ascii="宋体" w:hAnsi="宋体" w:eastAsia="宋体" w:cs="宋体"/>
          <w:spacing w:val="-2"/>
          <w:sz w:val="24"/>
          <w:szCs w:val="24"/>
        </w:rPr>
        <w:t>虑赛事的各个环节和可能出现的情况，使其具有可操作性和针对性。</w:t>
      </w:r>
    </w:p>
    <w:p w14:paraId="1B6D06E3">
      <w:pPr>
        <w:spacing w:before="182" w:line="219" w:lineRule="auto"/>
        <w:ind w:left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3"/>
          <w:sz w:val="24"/>
          <w:szCs w:val="24"/>
        </w:rPr>
        <w:t>（五）场馆服务、器材设备、物料制作</w:t>
      </w:r>
    </w:p>
    <w:p w14:paraId="3151CB7A">
      <w:pPr>
        <w:spacing w:line="219" w:lineRule="auto"/>
        <w:rPr>
          <w:rFonts w:ascii="宋体" w:hAnsi="宋体" w:eastAsia="宋体" w:cs="宋体"/>
          <w:sz w:val="24"/>
          <w:szCs w:val="24"/>
        </w:rPr>
        <w:sectPr>
          <w:footerReference r:id="rId4" w:type="default"/>
          <w:pgSz w:w="11906" w:h="16840"/>
          <w:pgMar w:top="400" w:right="1525" w:bottom="1214" w:left="1488" w:header="0" w:footer="968" w:gutter="0"/>
          <w:cols w:space="720" w:num="1"/>
        </w:sectPr>
      </w:pPr>
    </w:p>
    <w:p w14:paraId="63CFF62D">
      <w:pPr>
        <w:pStyle w:val="2"/>
        <w:spacing w:line="273" w:lineRule="auto"/>
      </w:pPr>
    </w:p>
    <w:p w14:paraId="1B04E591">
      <w:pPr>
        <w:pStyle w:val="2"/>
        <w:spacing w:line="273" w:lineRule="auto"/>
      </w:pPr>
    </w:p>
    <w:p w14:paraId="12CD0337">
      <w:pPr>
        <w:pStyle w:val="2"/>
        <w:spacing w:line="273" w:lineRule="auto"/>
      </w:pPr>
    </w:p>
    <w:p w14:paraId="7145E235">
      <w:pPr>
        <w:pStyle w:val="2"/>
        <w:spacing w:line="274" w:lineRule="auto"/>
      </w:pPr>
    </w:p>
    <w:p w14:paraId="2A239BC6">
      <w:pPr>
        <w:spacing w:before="78" w:line="354" w:lineRule="auto"/>
        <w:ind w:left="4" w:firstLine="49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1.场地布置：负责各竞赛项目的场地布置工作，根据不同项目的特点和要求，进</w:t>
      </w:r>
      <w:r>
        <w:rPr>
          <w:rFonts w:ascii="宋体" w:hAnsi="宋体" w:eastAsia="宋体" w:cs="宋体"/>
          <w:sz w:val="24"/>
          <w:szCs w:val="24"/>
        </w:rPr>
        <w:t>行场地规划搭建与流线设计。确保功能房布置满足</w:t>
      </w:r>
      <w:r>
        <w:rPr>
          <w:rFonts w:ascii="宋体" w:hAnsi="宋体" w:eastAsia="宋体" w:cs="宋体"/>
          <w:spacing w:val="-1"/>
          <w:sz w:val="24"/>
          <w:szCs w:val="24"/>
        </w:rPr>
        <w:t>赛事需求，为各功能用房配备所需</w:t>
      </w:r>
      <w:r>
        <w:rPr>
          <w:rFonts w:ascii="宋体" w:hAnsi="宋体" w:eastAsia="宋体" w:cs="宋体"/>
          <w:spacing w:val="-7"/>
          <w:sz w:val="24"/>
          <w:szCs w:val="24"/>
        </w:rPr>
        <w:t>的办公设备。</w:t>
      </w:r>
    </w:p>
    <w:p w14:paraId="3136C6DF">
      <w:pPr>
        <w:spacing w:before="3" w:line="353" w:lineRule="auto"/>
        <w:ind w:left="14" w:firstLine="46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2.器材保障：负责按照省级单项锦标赛各竞赛项目</w:t>
      </w:r>
      <w:r>
        <w:rPr>
          <w:rFonts w:ascii="宋体" w:hAnsi="宋体" w:eastAsia="宋体" w:cs="宋体"/>
          <w:spacing w:val="-2"/>
          <w:sz w:val="24"/>
          <w:szCs w:val="24"/>
        </w:rPr>
        <w:t>的标准要求，提供竞赛器材、</w:t>
      </w:r>
      <w:r>
        <w:rPr>
          <w:rFonts w:ascii="宋体" w:hAnsi="宋体" w:eastAsia="宋体" w:cs="宋体"/>
          <w:spacing w:val="-1"/>
          <w:sz w:val="24"/>
          <w:szCs w:val="24"/>
        </w:rPr>
        <w:t>电子器材，负责协调器材的进场布置、安装调试工作。确保器材性能良好，满足比赛</w:t>
      </w:r>
      <w:r>
        <w:rPr>
          <w:rFonts w:ascii="宋体" w:hAnsi="宋体" w:eastAsia="宋体" w:cs="宋体"/>
          <w:spacing w:val="-13"/>
          <w:sz w:val="24"/>
          <w:szCs w:val="24"/>
        </w:rPr>
        <w:t>需求。</w:t>
      </w:r>
    </w:p>
    <w:p w14:paraId="47526A48">
      <w:pPr>
        <w:spacing w:before="4" w:line="353" w:lineRule="auto"/>
        <w:ind w:left="1" w:firstLine="48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3.物料制作：承担比赛物料的VI设计制作工作，包括项</w:t>
      </w:r>
      <w:r>
        <w:rPr>
          <w:rFonts w:ascii="宋体" w:hAnsi="宋体" w:eastAsia="宋体" w:cs="宋体"/>
          <w:spacing w:val="-2"/>
          <w:sz w:val="24"/>
          <w:szCs w:val="24"/>
        </w:rPr>
        <w:t>目视觉识别系统（VI）、</w:t>
      </w:r>
      <w:r>
        <w:rPr>
          <w:rFonts w:ascii="宋体" w:hAnsi="宋体" w:eastAsia="宋体" w:cs="宋体"/>
          <w:spacing w:val="-1"/>
          <w:sz w:val="24"/>
          <w:szCs w:val="24"/>
        </w:rPr>
        <w:t>各类平面布置图、效果图等，打造统一、专业的赛事视觉形象。制作并提供赛事所需</w:t>
      </w:r>
      <w:r>
        <w:rPr>
          <w:rFonts w:ascii="宋体" w:hAnsi="宋体" w:eastAsia="宋体" w:cs="宋体"/>
          <w:sz w:val="24"/>
          <w:szCs w:val="24"/>
        </w:rPr>
        <w:t>的各类宣传物料，如主题背景板、主席台装饰、观众席标</w:t>
      </w:r>
      <w:r>
        <w:rPr>
          <w:rFonts w:ascii="宋体" w:hAnsi="宋体" w:eastAsia="宋体" w:cs="宋体"/>
          <w:spacing w:val="-1"/>
          <w:sz w:val="24"/>
          <w:szCs w:val="24"/>
        </w:rPr>
        <w:t>识、场地围板、检录区指示</w:t>
      </w:r>
      <w:r>
        <w:rPr>
          <w:rFonts w:ascii="宋体" w:hAnsi="宋体" w:eastAsia="宋体" w:cs="宋体"/>
          <w:spacing w:val="-2"/>
          <w:sz w:val="24"/>
          <w:szCs w:val="24"/>
        </w:rPr>
        <w:t>牌、成绩统计区标识、导引指示牌以及各类宣传牌等。</w:t>
      </w:r>
    </w:p>
    <w:p w14:paraId="0665ED15">
      <w:pPr>
        <w:spacing w:before="1" w:line="355" w:lineRule="auto"/>
        <w:ind w:left="13" w:firstLine="46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4.配套服务：提供赛事其他需要的通用用品耗材，积极协</w:t>
      </w:r>
      <w:r>
        <w:rPr>
          <w:rFonts w:ascii="宋体" w:hAnsi="宋体" w:eastAsia="宋体" w:cs="宋体"/>
          <w:spacing w:val="-1"/>
          <w:sz w:val="24"/>
          <w:szCs w:val="24"/>
        </w:rPr>
        <w:t>助场馆各竞赛项目的保</w:t>
      </w:r>
      <w:r>
        <w:rPr>
          <w:rFonts w:ascii="宋体" w:hAnsi="宋体" w:eastAsia="宋体" w:cs="宋体"/>
          <w:spacing w:val="-2"/>
          <w:sz w:val="24"/>
          <w:szCs w:val="24"/>
        </w:rPr>
        <w:t>障配合工作，包括交通疏导、观众引导等，为赛事的顺利进行提供全方位支持。</w:t>
      </w:r>
    </w:p>
    <w:p w14:paraId="2C0919ED">
      <w:pPr>
        <w:spacing w:before="228" w:line="219" w:lineRule="auto"/>
        <w:ind w:left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（六）仪式会议与培训</w:t>
      </w:r>
    </w:p>
    <w:p w14:paraId="5B1BFD59">
      <w:pPr>
        <w:spacing w:before="175" w:line="354" w:lineRule="auto"/>
        <w:ind w:left="4" w:firstLine="49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1.颁奖仪式组织：根据赛事要求，制定细致、规范的比赛颁奖方案。提供颁奖所</w:t>
      </w:r>
      <w:r>
        <w:rPr>
          <w:rFonts w:ascii="宋体" w:hAnsi="宋体" w:eastAsia="宋体" w:cs="宋体"/>
          <w:sz w:val="24"/>
          <w:szCs w:val="24"/>
        </w:rPr>
        <w:t>需的各类用品，如颁奖台、颁奖话筒、颁奖鲜花、</w:t>
      </w:r>
      <w:r>
        <w:rPr>
          <w:rFonts w:ascii="宋体" w:hAnsi="宋体" w:eastAsia="宋体" w:cs="宋体"/>
          <w:spacing w:val="-1"/>
          <w:sz w:val="24"/>
          <w:szCs w:val="24"/>
        </w:rPr>
        <w:t>颁奖红毯、托盘等，并根据各赛事</w:t>
      </w:r>
      <w:r>
        <w:rPr>
          <w:rFonts w:ascii="宋体" w:hAnsi="宋体" w:eastAsia="宋体" w:cs="宋体"/>
          <w:spacing w:val="-3"/>
          <w:sz w:val="24"/>
          <w:szCs w:val="24"/>
        </w:rPr>
        <w:t>项目特点进行颁奖仪式场地的精心布置。</w:t>
      </w:r>
    </w:p>
    <w:p w14:paraId="64BC5A18">
      <w:pPr>
        <w:spacing w:before="3" w:line="353" w:lineRule="auto"/>
        <w:ind w:firstLine="48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2.会务服务工作：负责各竞赛项目赛事期间相关</w:t>
      </w:r>
      <w:r>
        <w:rPr>
          <w:rFonts w:ascii="宋体" w:hAnsi="宋体" w:eastAsia="宋体" w:cs="宋体"/>
          <w:spacing w:val="-1"/>
          <w:sz w:val="24"/>
          <w:szCs w:val="24"/>
        </w:rPr>
        <w:t>会务活动的场地布置和组织工作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2"/>
          <w:sz w:val="24"/>
          <w:szCs w:val="24"/>
        </w:rPr>
        <w:t>,包括裁判员学习会、反兴奋剂会、组委会暨技术会、单项新闻发布会等。根据不同</w:t>
      </w:r>
      <w:r>
        <w:rPr>
          <w:rFonts w:ascii="宋体" w:hAnsi="宋体" w:eastAsia="宋体" w:cs="宋体"/>
          <w:spacing w:val="-1"/>
          <w:sz w:val="24"/>
          <w:szCs w:val="24"/>
        </w:rPr>
        <w:t>会议的需求，合理安排场地，配备必要的设备和物资，营</w:t>
      </w:r>
      <w:r>
        <w:rPr>
          <w:rFonts w:ascii="宋体" w:hAnsi="宋体" w:eastAsia="宋体" w:cs="宋体"/>
          <w:spacing w:val="-2"/>
          <w:sz w:val="24"/>
          <w:szCs w:val="24"/>
        </w:rPr>
        <w:t>造良好的会议环境。</w:t>
      </w:r>
    </w:p>
    <w:p w14:paraId="7636E4CD">
      <w:pPr>
        <w:spacing w:before="2" w:line="353" w:lineRule="auto"/>
        <w:ind w:left="20" w:firstLine="46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3.培训体系建设：建立完善的竞赛志愿服务</w:t>
      </w:r>
      <w:r>
        <w:rPr>
          <w:rFonts w:ascii="宋体" w:hAnsi="宋体" w:eastAsia="宋体" w:cs="宋体"/>
          <w:spacing w:val="-1"/>
          <w:sz w:val="24"/>
          <w:szCs w:val="24"/>
        </w:rPr>
        <w:t>培训体系，针对各单项赛事志愿人员</w:t>
      </w:r>
      <w:r>
        <w:rPr>
          <w:rFonts w:ascii="宋体" w:hAnsi="宋体" w:eastAsia="宋体" w:cs="宋体"/>
          <w:spacing w:val="-3"/>
          <w:sz w:val="24"/>
          <w:szCs w:val="24"/>
        </w:rPr>
        <w:t>的岗位特点和工作要求，开展系统的岗位指导培训。</w:t>
      </w:r>
    </w:p>
    <w:p w14:paraId="53FDE800">
      <w:pPr>
        <w:spacing w:before="1" w:line="219" w:lineRule="auto"/>
        <w:ind w:left="48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（七）应急与风险管理</w:t>
      </w:r>
    </w:p>
    <w:p w14:paraId="13E3521E">
      <w:pPr>
        <w:spacing w:before="174" w:line="354" w:lineRule="auto"/>
        <w:ind w:firstLine="49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1.应急预案制定：深入分析省级单项锦标赛项目可能面临的各种风险和突发事件</w:t>
      </w:r>
      <w:r>
        <w:rPr>
          <w:rFonts w:ascii="宋体" w:hAnsi="宋体" w:eastAsia="宋体" w:cs="宋体"/>
          <w:spacing w:val="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3"/>
          <w:sz w:val="24"/>
          <w:szCs w:val="24"/>
        </w:rPr>
        <w:t>,制定应急预案。涵盖比赛过程、器材保障、工作人员安全、</w:t>
      </w:r>
      <w:r>
        <w:rPr>
          <w:rFonts w:ascii="宋体" w:hAnsi="宋体" w:eastAsia="宋体" w:cs="宋体"/>
          <w:spacing w:val="2"/>
          <w:sz w:val="24"/>
          <w:szCs w:val="24"/>
        </w:rPr>
        <w:t>运动队管理、场地布置</w:t>
      </w:r>
      <w:r>
        <w:rPr>
          <w:rFonts w:ascii="宋体" w:hAnsi="宋体" w:eastAsia="宋体" w:cs="宋体"/>
          <w:sz w:val="24"/>
          <w:szCs w:val="24"/>
        </w:rPr>
        <w:t>以及场馆设施等各个方面，确保在突发情况下能够迅速、有</w:t>
      </w:r>
      <w:r>
        <w:rPr>
          <w:rFonts w:ascii="宋体" w:hAnsi="宋体" w:eastAsia="宋体" w:cs="宋体"/>
          <w:spacing w:val="-1"/>
          <w:sz w:val="24"/>
          <w:szCs w:val="24"/>
        </w:rPr>
        <w:t>效地采取应对措施，降低</w:t>
      </w:r>
      <w:r>
        <w:rPr>
          <w:rFonts w:ascii="宋体" w:hAnsi="宋体" w:eastAsia="宋体" w:cs="宋体"/>
          <w:spacing w:val="-7"/>
          <w:sz w:val="24"/>
          <w:szCs w:val="24"/>
        </w:rPr>
        <w:t>损失和影响。</w:t>
      </w:r>
    </w:p>
    <w:p w14:paraId="792C0FDA">
      <w:pPr>
        <w:spacing w:before="2" w:line="355" w:lineRule="auto"/>
        <w:ind w:left="1" w:right="53" w:firstLine="4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2"/>
          <w:sz w:val="24"/>
          <w:szCs w:val="24"/>
        </w:rPr>
        <w:t>2.应急物资与培训：加强对各项目场馆保障工作人员的应急处理相关教育培训，提高工作人员的应急处理能力，确保赛事安全有序进行。</w:t>
      </w:r>
    </w:p>
    <w:p w14:paraId="08B61F13">
      <w:pPr>
        <w:spacing w:line="355" w:lineRule="auto"/>
        <w:rPr>
          <w:rFonts w:ascii="宋体" w:hAnsi="宋体" w:eastAsia="宋体" w:cs="宋体"/>
          <w:sz w:val="24"/>
          <w:szCs w:val="24"/>
        </w:rPr>
        <w:sectPr>
          <w:footerReference r:id="rId5" w:type="default"/>
          <w:pgSz w:w="11906" w:h="16840"/>
          <w:pgMar w:top="400" w:right="1545" w:bottom="1214" w:left="1488" w:header="0" w:footer="968" w:gutter="0"/>
          <w:cols w:space="720" w:num="1"/>
        </w:sectPr>
      </w:pPr>
    </w:p>
    <w:p w14:paraId="46E267EC">
      <w:pPr>
        <w:pStyle w:val="2"/>
        <w:spacing w:line="273" w:lineRule="auto"/>
      </w:pPr>
    </w:p>
    <w:p w14:paraId="74B06A89">
      <w:pPr>
        <w:pStyle w:val="2"/>
        <w:spacing w:line="273" w:lineRule="auto"/>
      </w:pPr>
    </w:p>
    <w:p w14:paraId="2CF695A9">
      <w:pPr>
        <w:pStyle w:val="2"/>
        <w:spacing w:line="273" w:lineRule="auto"/>
      </w:pPr>
    </w:p>
    <w:p w14:paraId="2F63D0B5">
      <w:pPr>
        <w:pStyle w:val="2"/>
        <w:spacing w:line="274" w:lineRule="auto"/>
      </w:pPr>
    </w:p>
    <w:p w14:paraId="1E2E45C0">
      <w:pPr>
        <w:spacing w:before="78" w:line="354" w:lineRule="auto"/>
        <w:ind w:left="107" w:right="105" w:firstLine="471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3.风险评估与报告：为比赛提供专业的风险</w:t>
      </w:r>
      <w:r>
        <w:rPr>
          <w:rFonts w:ascii="宋体" w:hAnsi="宋体" w:eastAsia="宋体" w:cs="宋体"/>
          <w:spacing w:val="-1"/>
          <w:sz w:val="24"/>
          <w:szCs w:val="24"/>
        </w:rPr>
        <w:t>评估服务，对赛事的各个环节进行风险分析，识别潜在的风险因素。根据评估结果，出具认证评估报告，提出针对性的风</w:t>
      </w:r>
      <w:r>
        <w:rPr>
          <w:rFonts w:ascii="宋体" w:hAnsi="宋体" w:eastAsia="宋体" w:cs="宋体"/>
          <w:spacing w:val="-3"/>
          <w:sz w:val="24"/>
          <w:szCs w:val="24"/>
        </w:rPr>
        <w:t>险防范措施和建议，为赛事的安全管理提供科学依据。</w:t>
      </w:r>
    </w:p>
    <w:p w14:paraId="6F86AEAC">
      <w:pPr>
        <w:spacing w:line="220" w:lineRule="auto"/>
        <w:ind w:left="5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6"/>
          <w:sz w:val="24"/>
          <w:szCs w:val="24"/>
        </w:rPr>
        <w:t>（八）保险</w:t>
      </w:r>
    </w:p>
    <w:p w14:paraId="2524E640">
      <w:pPr>
        <w:spacing w:before="173" w:line="355" w:lineRule="auto"/>
        <w:ind w:left="94" w:right="105" w:firstLine="489"/>
        <w:jc w:val="both"/>
      </w:pPr>
      <w:r>
        <w:rPr>
          <w:rFonts w:ascii="宋体" w:hAnsi="宋体" w:eastAsia="宋体" w:cs="宋体"/>
          <w:spacing w:val="-1"/>
          <w:sz w:val="24"/>
          <w:szCs w:val="24"/>
        </w:rPr>
        <w:t>负责为本次比赛的组织机构办理公众责任险、个人险，保险对象涵盖官员、裁判</w:t>
      </w:r>
      <w:r>
        <w:rPr>
          <w:rFonts w:ascii="宋体" w:hAnsi="宋体" w:eastAsia="宋体" w:cs="宋体"/>
          <w:sz w:val="24"/>
          <w:szCs w:val="24"/>
        </w:rPr>
        <w:t>员、志愿者、观众等所有可能涉及的人员。保险期限充分覆</w:t>
      </w:r>
      <w:r>
        <w:rPr>
          <w:rFonts w:ascii="宋体" w:hAnsi="宋体" w:eastAsia="宋体" w:cs="宋体"/>
          <w:spacing w:val="-1"/>
          <w:sz w:val="24"/>
          <w:szCs w:val="24"/>
        </w:rPr>
        <w:t>盖比赛及赛前训练期间，</w:t>
      </w:r>
      <w:r>
        <w:rPr>
          <w:rFonts w:ascii="宋体" w:hAnsi="宋体" w:eastAsia="宋体" w:cs="宋体"/>
          <w:sz w:val="24"/>
          <w:szCs w:val="24"/>
        </w:rPr>
        <w:t>至少包括比赛日、赛前2天和赛后l天，确保在保险期间内，</w:t>
      </w:r>
      <w:r>
        <w:rPr>
          <w:rFonts w:ascii="宋体" w:hAnsi="宋体" w:eastAsia="宋体" w:cs="宋体"/>
          <w:spacing w:val="-1"/>
          <w:sz w:val="24"/>
          <w:szCs w:val="24"/>
        </w:rPr>
        <w:t>所有相关人员的人身和财</w:t>
      </w:r>
      <w:r>
        <w:rPr>
          <w:rFonts w:ascii="宋体" w:hAnsi="宋体" w:eastAsia="宋体" w:cs="宋体"/>
          <w:spacing w:val="-4"/>
          <w:sz w:val="24"/>
          <w:szCs w:val="24"/>
        </w:rPr>
        <w:t>产安全得到有效保障。</w:t>
      </w:r>
    </w:p>
    <w:p w14:paraId="51FEF3C4">
      <w:pPr>
        <w:spacing w:before="78" w:line="220" w:lineRule="auto"/>
        <w:ind w:left="5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（九）服务保障</w:t>
      </w:r>
    </w:p>
    <w:p w14:paraId="305A56C5">
      <w:pPr>
        <w:spacing w:line="133" w:lineRule="auto"/>
        <w:rPr>
          <w:rFonts w:ascii="Arial"/>
          <w:sz w:val="2"/>
        </w:rPr>
      </w:pPr>
    </w:p>
    <w:tbl>
      <w:tblPr>
        <w:tblStyle w:val="6"/>
        <w:tblW w:w="9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545"/>
        <w:gridCol w:w="1695"/>
        <w:gridCol w:w="6180"/>
      </w:tblGrid>
      <w:tr w14:paraId="676FA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40" w:type="dxa"/>
            <w:vAlign w:val="top"/>
          </w:tcPr>
          <w:p w14:paraId="5BAE679C">
            <w:pPr>
              <w:pStyle w:val="5"/>
              <w:spacing w:before="52" w:line="221" w:lineRule="auto"/>
              <w:ind w:left="81"/>
            </w:pPr>
            <w:r>
              <w:rPr>
                <w:spacing w:val="-3"/>
              </w:rPr>
              <w:t>序号</w:t>
            </w:r>
          </w:p>
        </w:tc>
        <w:tc>
          <w:tcPr>
            <w:tcW w:w="545" w:type="dxa"/>
            <w:vAlign w:val="top"/>
          </w:tcPr>
          <w:p w14:paraId="2DA4B80F">
            <w:pPr>
              <w:pStyle w:val="5"/>
              <w:spacing w:before="52" w:line="220" w:lineRule="auto"/>
              <w:ind w:left="34"/>
            </w:pPr>
            <w:r>
              <w:rPr>
                <w:spacing w:val="-3"/>
              </w:rPr>
              <w:t>版块</w:t>
            </w:r>
          </w:p>
        </w:tc>
        <w:tc>
          <w:tcPr>
            <w:tcW w:w="1695" w:type="dxa"/>
            <w:vAlign w:val="top"/>
          </w:tcPr>
          <w:p w14:paraId="7E58DEBC">
            <w:pPr>
              <w:pStyle w:val="5"/>
              <w:spacing w:before="51" w:line="220" w:lineRule="auto"/>
              <w:ind w:left="609"/>
            </w:pPr>
            <w:r>
              <w:rPr>
                <w:spacing w:val="-3"/>
              </w:rPr>
              <w:t>类别</w:t>
            </w:r>
          </w:p>
        </w:tc>
        <w:tc>
          <w:tcPr>
            <w:tcW w:w="6180" w:type="dxa"/>
            <w:vAlign w:val="top"/>
          </w:tcPr>
          <w:p w14:paraId="3FE687CF">
            <w:pPr>
              <w:pStyle w:val="5"/>
              <w:spacing w:before="51" w:line="220" w:lineRule="auto"/>
              <w:ind w:left="2614"/>
            </w:pPr>
            <w:r>
              <w:rPr>
                <w:spacing w:val="-2"/>
              </w:rPr>
              <w:t>服务范围</w:t>
            </w:r>
          </w:p>
        </w:tc>
      </w:tr>
      <w:tr w14:paraId="7750C9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1" w:hRule="atLeast"/>
        </w:trPr>
        <w:tc>
          <w:tcPr>
            <w:tcW w:w="640" w:type="dxa"/>
            <w:vAlign w:val="top"/>
          </w:tcPr>
          <w:p w14:paraId="64581FA0">
            <w:pPr>
              <w:spacing w:line="265" w:lineRule="auto"/>
              <w:rPr>
                <w:rFonts w:ascii="Arial"/>
                <w:sz w:val="21"/>
              </w:rPr>
            </w:pPr>
          </w:p>
          <w:p w14:paraId="035068F9">
            <w:pPr>
              <w:spacing w:line="265" w:lineRule="auto"/>
              <w:rPr>
                <w:rFonts w:ascii="Arial"/>
                <w:sz w:val="21"/>
              </w:rPr>
            </w:pPr>
          </w:p>
          <w:p w14:paraId="5C7990B6">
            <w:pPr>
              <w:spacing w:line="266" w:lineRule="auto"/>
              <w:rPr>
                <w:rFonts w:ascii="Arial"/>
                <w:sz w:val="21"/>
              </w:rPr>
            </w:pPr>
          </w:p>
          <w:p w14:paraId="17198C52">
            <w:pPr>
              <w:spacing w:line="266" w:lineRule="auto"/>
              <w:rPr>
                <w:rFonts w:ascii="Arial"/>
                <w:sz w:val="21"/>
              </w:rPr>
            </w:pPr>
          </w:p>
          <w:p w14:paraId="04CC9DB9">
            <w:pPr>
              <w:spacing w:line="266" w:lineRule="auto"/>
              <w:rPr>
                <w:rFonts w:ascii="Arial"/>
                <w:sz w:val="21"/>
              </w:rPr>
            </w:pPr>
          </w:p>
          <w:p w14:paraId="421A179C">
            <w:pPr>
              <w:spacing w:line="266" w:lineRule="auto"/>
              <w:rPr>
                <w:rFonts w:ascii="Arial"/>
                <w:sz w:val="21"/>
              </w:rPr>
            </w:pPr>
          </w:p>
          <w:p w14:paraId="0F2B30CB">
            <w:pPr>
              <w:pStyle w:val="5"/>
              <w:spacing w:before="78" w:line="241" w:lineRule="auto"/>
              <w:ind w:left="280"/>
            </w:pPr>
            <w:r>
              <w:t>l</w:t>
            </w:r>
          </w:p>
        </w:tc>
        <w:tc>
          <w:tcPr>
            <w:tcW w:w="545" w:type="dxa"/>
            <w:vMerge w:val="restart"/>
            <w:tcBorders>
              <w:bottom w:val="nil"/>
            </w:tcBorders>
            <w:vAlign w:val="top"/>
          </w:tcPr>
          <w:p w14:paraId="5D968F9C">
            <w:pPr>
              <w:spacing w:line="267" w:lineRule="auto"/>
              <w:rPr>
                <w:rFonts w:ascii="Arial"/>
                <w:sz w:val="21"/>
              </w:rPr>
            </w:pPr>
          </w:p>
          <w:p w14:paraId="3D0C28C4">
            <w:pPr>
              <w:spacing w:line="268" w:lineRule="auto"/>
              <w:rPr>
                <w:rFonts w:ascii="Arial"/>
                <w:sz w:val="21"/>
              </w:rPr>
            </w:pPr>
          </w:p>
          <w:p w14:paraId="7EC429EA">
            <w:pPr>
              <w:spacing w:line="268" w:lineRule="auto"/>
              <w:rPr>
                <w:rFonts w:ascii="Arial"/>
                <w:sz w:val="21"/>
              </w:rPr>
            </w:pPr>
          </w:p>
          <w:p w14:paraId="7CBBFE4C">
            <w:pPr>
              <w:spacing w:line="268" w:lineRule="auto"/>
              <w:rPr>
                <w:rFonts w:ascii="Arial"/>
                <w:sz w:val="21"/>
              </w:rPr>
            </w:pPr>
          </w:p>
          <w:p w14:paraId="317AE3C2">
            <w:pPr>
              <w:spacing w:line="268" w:lineRule="auto"/>
              <w:rPr>
                <w:rFonts w:ascii="Arial"/>
                <w:sz w:val="21"/>
              </w:rPr>
            </w:pPr>
          </w:p>
          <w:p w14:paraId="7A416E67">
            <w:pPr>
              <w:spacing w:line="268" w:lineRule="auto"/>
              <w:rPr>
                <w:rFonts w:ascii="Arial"/>
                <w:sz w:val="21"/>
              </w:rPr>
            </w:pPr>
          </w:p>
          <w:p w14:paraId="3213416A">
            <w:pPr>
              <w:pStyle w:val="5"/>
              <w:spacing w:before="78" w:line="360" w:lineRule="auto"/>
              <w:ind w:left="32" w:right="30" w:firstLine="3"/>
              <w:jc w:val="both"/>
            </w:pPr>
            <w:r>
              <w:rPr>
                <w:spacing w:val="-7"/>
              </w:rPr>
              <w:t>竞赛</w:t>
            </w:r>
            <w:r>
              <w:rPr>
                <w:spacing w:val="-5"/>
              </w:rPr>
              <w:t>器材采购与租</w:t>
            </w:r>
            <w:r>
              <w:rPr>
                <w:spacing w:val="37"/>
                <w:w w:val="131"/>
              </w:rPr>
              <w:t>赁</w:t>
            </w:r>
          </w:p>
        </w:tc>
        <w:tc>
          <w:tcPr>
            <w:tcW w:w="1695" w:type="dxa"/>
            <w:vAlign w:val="top"/>
          </w:tcPr>
          <w:p w14:paraId="58FF45B7">
            <w:pPr>
              <w:spacing w:line="265" w:lineRule="auto"/>
              <w:rPr>
                <w:rFonts w:ascii="Arial"/>
                <w:sz w:val="21"/>
              </w:rPr>
            </w:pPr>
          </w:p>
          <w:p w14:paraId="5235721E">
            <w:pPr>
              <w:spacing w:line="265" w:lineRule="auto"/>
              <w:rPr>
                <w:rFonts w:ascii="Arial"/>
                <w:sz w:val="21"/>
              </w:rPr>
            </w:pPr>
          </w:p>
          <w:p w14:paraId="4457E0AF">
            <w:pPr>
              <w:spacing w:line="266" w:lineRule="auto"/>
              <w:rPr>
                <w:rFonts w:ascii="Arial"/>
                <w:sz w:val="21"/>
              </w:rPr>
            </w:pPr>
          </w:p>
          <w:p w14:paraId="742D0F18">
            <w:pPr>
              <w:spacing w:line="266" w:lineRule="auto"/>
              <w:rPr>
                <w:rFonts w:ascii="Arial"/>
                <w:sz w:val="21"/>
              </w:rPr>
            </w:pPr>
          </w:p>
          <w:p w14:paraId="041D873F">
            <w:pPr>
              <w:spacing w:line="266" w:lineRule="auto"/>
              <w:rPr>
                <w:rFonts w:ascii="Arial"/>
                <w:sz w:val="21"/>
              </w:rPr>
            </w:pPr>
          </w:p>
          <w:p w14:paraId="4C0F74B6">
            <w:pPr>
              <w:spacing w:line="266" w:lineRule="auto"/>
              <w:rPr>
                <w:rFonts w:ascii="Arial"/>
                <w:sz w:val="21"/>
              </w:rPr>
            </w:pPr>
          </w:p>
          <w:p w14:paraId="3C31BBA6">
            <w:pPr>
              <w:pStyle w:val="5"/>
              <w:spacing w:before="78" w:line="219" w:lineRule="auto"/>
              <w:ind w:left="370"/>
            </w:pPr>
            <w:r>
              <w:rPr>
                <w:spacing w:val="-2"/>
              </w:rPr>
              <w:t>专用器材</w:t>
            </w:r>
          </w:p>
        </w:tc>
        <w:tc>
          <w:tcPr>
            <w:tcW w:w="6180" w:type="dxa"/>
            <w:vAlign w:val="top"/>
          </w:tcPr>
          <w:p w14:paraId="305C67A4">
            <w:pPr>
              <w:pStyle w:val="5"/>
              <w:spacing w:before="49" w:line="359" w:lineRule="auto"/>
              <w:ind w:left="17" w:right="161" w:firstLine="1"/>
              <w:jc w:val="both"/>
            </w:pPr>
            <w:r>
              <w:rPr>
                <w:spacing w:val="-1"/>
              </w:rPr>
              <w:t>严格按照省运会相关要求，制定科学、严谨的竞赛工作计划，对接全国各单项协会、省体育局各项目中心，根据项目设置和标准要求、场地情况、竞赛时间规划和器材布局</w:t>
            </w:r>
            <w:r>
              <w:rPr>
                <w:spacing w:val="15"/>
              </w:rPr>
              <w:t xml:space="preserve"> </w:t>
            </w:r>
            <w:r>
              <w:rPr>
                <w:spacing w:val="4"/>
              </w:rPr>
              <w:t>,制定符合国家各单项协会器材认证要求的竞赛器材清单</w:t>
            </w:r>
          </w:p>
          <w:p w14:paraId="7244D585">
            <w:pPr>
              <w:pStyle w:val="5"/>
              <w:spacing w:line="216" w:lineRule="auto"/>
              <w:ind w:left="38"/>
            </w:pPr>
            <w:r>
              <w:rPr>
                <w:spacing w:val="3"/>
              </w:rPr>
              <w:t>,并按清单采用租赁及采购的方式提供竞赛项目专用器材</w:t>
            </w:r>
          </w:p>
          <w:p w14:paraId="3A709249">
            <w:pPr>
              <w:pStyle w:val="5"/>
              <w:spacing w:before="184" w:line="347" w:lineRule="auto"/>
              <w:ind w:left="19" w:right="161" w:firstLine="18"/>
              <w:jc w:val="both"/>
            </w:pPr>
            <w:r>
              <w:rPr>
                <w:spacing w:val="3"/>
              </w:rPr>
              <w:t>,并安排专业人员全程对接，负责器材的进场布置、安装</w:t>
            </w:r>
            <w:r>
              <w:rPr>
                <w:spacing w:val="-1"/>
              </w:rPr>
              <w:t>调试等工作，确保器材性能良好，满足比赛需求，保障竞</w:t>
            </w:r>
            <w:r>
              <w:rPr>
                <w:spacing w:val="-7"/>
              </w:rPr>
              <w:t>赛顺利开展。</w:t>
            </w:r>
          </w:p>
        </w:tc>
      </w:tr>
      <w:tr w14:paraId="3972B4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7" w:hRule="atLeast"/>
        </w:trPr>
        <w:tc>
          <w:tcPr>
            <w:tcW w:w="640" w:type="dxa"/>
            <w:vAlign w:val="top"/>
          </w:tcPr>
          <w:p w14:paraId="4674DC12">
            <w:pPr>
              <w:spacing w:line="335" w:lineRule="auto"/>
              <w:rPr>
                <w:rFonts w:ascii="Arial"/>
                <w:sz w:val="21"/>
              </w:rPr>
            </w:pPr>
          </w:p>
          <w:p w14:paraId="782B94FA">
            <w:pPr>
              <w:spacing w:line="336" w:lineRule="auto"/>
              <w:rPr>
                <w:rFonts w:ascii="Arial"/>
                <w:sz w:val="21"/>
              </w:rPr>
            </w:pPr>
          </w:p>
          <w:p w14:paraId="4C865CA4">
            <w:pPr>
              <w:pStyle w:val="5"/>
              <w:spacing w:before="78" w:line="241" w:lineRule="auto"/>
              <w:ind w:left="265"/>
            </w:pPr>
            <w:r>
              <w:t>2</w:t>
            </w:r>
          </w:p>
        </w:tc>
        <w:tc>
          <w:tcPr>
            <w:tcW w:w="545" w:type="dxa"/>
            <w:vMerge w:val="continue"/>
            <w:tcBorders>
              <w:top w:val="nil"/>
            </w:tcBorders>
            <w:vAlign w:val="top"/>
          </w:tcPr>
          <w:p w14:paraId="2C42F07A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5C306170">
            <w:pPr>
              <w:spacing w:line="335" w:lineRule="auto"/>
              <w:rPr>
                <w:rFonts w:ascii="Arial"/>
                <w:sz w:val="21"/>
              </w:rPr>
            </w:pPr>
          </w:p>
          <w:p w14:paraId="60FE7765">
            <w:pPr>
              <w:spacing w:line="336" w:lineRule="auto"/>
              <w:rPr>
                <w:rFonts w:ascii="Arial"/>
                <w:sz w:val="21"/>
              </w:rPr>
            </w:pPr>
          </w:p>
          <w:p w14:paraId="2B92E2CF">
            <w:pPr>
              <w:pStyle w:val="5"/>
              <w:spacing w:before="78" w:line="219" w:lineRule="auto"/>
              <w:ind w:left="397"/>
            </w:pPr>
            <w:r>
              <w:rPr>
                <w:spacing w:val="-8"/>
              </w:rPr>
              <w:t>电子器材</w:t>
            </w:r>
          </w:p>
        </w:tc>
        <w:tc>
          <w:tcPr>
            <w:tcW w:w="6180" w:type="dxa"/>
            <w:vAlign w:val="top"/>
          </w:tcPr>
          <w:p w14:paraId="1B1D0BE1">
            <w:pPr>
              <w:pStyle w:val="5"/>
              <w:spacing w:before="55" w:line="349" w:lineRule="auto"/>
              <w:ind w:left="16" w:right="161"/>
              <w:jc w:val="both"/>
            </w:pPr>
            <w:r>
              <w:rPr>
                <w:spacing w:val="-1"/>
              </w:rPr>
              <w:t>对接全国各单项协会、省体育局各项目中心，根据项目设置、场地情况、竞赛时间规划和器材布局，制定竞赛器材清单，按竞赛要求提供竞赛项目电子器材，保障竞赛顺利</w:t>
            </w:r>
            <w:r>
              <w:rPr>
                <w:spacing w:val="-3"/>
              </w:rPr>
              <w:t>开展，并符合国家各单项协会器材认证要求。</w:t>
            </w:r>
          </w:p>
        </w:tc>
      </w:tr>
      <w:tr w14:paraId="1D7E2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640" w:type="dxa"/>
            <w:vAlign w:val="top"/>
          </w:tcPr>
          <w:p w14:paraId="726D52D6">
            <w:pPr>
              <w:spacing w:line="441" w:lineRule="auto"/>
              <w:rPr>
                <w:rFonts w:ascii="Arial"/>
                <w:sz w:val="21"/>
              </w:rPr>
            </w:pPr>
          </w:p>
          <w:p w14:paraId="4A5AAF0A">
            <w:pPr>
              <w:pStyle w:val="5"/>
              <w:spacing w:before="78"/>
              <w:ind w:left="267"/>
            </w:pPr>
            <w:r>
              <w:t>3</w:t>
            </w:r>
          </w:p>
        </w:tc>
        <w:tc>
          <w:tcPr>
            <w:tcW w:w="2240" w:type="dxa"/>
            <w:gridSpan w:val="2"/>
            <w:vAlign w:val="top"/>
          </w:tcPr>
          <w:p w14:paraId="2B3748AF">
            <w:pPr>
              <w:pStyle w:val="5"/>
              <w:spacing w:before="288" w:line="361" w:lineRule="auto"/>
              <w:ind w:left="760" w:right="37" w:hanging="716"/>
            </w:pPr>
            <w:r>
              <w:rPr>
                <w:spacing w:val="-2"/>
              </w:rPr>
              <w:t>竞赛辅助、办公器材及耗材</w:t>
            </w:r>
          </w:p>
        </w:tc>
        <w:tc>
          <w:tcPr>
            <w:tcW w:w="6180" w:type="dxa"/>
            <w:vAlign w:val="top"/>
          </w:tcPr>
          <w:p w14:paraId="064E9C78">
            <w:pPr>
              <w:pStyle w:val="5"/>
              <w:spacing w:before="54" w:line="347" w:lineRule="auto"/>
              <w:ind w:left="17" w:right="161"/>
              <w:jc w:val="both"/>
            </w:pPr>
            <w:r>
              <w:rPr>
                <w:spacing w:val="-1"/>
              </w:rPr>
              <w:t>根据各竞赛项目特点，与省体育局各项目中心和各单项竞委会沟通协调，制定各单项所需辅助、办公器材清单，提</w:t>
            </w:r>
            <w:r>
              <w:rPr>
                <w:spacing w:val="-2"/>
              </w:rPr>
              <w:t>供竞赛专用耗材及办公用品，保障竞赛顺利开展。</w:t>
            </w:r>
          </w:p>
        </w:tc>
      </w:tr>
    </w:tbl>
    <w:p w14:paraId="44481336">
      <w:pPr>
        <w:pStyle w:val="2"/>
      </w:pPr>
    </w:p>
    <w:p w14:paraId="53906B23">
      <w:pPr>
        <w:sectPr>
          <w:footerReference r:id="rId6" w:type="default"/>
          <w:pgSz w:w="11906" w:h="16840"/>
          <w:pgMar w:top="400" w:right="1440" w:bottom="1214" w:left="1395" w:header="0" w:footer="968" w:gutter="0"/>
          <w:cols w:space="720" w:num="1"/>
        </w:sectPr>
      </w:pPr>
    </w:p>
    <w:p w14:paraId="41DAAAEC">
      <w:pPr>
        <w:spacing w:before="13"/>
      </w:pPr>
    </w:p>
    <w:p w14:paraId="5CE107D1">
      <w:pPr>
        <w:spacing w:before="13"/>
      </w:pPr>
    </w:p>
    <w:p w14:paraId="3A09F619">
      <w:pPr>
        <w:spacing w:before="13"/>
      </w:pPr>
    </w:p>
    <w:p w14:paraId="6953BEB9">
      <w:pPr>
        <w:spacing w:before="12"/>
      </w:pPr>
    </w:p>
    <w:tbl>
      <w:tblPr>
        <w:tblStyle w:val="6"/>
        <w:tblW w:w="9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2240"/>
        <w:gridCol w:w="6180"/>
      </w:tblGrid>
      <w:tr w14:paraId="7439E5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00" w:hRule="atLeast"/>
        </w:trPr>
        <w:tc>
          <w:tcPr>
            <w:tcW w:w="640" w:type="dxa"/>
            <w:vAlign w:val="top"/>
          </w:tcPr>
          <w:p w14:paraId="19155CF4">
            <w:pPr>
              <w:spacing w:line="248" w:lineRule="auto"/>
              <w:rPr>
                <w:rFonts w:ascii="Arial"/>
                <w:sz w:val="21"/>
              </w:rPr>
            </w:pPr>
          </w:p>
          <w:p w14:paraId="2B53CFA7">
            <w:pPr>
              <w:spacing w:line="248" w:lineRule="auto"/>
              <w:rPr>
                <w:rFonts w:ascii="Arial"/>
                <w:sz w:val="21"/>
              </w:rPr>
            </w:pPr>
          </w:p>
          <w:p w14:paraId="2263A5F7">
            <w:pPr>
              <w:spacing w:line="248" w:lineRule="auto"/>
              <w:rPr>
                <w:rFonts w:ascii="Arial"/>
                <w:sz w:val="21"/>
              </w:rPr>
            </w:pPr>
          </w:p>
          <w:p w14:paraId="24DB1AD3">
            <w:pPr>
              <w:spacing w:line="248" w:lineRule="auto"/>
              <w:rPr>
                <w:rFonts w:ascii="Arial"/>
                <w:sz w:val="21"/>
              </w:rPr>
            </w:pPr>
          </w:p>
          <w:p w14:paraId="4ECBE022">
            <w:pPr>
              <w:spacing w:line="249" w:lineRule="auto"/>
              <w:rPr>
                <w:rFonts w:ascii="Arial"/>
                <w:sz w:val="21"/>
              </w:rPr>
            </w:pPr>
          </w:p>
          <w:p w14:paraId="3DF476AA">
            <w:pPr>
              <w:spacing w:line="249" w:lineRule="auto"/>
              <w:rPr>
                <w:rFonts w:ascii="Arial"/>
                <w:sz w:val="21"/>
              </w:rPr>
            </w:pPr>
          </w:p>
          <w:p w14:paraId="36229FED">
            <w:pPr>
              <w:spacing w:line="249" w:lineRule="auto"/>
              <w:rPr>
                <w:rFonts w:ascii="Arial"/>
                <w:sz w:val="21"/>
              </w:rPr>
            </w:pPr>
          </w:p>
          <w:p w14:paraId="2807B614">
            <w:pPr>
              <w:spacing w:line="249" w:lineRule="auto"/>
              <w:rPr>
                <w:rFonts w:ascii="Arial"/>
                <w:sz w:val="21"/>
              </w:rPr>
            </w:pPr>
          </w:p>
          <w:p w14:paraId="0623B9C3">
            <w:pPr>
              <w:spacing w:line="249" w:lineRule="auto"/>
              <w:rPr>
                <w:rFonts w:ascii="Arial"/>
                <w:sz w:val="21"/>
              </w:rPr>
            </w:pPr>
          </w:p>
          <w:p w14:paraId="142D8C92">
            <w:pPr>
              <w:spacing w:line="249" w:lineRule="auto"/>
              <w:rPr>
                <w:rFonts w:ascii="Arial"/>
                <w:sz w:val="21"/>
              </w:rPr>
            </w:pPr>
          </w:p>
          <w:p w14:paraId="5730CB43">
            <w:pPr>
              <w:spacing w:line="249" w:lineRule="auto"/>
              <w:rPr>
                <w:rFonts w:ascii="Arial"/>
                <w:sz w:val="21"/>
              </w:rPr>
            </w:pPr>
          </w:p>
          <w:p w14:paraId="3853D6DA">
            <w:pPr>
              <w:spacing w:line="249" w:lineRule="auto"/>
              <w:rPr>
                <w:rFonts w:ascii="Arial"/>
                <w:sz w:val="21"/>
              </w:rPr>
            </w:pPr>
          </w:p>
          <w:p w14:paraId="7B165FD8">
            <w:pPr>
              <w:spacing w:line="249" w:lineRule="auto"/>
              <w:rPr>
                <w:rFonts w:ascii="Arial"/>
                <w:sz w:val="21"/>
              </w:rPr>
            </w:pPr>
          </w:p>
          <w:p w14:paraId="74D8A9F1">
            <w:pPr>
              <w:spacing w:line="249" w:lineRule="auto"/>
              <w:rPr>
                <w:rFonts w:ascii="Arial"/>
                <w:sz w:val="21"/>
              </w:rPr>
            </w:pPr>
          </w:p>
          <w:p w14:paraId="1ACE8AD7">
            <w:pPr>
              <w:spacing w:line="249" w:lineRule="auto"/>
              <w:rPr>
                <w:rFonts w:ascii="Arial"/>
                <w:sz w:val="21"/>
              </w:rPr>
            </w:pPr>
          </w:p>
          <w:p w14:paraId="198E2F23">
            <w:pPr>
              <w:spacing w:line="249" w:lineRule="auto"/>
              <w:rPr>
                <w:rFonts w:ascii="Arial"/>
                <w:sz w:val="21"/>
              </w:rPr>
            </w:pPr>
          </w:p>
          <w:p w14:paraId="0F87D10E">
            <w:pPr>
              <w:spacing w:line="249" w:lineRule="auto"/>
              <w:rPr>
                <w:rFonts w:ascii="Arial"/>
                <w:sz w:val="21"/>
              </w:rPr>
            </w:pPr>
          </w:p>
          <w:p w14:paraId="42BE0A2B">
            <w:pPr>
              <w:spacing w:line="249" w:lineRule="auto"/>
              <w:rPr>
                <w:rFonts w:ascii="Arial"/>
                <w:sz w:val="21"/>
              </w:rPr>
            </w:pPr>
          </w:p>
          <w:p w14:paraId="693BFE2D">
            <w:pPr>
              <w:spacing w:line="249" w:lineRule="auto"/>
              <w:rPr>
                <w:rFonts w:ascii="Arial"/>
                <w:sz w:val="21"/>
              </w:rPr>
            </w:pPr>
          </w:p>
          <w:p w14:paraId="14E09C23">
            <w:pPr>
              <w:spacing w:line="249" w:lineRule="auto"/>
              <w:rPr>
                <w:rFonts w:ascii="Arial"/>
                <w:sz w:val="21"/>
              </w:rPr>
            </w:pPr>
          </w:p>
          <w:p w14:paraId="7BC5C82B">
            <w:pPr>
              <w:spacing w:line="249" w:lineRule="auto"/>
              <w:rPr>
                <w:rFonts w:ascii="Arial"/>
                <w:sz w:val="21"/>
              </w:rPr>
            </w:pPr>
          </w:p>
          <w:p w14:paraId="61B023C4">
            <w:pPr>
              <w:spacing w:line="249" w:lineRule="auto"/>
              <w:rPr>
                <w:rFonts w:ascii="Arial"/>
                <w:sz w:val="21"/>
              </w:rPr>
            </w:pPr>
          </w:p>
          <w:p w14:paraId="1F83CFE6">
            <w:pPr>
              <w:spacing w:line="249" w:lineRule="auto"/>
              <w:rPr>
                <w:rFonts w:ascii="Arial"/>
                <w:sz w:val="21"/>
              </w:rPr>
            </w:pPr>
          </w:p>
          <w:p w14:paraId="3C389E31">
            <w:pPr>
              <w:spacing w:line="249" w:lineRule="auto"/>
              <w:rPr>
                <w:rFonts w:ascii="Arial"/>
                <w:sz w:val="21"/>
              </w:rPr>
            </w:pPr>
          </w:p>
          <w:p w14:paraId="17BC1CAE">
            <w:pPr>
              <w:spacing w:line="249" w:lineRule="auto"/>
              <w:rPr>
                <w:rFonts w:ascii="Arial"/>
                <w:sz w:val="21"/>
              </w:rPr>
            </w:pPr>
          </w:p>
          <w:p w14:paraId="1B58FB0D">
            <w:pPr>
              <w:spacing w:line="249" w:lineRule="auto"/>
              <w:rPr>
                <w:rFonts w:ascii="Arial"/>
                <w:sz w:val="21"/>
              </w:rPr>
            </w:pPr>
          </w:p>
          <w:p w14:paraId="62863714">
            <w:pPr>
              <w:pStyle w:val="5"/>
              <w:spacing w:before="78" w:line="241" w:lineRule="auto"/>
              <w:ind w:left="261"/>
            </w:pPr>
            <w:r>
              <w:t>4</w:t>
            </w:r>
          </w:p>
        </w:tc>
        <w:tc>
          <w:tcPr>
            <w:tcW w:w="2240" w:type="dxa"/>
            <w:vAlign w:val="top"/>
          </w:tcPr>
          <w:p w14:paraId="1A3F831E">
            <w:pPr>
              <w:spacing w:line="248" w:lineRule="auto"/>
              <w:rPr>
                <w:rFonts w:ascii="Arial"/>
                <w:sz w:val="21"/>
              </w:rPr>
            </w:pPr>
          </w:p>
          <w:p w14:paraId="528D6963">
            <w:pPr>
              <w:spacing w:line="248" w:lineRule="auto"/>
              <w:rPr>
                <w:rFonts w:ascii="Arial"/>
                <w:sz w:val="21"/>
              </w:rPr>
            </w:pPr>
          </w:p>
          <w:p w14:paraId="213FA414">
            <w:pPr>
              <w:spacing w:line="248" w:lineRule="auto"/>
              <w:rPr>
                <w:rFonts w:ascii="Arial"/>
                <w:sz w:val="21"/>
              </w:rPr>
            </w:pPr>
          </w:p>
          <w:p w14:paraId="4D6BC63E">
            <w:pPr>
              <w:spacing w:line="249" w:lineRule="auto"/>
              <w:rPr>
                <w:rFonts w:ascii="Arial"/>
                <w:sz w:val="21"/>
              </w:rPr>
            </w:pPr>
          </w:p>
          <w:p w14:paraId="46B81CDA">
            <w:pPr>
              <w:spacing w:line="249" w:lineRule="auto"/>
              <w:rPr>
                <w:rFonts w:ascii="Arial"/>
                <w:sz w:val="21"/>
              </w:rPr>
            </w:pPr>
          </w:p>
          <w:p w14:paraId="52F01427">
            <w:pPr>
              <w:spacing w:line="249" w:lineRule="auto"/>
              <w:rPr>
                <w:rFonts w:ascii="Arial"/>
                <w:sz w:val="21"/>
              </w:rPr>
            </w:pPr>
          </w:p>
          <w:p w14:paraId="0716A0B8">
            <w:pPr>
              <w:spacing w:line="249" w:lineRule="auto"/>
              <w:rPr>
                <w:rFonts w:ascii="Arial"/>
                <w:sz w:val="21"/>
              </w:rPr>
            </w:pPr>
          </w:p>
          <w:p w14:paraId="3AA2AC51">
            <w:pPr>
              <w:spacing w:line="249" w:lineRule="auto"/>
              <w:rPr>
                <w:rFonts w:ascii="Arial"/>
                <w:sz w:val="21"/>
              </w:rPr>
            </w:pPr>
          </w:p>
          <w:p w14:paraId="2DFCC78E">
            <w:pPr>
              <w:spacing w:line="249" w:lineRule="auto"/>
              <w:rPr>
                <w:rFonts w:ascii="Arial"/>
                <w:sz w:val="21"/>
              </w:rPr>
            </w:pPr>
          </w:p>
          <w:p w14:paraId="41884801">
            <w:pPr>
              <w:spacing w:line="249" w:lineRule="auto"/>
              <w:rPr>
                <w:rFonts w:ascii="Arial"/>
                <w:sz w:val="21"/>
              </w:rPr>
            </w:pPr>
          </w:p>
          <w:p w14:paraId="134FBADA">
            <w:pPr>
              <w:spacing w:line="249" w:lineRule="auto"/>
              <w:rPr>
                <w:rFonts w:ascii="Arial"/>
                <w:sz w:val="21"/>
              </w:rPr>
            </w:pPr>
          </w:p>
          <w:p w14:paraId="793269BB">
            <w:pPr>
              <w:spacing w:line="249" w:lineRule="auto"/>
              <w:rPr>
                <w:rFonts w:ascii="Arial"/>
                <w:sz w:val="21"/>
              </w:rPr>
            </w:pPr>
          </w:p>
          <w:p w14:paraId="353D14F5">
            <w:pPr>
              <w:spacing w:line="249" w:lineRule="auto"/>
              <w:rPr>
                <w:rFonts w:ascii="Arial"/>
                <w:sz w:val="21"/>
              </w:rPr>
            </w:pPr>
          </w:p>
          <w:p w14:paraId="2632DEA3">
            <w:pPr>
              <w:spacing w:line="249" w:lineRule="auto"/>
              <w:rPr>
                <w:rFonts w:ascii="Arial"/>
                <w:sz w:val="21"/>
              </w:rPr>
            </w:pPr>
          </w:p>
          <w:p w14:paraId="4384C13B">
            <w:pPr>
              <w:spacing w:line="249" w:lineRule="auto"/>
              <w:rPr>
                <w:rFonts w:ascii="Arial"/>
                <w:sz w:val="21"/>
              </w:rPr>
            </w:pPr>
          </w:p>
          <w:p w14:paraId="2159F493">
            <w:pPr>
              <w:spacing w:line="249" w:lineRule="auto"/>
              <w:rPr>
                <w:rFonts w:ascii="Arial"/>
                <w:sz w:val="21"/>
              </w:rPr>
            </w:pPr>
          </w:p>
          <w:p w14:paraId="13650335">
            <w:pPr>
              <w:spacing w:line="249" w:lineRule="auto"/>
              <w:rPr>
                <w:rFonts w:ascii="Arial"/>
                <w:sz w:val="21"/>
              </w:rPr>
            </w:pPr>
          </w:p>
          <w:p w14:paraId="6D9B3524">
            <w:pPr>
              <w:spacing w:line="249" w:lineRule="auto"/>
              <w:rPr>
                <w:rFonts w:ascii="Arial"/>
                <w:sz w:val="21"/>
              </w:rPr>
            </w:pPr>
          </w:p>
          <w:p w14:paraId="4AB79658">
            <w:pPr>
              <w:spacing w:line="249" w:lineRule="auto"/>
              <w:rPr>
                <w:rFonts w:ascii="Arial"/>
                <w:sz w:val="21"/>
              </w:rPr>
            </w:pPr>
          </w:p>
          <w:p w14:paraId="556E1744">
            <w:pPr>
              <w:spacing w:line="249" w:lineRule="auto"/>
              <w:rPr>
                <w:rFonts w:ascii="Arial"/>
                <w:sz w:val="21"/>
              </w:rPr>
            </w:pPr>
          </w:p>
          <w:p w14:paraId="2DAF68E7">
            <w:pPr>
              <w:spacing w:line="249" w:lineRule="auto"/>
              <w:rPr>
                <w:rFonts w:ascii="Arial"/>
                <w:sz w:val="21"/>
              </w:rPr>
            </w:pPr>
          </w:p>
          <w:p w14:paraId="2D853D59">
            <w:pPr>
              <w:spacing w:line="249" w:lineRule="auto"/>
              <w:rPr>
                <w:rFonts w:ascii="Arial"/>
                <w:sz w:val="21"/>
              </w:rPr>
            </w:pPr>
          </w:p>
          <w:p w14:paraId="171D2F6B">
            <w:pPr>
              <w:spacing w:line="249" w:lineRule="auto"/>
              <w:rPr>
                <w:rFonts w:ascii="Arial"/>
                <w:sz w:val="21"/>
              </w:rPr>
            </w:pPr>
          </w:p>
          <w:p w14:paraId="6AEA06BC">
            <w:pPr>
              <w:spacing w:line="249" w:lineRule="auto"/>
              <w:rPr>
                <w:rFonts w:ascii="Arial"/>
                <w:sz w:val="21"/>
              </w:rPr>
            </w:pPr>
          </w:p>
          <w:p w14:paraId="3B12D664">
            <w:pPr>
              <w:spacing w:line="249" w:lineRule="auto"/>
              <w:rPr>
                <w:rFonts w:ascii="Arial"/>
                <w:sz w:val="21"/>
              </w:rPr>
            </w:pPr>
          </w:p>
          <w:p w14:paraId="0A03D14D">
            <w:pPr>
              <w:spacing w:line="249" w:lineRule="auto"/>
              <w:rPr>
                <w:rFonts w:ascii="Arial"/>
                <w:sz w:val="21"/>
              </w:rPr>
            </w:pPr>
          </w:p>
          <w:p w14:paraId="24CF88D5">
            <w:pPr>
              <w:pStyle w:val="5"/>
              <w:spacing w:before="78" w:line="220" w:lineRule="auto"/>
              <w:ind w:left="41"/>
            </w:pPr>
            <w:r>
              <w:rPr>
                <w:spacing w:val="-1"/>
              </w:rPr>
              <w:t>物料设计与制作搭建</w:t>
            </w:r>
          </w:p>
        </w:tc>
        <w:tc>
          <w:tcPr>
            <w:tcW w:w="6180" w:type="dxa"/>
            <w:vAlign w:val="top"/>
          </w:tcPr>
          <w:p w14:paraId="353ADAD8">
            <w:pPr>
              <w:pStyle w:val="5"/>
              <w:spacing w:before="53" w:line="359" w:lineRule="auto"/>
              <w:ind w:left="16" w:right="161" w:firstLine="1"/>
              <w:jc w:val="both"/>
            </w:pPr>
            <w:r>
              <w:rPr>
                <w:spacing w:val="-1"/>
              </w:rPr>
              <w:t>承担比赛物料的VI设计制作工作，包括项目视觉识别系统（VI）、各类平面布置图、效果图等，打造统一、专</w:t>
            </w:r>
            <w:r>
              <w:rPr>
                <w:spacing w:val="-2"/>
              </w:rPr>
              <w:t>业的</w:t>
            </w:r>
            <w:r>
              <w:rPr>
                <w:spacing w:val="-1"/>
              </w:rPr>
              <w:t>赛事视觉形象。达成江西省第十七届运动会形象对外传播的一致性与一贯性，运用统一设计和统一大众传播，形成传播媒体上的形象统一，兼有个性化、明晰化、有序化，</w:t>
            </w:r>
            <w:r>
              <w:rPr>
                <w:spacing w:val="-3"/>
              </w:rPr>
              <w:t>给社会大众留下强烈的印象与影响力。</w:t>
            </w:r>
          </w:p>
          <w:p w14:paraId="30370813">
            <w:pPr>
              <w:pStyle w:val="5"/>
              <w:spacing w:line="359" w:lineRule="auto"/>
              <w:ind w:left="17" w:right="161" w:firstLine="4"/>
              <w:jc w:val="both"/>
            </w:pPr>
            <w:r>
              <w:rPr>
                <w:spacing w:val="-1"/>
              </w:rPr>
              <w:t>省运会各项目赛事承办场地，达成统一性，实现本届省运会VI视觉的标准化导向。根据赛场情况实际测量尺寸并设</w:t>
            </w:r>
            <w:r>
              <w:rPr>
                <w:spacing w:val="-5"/>
              </w:rPr>
              <w:t>计制作物料安装。</w:t>
            </w:r>
          </w:p>
          <w:p w14:paraId="2306C664">
            <w:pPr>
              <w:pStyle w:val="5"/>
              <w:spacing w:line="359" w:lineRule="auto"/>
              <w:ind w:left="21" w:right="161"/>
            </w:pPr>
            <w:r>
              <w:rPr>
                <w:spacing w:val="-1"/>
              </w:rPr>
              <w:t>一、各单项赛事筹备期间，对接各单项竞委</w:t>
            </w:r>
            <w:r>
              <w:rPr>
                <w:spacing w:val="-2"/>
              </w:rPr>
              <w:t>会，沟通确定</w:t>
            </w:r>
            <w:r>
              <w:rPr>
                <w:spacing w:val="-1"/>
              </w:rPr>
              <w:t>各赛场布置要求，并设计场馆运动员、观众、裁判人员流</w:t>
            </w:r>
            <w:r>
              <w:rPr>
                <w:spacing w:val="-6"/>
              </w:rPr>
              <w:t>线图及场地布置平面图；</w:t>
            </w:r>
          </w:p>
          <w:p w14:paraId="7997AA58">
            <w:pPr>
              <w:pStyle w:val="5"/>
              <w:spacing w:line="359" w:lineRule="auto"/>
              <w:ind w:left="20" w:right="195" w:firstLine="1"/>
            </w:pPr>
            <w:r>
              <w:rPr>
                <w:spacing w:val="-2"/>
              </w:rPr>
              <w:t>二、明确各单项赛事特点，准备所需赛事运动员号码布、</w:t>
            </w:r>
            <w:r>
              <w:rPr>
                <w:spacing w:val="-3"/>
              </w:rPr>
              <w:t>成绩记录表格、检录表格、申诉表格等辅助用品；</w:t>
            </w:r>
          </w:p>
          <w:p w14:paraId="683599DD">
            <w:pPr>
              <w:pStyle w:val="5"/>
              <w:spacing w:line="359" w:lineRule="auto"/>
              <w:ind w:left="18" w:right="161"/>
            </w:pPr>
            <w:r>
              <w:rPr>
                <w:spacing w:val="-1"/>
              </w:rPr>
              <w:t>三、根据各单项竞委会要求，安排运动队赛前及赛中场地</w:t>
            </w:r>
            <w:r>
              <w:rPr>
                <w:spacing w:val="-8"/>
              </w:rPr>
              <w:t>适应性训练计划；</w:t>
            </w:r>
          </w:p>
          <w:p w14:paraId="7E8C7B43">
            <w:pPr>
              <w:pStyle w:val="5"/>
              <w:spacing w:line="359" w:lineRule="auto"/>
              <w:ind w:left="17" w:right="161" w:firstLine="23"/>
            </w:pPr>
            <w:r>
              <w:rPr>
                <w:spacing w:val="-2"/>
              </w:rPr>
              <w:t>四、根据各单项竞委会要求，安排竞赛期间各单项运动队</w:t>
            </w:r>
            <w:r>
              <w:rPr>
                <w:spacing w:val="-5"/>
              </w:rPr>
              <w:t>及驻地酒店之间的交通车辆计划；</w:t>
            </w:r>
          </w:p>
          <w:p w14:paraId="6E3D588E">
            <w:pPr>
              <w:pStyle w:val="5"/>
              <w:spacing w:line="359" w:lineRule="auto"/>
              <w:ind w:left="18" w:right="161" w:firstLine="3"/>
            </w:pPr>
            <w:r>
              <w:rPr>
                <w:spacing w:val="-1"/>
              </w:rPr>
              <w:t>五、根据各单项竞委会要求，提供赛事期间竞赛会议场地</w:t>
            </w:r>
            <w:r>
              <w:rPr>
                <w:spacing w:val="-4"/>
              </w:rPr>
              <w:t>布置物料制作及赛程抽签物料制作；</w:t>
            </w:r>
          </w:p>
          <w:p w14:paraId="759DD372">
            <w:pPr>
              <w:pStyle w:val="5"/>
              <w:spacing w:before="1" w:line="359" w:lineRule="auto"/>
              <w:ind w:left="18" w:right="161" w:firstLine="1"/>
            </w:pPr>
            <w:r>
              <w:rPr>
                <w:spacing w:val="-1"/>
              </w:rPr>
              <w:t>六、根据赛程安排，提供赛场内及赛场周边区域内的氛围</w:t>
            </w:r>
            <w:r>
              <w:rPr>
                <w:spacing w:val="-6"/>
              </w:rPr>
              <w:t>布置及赛场道路临时指引；</w:t>
            </w:r>
          </w:p>
          <w:p w14:paraId="01648333">
            <w:pPr>
              <w:pStyle w:val="5"/>
              <w:spacing w:line="359" w:lineRule="auto"/>
              <w:ind w:left="21" w:right="161" w:hanging="4"/>
            </w:pPr>
            <w:r>
              <w:rPr>
                <w:spacing w:val="-1"/>
              </w:rPr>
              <w:t>七、各项目赛事承办地物料设计制作及安装，包括（不限</w:t>
            </w:r>
            <w:r>
              <w:rPr>
                <w:spacing w:val="-10"/>
              </w:rPr>
              <w:t>于以下内容</w:t>
            </w:r>
            <w:r>
              <w:rPr>
                <w:spacing w:val="-5"/>
              </w:rPr>
              <w:t>）：</w:t>
            </w:r>
          </w:p>
          <w:p w14:paraId="4DB1019F">
            <w:pPr>
              <w:pStyle w:val="5"/>
              <w:spacing w:line="359" w:lineRule="auto"/>
              <w:ind w:left="18" w:right="161" w:firstLine="17"/>
            </w:pPr>
            <w:r>
              <w:rPr>
                <w:spacing w:val="-1"/>
              </w:rPr>
              <w:t>1.竞赛辅助物料：单项赛事记录单、号码布、对战</w:t>
            </w:r>
            <w:r>
              <w:rPr>
                <w:spacing w:val="-2"/>
              </w:rPr>
              <w:t>表、场</w:t>
            </w:r>
            <w:r>
              <w:rPr>
                <w:spacing w:val="-3"/>
              </w:rPr>
              <w:t>地编号、竞赛判罚辅助工具，竞赛配套容器等；</w:t>
            </w:r>
          </w:p>
          <w:p w14:paraId="0FA74D56">
            <w:pPr>
              <w:pStyle w:val="5"/>
              <w:spacing w:before="1" w:line="359" w:lineRule="auto"/>
              <w:ind w:left="21" w:right="161"/>
            </w:pPr>
            <w:r>
              <w:rPr>
                <w:spacing w:val="-1"/>
              </w:rPr>
              <w:t>2.印刷物料：场地适应训练表、日程班车时刻表、功能房</w:t>
            </w:r>
            <w:r>
              <w:rPr>
                <w:spacing w:val="-9"/>
              </w:rPr>
              <w:t>名称、桌签等；</w:t>
            </w:r>
          </w:p>
          <w:p w14:paraId="32B7CC8B">
            <w:pPr>
              <w:pStyle w:val="5"/>
              <w:spacing w:line="219" w:lineRule="auto"/>
              <w:ind w:left="23"/>
            </w:pPr>
            <w:r>
              <w:rPr>
                <w:spacing w:val="-1"/>
              </w:rPr>
              <w:t>3.赛场物料：主背景画面、主席台画面、围挡画面、赞助</w:t>
            </w:r>
          </w:p>
        </w:tc>
      </w:tr>
    </w:tbl>
    <w:p w14:paraId="385BBB52">
      <w:pPr>
        <w:pStyle w:val="2"/>
      </w:pPr>
    </w:p>
    <w:p w14:paraId="679F2335">
      <w:pPr>
        <w:sectPr>
          <w:footerReference r:id="rId7" w:type="default"/>
          <w:pgSz w:w="11906" w:h="16840"/>
          <w:pgMar w:top="400" w:right="1440" w:bottom="1214" w:left="1395" w:header="0" w:footer="968" w:gutter="0"/>
          <w:cols w:space="720" w:num="1"/>
        </w:sectPr>
      </w:pPr>
    </w:p>
    <w:p w14:paraId="5EDD63EE">
      <w:pPr>
        <w:spacing w:before="13"/>
      </w:pPr>
    </w:p>
    <w:p w14:paraId="45FD3889">
      <w:pPr>
        <w:spacing w:before="13"/>
      </w:pPr>
    </w:p>
    <w:p w14:paraId="281818B1">
      <w:pPr>
        <w:spacing w:before="13"/>
      </w:pPr>
    </w:p>
    <w:p w14:paraId="471572A3">
      <w:pPr>
        <w:spacing w:before="12"/>
      </w:pPr>
    </w:p>
    <w:tbl>
      <w:tblPr>
        <w:tblStyle w:val="6"/>
        <w:tblW w:w="9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545"/>
        <w:gridCol w:w="1695"/>
        <w:gridCol w:w="6180"/>
      </w:tblGrid>
      <w:tr w14:paraId="25C513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2" w:hRule="atLeast"/>
        </w:trPr>
        <w:tc>
          <w:tcPr>
            <w:tcW w:w="640" w:type="dxa"/>
            <w:vAlign w:val="top"/>
          </w:tcPr>
          <w:p w14:paraId="37E88D5E">
            <w:pPr>
              <w:rPr>
                <w:rFonts w:ascii="Arial"/>
                <w:sz w:val="21"/>
              </w:rPr>
            </w:pPr>
          </w:p>
        </w:tc>
        <w:tc>
          <w:tcPr>
            <w:tcW w:w="2240" w:type="dxa"/>
            <w:gridSpan w:val="2"/>
            <w:vAlign w:val="top"/>
          </w:tcPr>
          <w:p w14:paraId="1816EABB">
            <w:pPr>
              <w:rPr>
                <w:rFonts w:ascii="Arial"/>
                <w:sz w:val="21"/>
              </w:rPr>
            </w:pPr>
          </w:p>
        </w:tc>
        <w:tc>
          <w:tcPr>
            <w:tcW w:w="6180" w:type="dxa"/>
            <w:vAlign w:val="top"/>
          </w:tcPr>
          <w:p w14:paraId="72B676BC">
            <w:pPr>
              <w:pStyle w:val="5"/>
              <w:spacing w:before="52" w:line="359" w:lineRule="auto"/>
              <w:ind w:right="172"/>
            </w:pPr>
            <w:r>
              <w:rPr>
                <w:spacing w:val="-1"/>
              </w:rPr>
              <w:t>商广告LOGO、运动员席，媒体席、成绩公告、引导牌、各</w:t>
            </w:r>
            <w:r>
              <w:rPr>
                <w:spacing w:val="-7"/>
              </w:rPr>
              <w:t>场地通道口物料等；</w:t>
            </w:r>
          </w:p>
          <w:p w14:paraId="50F75EE1">
            <w:pPr>
              <w:pStyle w:val="5"/>
              <w:spacing w:line="359" w:lineRule="auto"/>
              <w:ind w:left="18" w:right="195" w:hanging="1"/>
            </w:pPr>
            <w:r>
              <w:rPr>
                <w:spacing w:val="-2"/>
              </w:rPr>
              <w:t>4.外围物料：充气拱门、指引（路线引导、场馆平面图、</w:t>
            </w:r>
            <w:r>
              <w:rPr>
                <w:spacing w:val="-6"/>
              </w:rPr>
              <w:t>流线图）、注水道旗等；</w:t>
            </w:r>
          </w:p>
          <w:p w14:paraId="2B0F1E03">
            <w:pPr>
              <w:pStyle w:val="5"/>
              <w:spacing w:line="218" w:lineRule="auto"/>
              <w:ind w:left="23"/>
            </w:pPr>
            <w:r>
              <w:rPr>
                <w:spacing w:val="-2"/>
              </w:rPr>
              <w:t>5.酒店物料：会务报到、桌签、车牌、公告、条幅等。</w:t>
            </w:r>
          </w:p>
        </w:tc>
      </w:tr>
      <w:tr w14:paraId="56FB87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8" w:hRule="atLeast"/>
        </w:trPr>
        <w:tc>
          <w:tcPr>
            <w:tcW w:w="640" w:type="dxa"/>
            <w:vAlign w:val="top"/>
          </w:tcPr>
          <w:p w14:paraId="743807CC">
            <w:pPr>
              <w:spacing w:line="250" w:lineRule="auto"/>
              <w:rPr>
                <w:rFonts w:ascii="Arial"/>
                <w:sz w:val="21"/>
              </w:rPr>
            </w:pPr>
          </w:p>
          <w:p w14:paraId="40D62BA1">
            <w:pPr>
              <w:spacing w:line="250" w:lineRule="auto"/>
              <w:rPr>
                <w:rFonts w:ascii="Arial"/>
                <w:sz w:val="21"/>
              </w:rPr>
            </w:pPr>
          </w:p>
          <w:p w14:paraId="584258D5">
            <w:pPr>
              <w:spacing w:line="250" w:lineRule="auto"/>
              <w:rPr>
                <w:rFonts w:ascii="Arial"/>
                <w:sz w:val="21"/>
              </w:rPr>
            </w:pPr>
          </w:p>
          <w:p w14:paraId="339366DF">
            <w:pPr>
              <w:spacing w:line="250" w:lineRule="auto"/>
              <w:rPr>
                <w:rFonts w:ascii="Arial"/>
                <w:sz w:val="21"/>
              </w:rPr>
            </w:pPr>
          </w:p>
          <w:p w14:paraId="35D32ECE">
            <w:pPr>
              <w:spacing w:line="250" w:lineRule="auto"/>
              <w:rPr>
                <w:rFonts w:ascii="Arial"/>
                <w:sz w:val="21"/>
              </w:rPr>
            </w:pPr>
          </w:p>
          <w:p w14:paraId="69D76D5D">
            <w:pPr>
              <w:spacing w:line="250" w:lineRule="auto"/>
              <w:rPr>
                <w:rFonts w:ascii="Arial"/>
                <w:sz w:val="21"/>
              </w:rPr>
            </w:pPr>
          </w:p>
          <w:p w14:paraId="31A0723A">
            <w:pPr>
              <w:spacing w:line="251" w:lineRule="auto"/>
              <w:rPr>
                <w:rFonts w:ascii="Arial"/>
                <w:sz w:val="21"/>
              </w:rPr>
            </w:pPr>
          </w:p>
          <w:p w14:paraId="3478B791">
            <w:pPr>
              <w:spacing w:line="251" w:lineRule="auto"/>
              <w:rPr>
                <w:rFonts w:ascii="Arial"/>
                <w:sz w:val="21"/>
              </w:rPr>
            </w:pPr>
          </w:p>
          <w:p w14:paraId="0379DDFC">
            <w:pPr>
              <w:spacing w:line="251" w:lineRule="auto"/>
              <w:rPr>
                <w:rFonts w:ascii="Arial"/>
                <w:sz w:val="21"/>
              </w:rPr>
            </w:pPr>
          </w:p>
          <w:p w14:paraId="2918994E">
            <w:pPr>
              <w:spacing w:line="251" w:lineRule="auto"/>
              <w:rPr>
                <w:rFonts w:ascii="Arial"/>
                <w:sz w:val="21"/>
              </w:rPr>
            </w:pPr>
          </w:p>
          <w:p w14:paraId="00A53726">
            <w:pPr>
              <w:spacing w:line="251" w:lineRule="auto"/>
              <w:rPr>
                <w:rFonts w:ascii="Arial"/>
                <w:sz w:val="21"/>
              </w:rPr>
            </w:pPr>
          </w:p>
          <w:p w14:paraId="797D8452">
            <w:pPr>
              <w:pStyle w:val="5"/>
              <w:spacing w:before="78"/>
              <w:ind w:left="267"/>
            </w:pPr>
            <w:r>
              <w:t>5</w:t>
            </w:r>
          </w:p>
        </w:tc>
        <w:tc>
          <w:tcPr>
            <w:tcW w:w="545" w:type="dxa"/>
            <w:vAlign w:val="top"/>
          </w:tcPr>
          <w:p w14:paraId="25E7ACF1">
            <w:pPr>
              <w:spacing w:line="261" w:lineRule="auto"/>
              <w:rPr>
                <w:rFonts w:ascii="Arial"/>
                <w:sz w:val="21"/>
              </w:rPr>
            </w:pPr>
          </w:p>
          <w:p w14:paraId="44C71420">
            <w:pPr>
              <w:spacing w:line="261" w:lineRule="auto"/>
              <w:rPr>
                <w:rFonts w:ascii="Arial"/>
                <w:sz w:val="21"/>
              </w:rPr>
            </w:pPr>
          </w:p>
          <w:p w14:paraId="3BE2E26E">
            <w:pPr>
              <w:spacing w:line="261" w:lineRule="auto"/>
              <w:rPr>
                <w:rFonts w:ascii="Arial"/>
                <w:sz w:val="21"/>
              </w:rPr>
            </w:pPr>
          </w:p>
          <w:p w14:paraId="2E5094AB">
            <w:pPr>
              <w:spacing w:line="261" w:lineRule="auto"/>
              <w:rPr>
                <w:rFonts w:ascii="Arial"/>
                <w:sz w:val="21"/>
              </w:rPr>
            </w:pPr>
          </w:p>
          <w:p w14:paraId="1AAB2254">
            <w:pPr>
              <w:spacing w:line="261" w:lineRule="auto"/>
              <w:rPr>
                <w:rFonts w:ascii="Arial"/>
                <w:sz w:val="21"/>
              </w:rPr>
            </w:pPr>
          </w:p>
          <w:p w14:paraId="499AB3AF">
            <w:pPr>
              <w:spacing w:line="261" w:lineRule="auto"/>
              <w:rPr>
                <w:rFonts w:ascii="Arial"/>
                <w:sz w:val="21"/>
              </w:rPr>
            </w:pPr>
          </w:p>
          <w:p w14:paraId="30F8E3EB">
            <w:pPr>
              <w:spacing w:line="262" w:lineRule="auto"/>
              <w:rPr>
                <w:rFonts w:ascii="Arial"/>
                <w:sz w:val="21"/>
              </w:rPr>
            </w:pPr>
          </w:p>
          <w:p w14:paraId="70B85FC6">
            <w:pPr>
              <w:pStyle w:val="5"/>
              <w:spacing w:before="78" w:line="360" w:lineRule="auto"/>
              <w:ind w:left="33" w:right="30" w:firstLine="2"/>
              <w:jc w:val="both"/>
            </w:pPr>
            <w:r>
              <w:rPr>
                <w:spacing w:val="-7"/>
              </w:rPr>
              <w:t>竞赛</w:t>
            </w:r>
            <w:r>
              <w:rPr>
                <w:spacing w:val="-5"/>
              </w:rPr>
              <w:t>相关培训与会</w:t>
            </w:r>
            <w:r>
              <w:rPr>
                <w:spacing w:val="45"/>
                <w:w w:val="127"/>
              </w:rPr>
              <w:t>议</w:t>
            </w:r>
          </w:p>
        </w:tc>
        <w:tc>
          <w:tcPr>
            <w:tcW w:w="1695" w:type="dxa"/>
            <w:vAlign w:val="top"/>
          </w:tcPr>
          <w:p w14:paraId="3EC88B74">
            <w:pPr>
              <w:spacing w:line="252" w:lineRule="auto"/>
              <w:rPr>
                <w:rFonts w:ascii="Arial"/>
                <w:sz w:val="21"/>
              </w:rPr>
            </w:pPr>
          </w:p>
          <w:p w14:paraId="5F236087">
            <w:pPr>
              <w:spacing w:line="252" w:lineRule="auto"/>
              <w:rPr>
                <w:rFonts w:ascii="Arial"/>
                <w:sz w:val="21"/>
              </w:rPr>
            </w:pPr>
          </w:p>
          <w:p w14:paraId="33E29F22">
            <w:pPr>
              <w:spacing w:line="252" w:lineRule="auto"/>
              <w:rPr>
                <w:rFonts w:ascii="Arial"/>
                <w:sz w:val="21"/>
              </w:rPr>
            </w:pPr>
          </w:p>
          <w:p w14:paraId="336F66C6">
            <w:pPr>
              <w:spacing w:line="252" w:lineRule="auto"/>
              <w:rPr>
                <w:rFonts w:ascii="Arial"/>
                <w:sz w:val="21"/>
              </w:rPr>
            </w:pPr>
          </w:p>
          <w:p w14:paraId="1A570680">
            <w:pPr>
              <w:spacing w:line="252" w:lineRule="auto"/>
              <w:rPr>
                <w:rFonts w:ascii="Arial"/>
                <w:sz w:val="21"/>
              </w:rPr>
            </w:pPr>
          </w:p>
          <w:p w14:paraId="34631A00">
            <w:pPr>
              <w:spacing w:line="252" w:lineRule="auto"/>
              <w:rPr>
                <w:rFonts w:ascii="Arial"/>
                <w:sz w:val="21"/>
              </w:rPr>
            </w:pPr>
          </w:p>
          <w:p w14:paraId="6DADC51E">
            <w:pPr>
              <w:spacing w:line="252" w:lineRule="auto"/>
              <w:rPr>
                <w:rFonts w:ascii="Arial"/>
                <w:sz w:val="21"/>
              </w:rPr>
            </w:pPr>
          </w:p>
          <w:p w14:paraId="56AFEF08">
            <w:pPr>
              <w:spacing w:line="252" w:lineRule="auto"/>
              <w:rPr>
                <w:rFonts w:ascii="Arial"/>
                <w:sz w:val="21"/>
              </w:rPr>
            </w:pPr>
          </w:p>
          <w:p w14:paraId="3480A998">
            <w:pPr>
              <w:spacing w:line="253" w:lineRule="auto"/>
              <w:rPr>
                <w:rFonts w:ascii="Arial"/>
                <w:sz w:val="21"/>
              </w:rPr>
            </w:pPr>
          </w:p>
          <w:p w14:paraId="4090562C">
            <w:pPr>
              <w:spacing w:line="253" w:lineRule="auto"/>
              <w:rPr>
                <w:rFonts w:ascii="Arial"/>
                <w:sz w:val="21"/>
              </w:rPr>
            </w:pPr>
          </w:p>
          <w:p w14:paraId="47AAB76E">
            <w:pPr>
              <w:pStyle w:val="5"/>
              <w:spacing w:before="78" w:line="362" w:lineRule="auto"/>
              <w:ind w:left="609" w:right="159" w:hanging="481"/>
            </w:pPr>
            <w:r>
              <w:rPr>
                <w:spacing w:val="-8"/>
              </w:rPr>
              <w:t>会议、学习、</w:t>
            </w:r>
            <w:r>
              <w:rPr>
                <w:spacing w:val="-3"/>
              </w:rPr>
              <w:t>培训</w:t>
            </w:r>
          </w:p>
        </w:tc>
        <w:tc>
          <w:tcPr>
            <w:tcW w:w="6180" w:type="dxa"/>
            <w:vAlign w:val="top"/>
          </w:tcPr>
          <w:p w14:paraId="30FA225E">
            <w:pPr>
              <w:pStyle w:val="5"/>
              <w:spacing w:before="50" w:line="359" w:lineRule="auto"/>
              <w:ind w:left="18" w:right="161" w:firstLine="2"/>
              <w:jc w:val="both"/>
            </w:pPr>
            <w:r>
              <w:rPr>
                <w:spacing w:val="-1"/>
              </w:rPr>
              <w:t>竞赛期间会议的召开是赛事管理的一种有效形式和手段，是为了让信息及时、准确传递。根据赛会要求，负责各竞赛项目赛事期间相关会务活动的场地布置和组织服务工作</w:t>
            </w:r>
            <w:r>
              <w:rPr>
                <w:spacing w:val="14"/>
              </w:rPr>
              <w:t xml:space="preserve"> </w:t>
            </w:r>
            <w:r>
              <w:rPr>
                <w:spacing w:val="4"/>
              </w:rPr>
              <w:t>,包括裁判员学习会、反兴奋剂会、组委会暨技术会、单</w:t>
            </w:r>
            <w:r>
              <w:rPr>
                <w:spacing w:val="-1"/>
              </w:rPr>
              <w:t>项新闻发布会等。根据不同会议的需求，合理安排场地，配备必要的电脑、打印机、投影等设备和物资，营造良好</w:t>
            </w:r>
            <w:r>
              <w:rPr>
                <w:spacing w:val="-3"/>
              </w:rPr>
              <w:t>的会议环境，并在会议前后协调其他竞赛相关事宜；</w:t>
            </w:r>
          </w:p>
          <w:p w14:paraId="2777EBF2">
            <w:pPr>
              <w:pStyle w:val="5"/>
              <w:spacing w:before="6" w:line="352" w:lineRule="auto"/>
              <w:ind w:left="17" w:right="161"/>
              <w:jc w:val="both"/>
            </w:pPr>
            <w:r>
              <w:rPr>
                <w:spacing w:val="-1"/>
              </w:rPr>
              <w:t>对接省运会组委会办公室志愿者工作，围绕省运会各单项竞赛目标和要求，为竞赛项目所需的所有岗位志愿者开展专业指导培训，明确赛事项目所需志愿者的工作职责和服务规范，提高赛事项目所需志愿者的服务水平和专业素养</w:t>
            </w:r>
            <w:r>
              <w:rPr>
                <w:spacing w:val="15"/>
              </w:rPr>
              <w:t xml:space="preserve"> </w:t>
            </w:r>
            <w:r>
              <w:rPr>
                <w:spacing w:val="3"/>
              </w:rPr>
              <w:t>,为赛事提供优质的服务。推选优秀赛事项目志愿者参与</w:t>
            </w:r>
            <w:r>
              <w:rPr>
                <w:spacing w:val="-2"/>
              </w:rPr>
              <w:t>表彰评选工作并对接办公室颁发志愿者参与证书。</w:t>
            </w:r>
          </w:p>
        </w:tc>
      </w:tr>
      <w:tr w14:paraId="0FFFC4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9" w:hRule="atLeast"/>
        </w:trPr>
        <w:tc>
          <w:tcPr>
            <w:tcW w:w="640" w:type="dxa"/>
            <w:vAlign w:val="top"/>
          </w:tcPr>
          <w:p w14:paraId="143ED2C2">
            <w:pPr>
              <w:spacing w:line="255" w:lineRule="auto"/>
              <w:rPr>
                <w:rFonts w:ascii="Arial"/>
                <w:sz w:val="21"/>
              </w:rPr>
            </w:pPr>
          </w:p>
          <w:p w14:paraId="512C03BA">
            <w:pPr>
              <w:spacing w:line="255" w:lineRule="auto"/>
              <w:rPr>
                <w:rFonts w:ascii="Arial"/>
                <w:sz w:val="21"/>
              </w:rPr>
            </w:pPr>
          </w:p>
          <w:p w14:paraId="1626DEE1">
            <w:pPr>
              <w:spacing w:line="255" w:lineRule="auto"/>
              <w:rPr>
                <w:rFonts w:ascii="Arial"/>
                <w:sz w:val="21"/>
              </w:rPr>
            </w:pPr>
          </w:p>
          <w:p w14:paraId="2650958A">
            <w:pPr>
              <w:spacing w:line="255" w:lineRule="auto"/>
              <w:rPr>
                <w:rFonts w:ascii="Arial"/>
                <w:sz w:val="21"/>
              </w:rPr>
            </w:pPr>
          </w:p>
          <w:p w14:paraId="285F430F">
            <w:pPr>
              <w:spacing w:line="255" w:lineRule="auto"/>
              <w:rPr>
                <w:rFonts w:ascii="Arial"/>
                <w:sz w:val="21"/>
              </w:rPr>
            </w:pPr>
          </w:p>
          <w:p w14:paraId="6C5D86B7">
            <w:pPr>
              <w:spacing w:line="255" w:lineRule="auto"/>
              <w:rPr>
                <w:rFonts w:ascii="Arial"/>
                <w:sz w:val="21"/>
              </w:rPr>
            </w:pPr>
          </w:p>
          <w:p w14:paraId="2E976FDE">
            <w:pPr>
              <w:spacing w:line="255" w:lineRule="auto"/>
              <w:rPr>
                <w:rFonts w:ascii="Arial"/>
                <w:sz w:val="21"/>
              </w:rPr>
            </w:pPr>
          </w:p>
          <w:p w14:paraId="20609DCC">
            <w:pPr>
              <w:spacing w:line="255" w:lineRule="auto"/>
              <w:rPr>
                <w:rFonts w:ascii="Arial"/>
                <w:sz w:val="21"/>
              </w:rPr>
            </w:pPr>
          </w:p>
          <w:p w14:paraId="0F78D1EA">
            <w:pPr>
              <w:spacing w:line="255" w:lineRule="auto"/>
              <w:rPr>
                <w:rFonts w:ascii="Arial"/>
                <w:sz w:val="21"/>
              </w:rPr>
            </w:pPr>
          </w:p>
          <w:p w14:paraId="03A5CCFE">
            <w:pPr>
              <w:pStyle w:val="5"/>
              <w:spacing w:before="78"/>
              <w:ind w:left="264"/>
            </w:pPr>
            <w:r>
              <w:t>6</w:t>
            </w:r>
          </w:p>
        </w:tc>
        <w:tc>
          <w:tcPr>
            <w:tcW w:w="545" w:type="dxa"/>
            <w:vAlign w:val="top"/>
          </w:tcPr>
          <w:p w14:paraId="3C889090">
            <w:pPr>
              <w:spacing w:line="261" w:lineRule="auto"/>
              <w:rPr>
                <w:rFonts w:ascii="Arial"/>
                <w:sz w:val="21"/>
              </w:rPr>
            </w:pPr>
          </w:p>
          <w:p w14:paraId="481D9B97">
            <w:pPr>
              <w:spacing w:line="262" w:lineRule="auto"/>
              <w:rPr>
                <w:rFonts w:ascii="Arial"/>
                <w:sz w:val="21"/>
              </w:rPr>
            </w:pPr>
          </w:p>
          <w:p w14:paraId="267C7559">
            <w:pPr>
              <w:spacing w:line="262" w:lineRule="auto"/>
              <w:rPr>
                <w:rFonts w:ascii="Arial"/>
                <w:sz w:val="21"/>
              </w:rPr>
            </w:pPr>
          </w:p>
          <w:p w14:paraId="42780D48">
            <w:pPr>
              <w:spacing w:line="262" w:lineRule="auto"/>
              <w:rPr>
                <w:rFonts w:ascii="Arial"/>
                <w:sz w:val="21"/>
              </w:rPr>
            </w:pPr>
          </w:p>
          <w:p w14:paraId="6F953C83">
            <w:pPr>
              <w:spacing w:line="262" w:lineRule="auto"/>
              <w:rPr>
                <w:rFonts w:ascii="Arial"/>
                <w:sz w:val="21"/>
              </w:rPr>
            </w:pPr>
          </w:p>
          <w:p w14:paraId="5D61B0D5">
            <w:pPr>
              <w:spacing w:line="262" w:lineRule="auto"/>
              <w:rPr>
                <w:rFonts w:ascii="Arial"/>
                <w:sz w:val="21"/>
              </w:rPr>
            </w:pPr>
          </w:p>
          <w:p w14:paraId="73518BCD">
            <w:pPr>
              <w:spacing w:line="262" w:lineRule="auto"/>
              <w:rPr>
                <w:rFonts w:ascii="Arial"/>
                <w:sz w:val="21"/>
              </w:rPr>
            </w:pPr>
          </w:p>
          <w:p w14:paraId="2B44F850">
            <w:pPr>
              <w:pStyle w:val="5"/>
              <w:spacing w:before="78" w:line="360" w:lineRule="auto"/>
              <w:ind w:left="33" w:right="30" w:firstLine="2"/>
              <w:jc w:val="both"/>
            </w:pPr>
            <w:r>
              <w:rPr>
                <w:spacing w:val="-7"/>
              </w:rPr>
              <w:t>竞赛</w:t>
            </w:r>
            <w:r>
              <w:rPr>
                <w:spacing w:val="-5"/>
              </w:rPr>
              <w:t>功能布置</w:t>
            </w:r>
          </w:p>
        </w:tc>
        <w:tc>
          <w:tcPr>
            <w:tcW w:w="1695" w:type="dxa"/>
            <w:vAlign w:val="top"/>
          </w:tcPr>
          <w:p w14:paraId="4BA42D27">
            <w:pPr>
              <w:spacing w:line="255" w:lineRule="auto"/>
              <w:rPr>
                <w:rFonts w:ascii="Arial"/>
                <w:sz w:val="21"/>
              </w:rPr>
            </w:pPr>
          </w:p>
          <w:p w14:paraId="6D73F777">
            <w:pPr>
              <w:spacing w:line="255" w:lineRule="auto"/>
              <w:rPr>
                <w:rFonts w:ascii="Arial"/>
                <w:sz w:val="21"/>
              </w:rPr>
            </w:pPr>
          </w:p>
          <w:p w14:paraId="24AC007C">
            <w:pPr>
              <w:spacing w:line="255" w:lineRule="auto"/>
              <w:rPr>
                <w:rFonts w:ascii="Arial"/>
                <w:sz w:val="21"/>
              </w:rPr>
            </w:pPr>
          </w:p>
          <w:p w14:paraId="3E7443AB">
            <w:pPr>
              <w:spacing w:line="255" w:lineRule="auto"/>
              <w:rPr>
                <w:rFonts w:ascii="Arial"/>
                <w:sz w:val="21"/>
              </w:rPr>
            </w:pPr>
          </w:p>
          <w:p w14:paraId="216B38ED">
            <w:pPr>
              <w:spacing w:line="255" w:lineRule="auto"/>
              <w:rPr>
                <w:rFonts w:ascii="Arial"/>
                <w:sz w:val="21"/>
              </w:rPr>
            </w:pPr>
          </w:p>
          <w:p w14:paraId="758DDE24">
            <w:pPr>
              <w:spacing w:line="255" w:lineRule="auto"/>
              <w:rPr>
                <w:rFonts w:ascii="Arial"/>
                <w:sz w:val="21"/>
              </w:rPr>
            </w:pPr>
          </w:p>
          <w:p w14:paraId="05CEBAFC">
            <w:pPr>
              <w:spacing w:line="255" w:lineRule="auto"/>
              <w:rPr>
                <w:rFonts w:ascii="Arial"/>
                <w:sz w:val="21"/>
              </w:rPr>
            </w:pPr>
          </w:p>
          <w:p w14:paraId="55B6FCCA">
            <w:pPr>
              <w:spacing w:line="255" w:lineRule="auto"/>
              <w:rPr>
                <w:rFonts w:ascii="Arial"/>
                <w:sz w:val="21"/>
              </w:rPr>
            </w:pPr>
          </w:p>
          <w:p w14:paraId="5069C847">
            <w:pPr>
              <w:spacing w:line="255" w:lineRule="auto"/>
              <w:rPr>
                <w:rFonts w:ascii="Arial"/>
                <w:sz w:val="21"/>
              </w:rPr>
            </w:pPr>
          </w:p>
          <w:p w14:paraId="3541F1B4">
            <w:pPr>
              <w:pStyle w:val="5"/>
              <w:spacing w:before="78" w:line="220" w:lineRule="auto"/>
              <w:ind w:left="370"/>
            </w:pPr>
            <w:r>
              <w:rPr>
                <w:spacing w:val="-2"/>
              </w:rPr>
              <w:t>赛场搭建</w:t>
            </w:r>
          </w:p>
        </w:tc>
        <w:tc>
          <w:tcPr>
            <w:tcW w:w="6180" w:type="dxa"/>
            <w:vAlign w:val="top"/>
          </w:tcPr>
          <w:p w14:paraId="3BFDC622">
            <w:pPr>
              <w:pStyle w:val="5"/>
              <w:spacing w:before="54" w:line="359" w:lineRule="auto"/>
              <w:ind w:left="19" w:right="161" w:firstLine="8"/>
            </w:pPr>
            <w:r>
              <w:rPr>
                <w:spacing w:val="-1"/>
              </w:rPr>
              <w:t>负责各竞赛项目的场地布置工作，根据不同项目的特点和</w:t>
            </w:r>
            <w:r>
              <w:rPr>
                <w:spacing w:val="-2"/>
              </w:rPr>
              <w:t>要求，进行科学合理的场地规划搭建与流线设计。</w:t>
            </w:r>
          </w:p>
          <w:p w14:paraId="5C87BD30">
            <w:pPr>
              <w:pStyle w:val="5"/>
              <w:spacing w:line="359" w:lineRule="auto"/>
              <w:ind w:left="21" w:right="171"/>
            </w:pPr>
            <w:r>
              <w:rPr>
                <w:spacing w:val="-1"/>
              </w:rPr>
              <w:t>一、赛前组织专项人员实地考察各竞赛场馆，协调各场馆</w:t>
            </w:r>
            <w:r>
              <w:rPr>
                <w:spacing w:val="-7"/>
              </w:rPr>
              <w:t>竞赛期间工作运转；</w:t>
            </w:r>
          </w:p>
          <w:p w14:paraId="0093A909">
            <w:pPr>
              <w:pStyle w:val="5"/>
              <w:spacing w:before="1" w:line="218" w:lineRule="auto"/>
              <w:ind w:left="22"/>
            </w:pPr>
            <w:r>
              <w:rPr>
                <w:spacing w:val="-3"/>
              </w:rPr>
              <w:t>二、根据场馆实际情况，设计赛场流线及赛场布置方案；</w:t>
            </w:r>
          </w:p>
          <w:p w14:paraId="07F32690">
            <w:pPr>
              <w:pStyle w:val="5"/>
              <w:spacing w:before="182" w:line="359" w:lineRule="auto"/>
              <w:ind w:left="18" w:right="161"/>
            </w:pPr>
            <w:r>
              <w:rPr>
                <w:spacing w:val="-1"/>
              </w:rPr>
              <w:t>三、沟通各单项竞委会，对中心赛区赛事各竞赛场地进行</w:t>
            </w:r>
            <w:r>
              <w:rPr>
                <w:spacing w:val="-5"/>
              </w:rPr>
              <w:t>器材布置、赛台搭建等劳务工作；</w:t>
            </w:r>
          </w:p>
          <w:p w14:paraId="01ABE13A">
            <w:pPr>
              <w:pStyle w:val="5"/>
              <w:spacing w:before="1" w:line="218" w:lineRule="auto"/>
              <w:ind w:left="40"/>
            </w:pPr>
            <w:r>
              <w:rPr>
                <w:spacing w:val="-4"/>
              </w:rPr>
              <w:t>四、赛事期间对赛场和器材进行维护及保养工作；</w:t>
            </w:r>
          </w:p>
          <w:p w14:paraId="76B3AF05">
            <w:pPr>
              <w:pStyle w:val="5"/>
              <w:spacing w:before="182" w:line="359" w:lineRule="auto"/>
              <w:ind w:left="22" w:right="161"/>
            </w:pPr>
            <w:r>
              <w:rPr>
                <w:spacing w:val="-1"/>
              </w:rPr>
              <w:t>五、对接竞赛期间场馆保洁、保安、工程人员对赛场进行</w:t>
            </w:r>
            <w:r>
              <w:rPr>
                <w:spacing w:val="-6"/>
              </w:rPr>
              <w:t>维护，确保赛事平稳运行；</w:t>
            </w:r>
          </w:p>
          <w:p w14:paraId="3C208DBE">
            <w:pPr>
              <w:pStyle w:val="5"/>
              <w:spacing w:line="219" w:lineRule="auto"/>
              <w:ind w:left="20"/>
            </w:pPr>
            <w:r>
              <w:rPr>
                <w:spacing w:val="-4"/>
              </w:rPr>
              <w:t>六、对完赛后的赛场进行转场恢复工作；</w:t>
            </w:r>
          </w:p>
        </w:tc>
      </w:tr>
    </w:tbl>
    <w:p w14:paraId="0BBB378B">
      <w:pPr>
        <w:pStyle w:val="2"/>
      </w:pPr>
    </w:p>
    <w:p w14:paraId="48F52DB6">
      <w:pPr>
        <w:sectPr>
          <w:footerReference r:id="rId8" w:type="default"/>
          <w:pgSz w:w="11906" w:h="16840"/>
          <w:pgMar w:top="400" w:right="1440" w:bottom="1214" w:left="1395" w:header="0" w:footer="968" w:gutter="0"/>
          <w:cols w:space="720" w:num="1"/>
        </w:sectPr>
      </w:pPr>
    </w:p>
    <w:p w14:paraId="3DEA8794">
      <w:pPr>
        <w:spacing w:before="13"/>
      </w:pPr>
    </w:p>
    <w:p w14:paraId="611BB0AD">
      <w:pPr>
        <w:spacing w:before="13"/>
      </w:pPr>
    </w:p>
    <w:p w14:paraId="712BDE2D">
      <w:pPr>
        <w:spacing w:before="13"/>
      </w:pPr>
    </w:p>
    <w:p w14:paraId="49C270D5">
      <w:pPr>
        <w:spacing w:before="12"/>
      </w:pPr>
    </w:p>
    <w:tbl>
      <w:tblPr>
        <w:tblStyle w:val="6"/>
        <w:tblW w:w="9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545"/>
        <w:gridCol w:w="1695"/>
        <w:gridCol w:w="6180"/>
      </w:tblGrid>
      <w:tr w14:paraId="371F8C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</w:trPr>
        <w:tc>
          <w:tcPr>
            <w:tcW w:w="640" w:type="dxa"/>
            <w:vAlign w:val="top"/>
          </w:tcPr>
          <w:p w14:paraId="7192EFDB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restart"/>
            <w:tcBorders>
              <w:bottom w:val="nil"/>
            </w:tcBorders>
            <w:vAlign w:val="top"/>
          </w:tcPr>
          <w:p w14:paraId="63D8CC93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726F00EB">
            <w:pPr>
              <w:rPr>
                <w:rFonts w:ascii="Arial"/>
                <w:sz w:val="21"/>
              </w:rPr>
            </w:pPr>
          </w:p>
        </w:tc>
        <w:tc>
          <w:tcPr>
            <w:tcW w:w="6180" w:type="dxa"/>
            <w:vAlign w:val="top"/>
          </w:tcPr>
          <w:p w14:paraId="3DB514EE">
            <w:pPr>
              <w:pStyle w:val="5"/>
              <w:spacing w:before="52" w:line="219" w:lineRule="auto"/>
              <w:ind w:left="17"/>
            </w:pPr>
            <w:r>
              <w:rPr>
                <w:spacing w:val="-4"/>
              </w:rPr>
              <w:t>七、依据场地使用性质，支付相应场地租金；</w:t>
            </w:r>
          </w:p>
          <w:p w14:paraId="1B5B41C8">
            <w:pPr>
              <w:pStyle w:val="5"/>
              <w:spacing w:before="182" w:line="219" w:lineRule="auto"/>
              <w:ind w:left="22"/>
            </w:pPr>
            <w:r>
              <w:rPr>
                <w:spacing w:val="-2"/>
              </w:rPr>
              <w:t>八、确保竞赛场地符合国家各单项协会竞赛</w:t>
            </w:r>
            <w:r>
              <w:rPr>
                <w:spacing w:val="-3"/>
              </w:rPr>
              <w:t>要求。</w:t>
            </w:r>
          </w:p>
        </w:tc>
      </w:tr>
      <w:tr w14:paraId="2F58C2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6" w:hRule="atLeast"/>
        </w:trPr>
        <w:tc>
          <w:tcPr>
            <w:tcW w:w="640" w:type="dxa"/>
            <w:vAlign w:val="top"/>
          </w:tcPr>
          <w:p w14:paraId="2A44B00E">
            <w:pPr>
              <w:spacing w:line="248" w:lineRule="auto"/>
              <w:rPr>
                <w:rFonts w:ascii="Arial"/>
                <w:sz w:val="21"/>
              </w:rPr>
            </w:pPr>
          </w:p>
          <w:p w14:paraId="3C0532CE">
            <w:pPr>
              <w:spacing w:line="248" w:lineRule="auto"/>
              <w:rPr>
                <w:rFonts w:ascii="Arial"/>
                <w:sz w:val="21"/>
              </w:rPr>
            </w:pPr>
          </w:p>
          <w:p w14:paraId="75AC4D16">
            <w:pPr>
              <w:spacing w:line="249" w:lineRule="auto"/>
              <w:rPr>
                <w:rFonts w:ascii="Arial"/>
                <w:sz w:val="21"/>
              </w:rPr>
            </w:pPr>
          </w:p>
          <w:p w14:paraId="77F48505">
            <w:pPr>
              <w:spacing w:line="249" w:lineRule="auto"/>
              <w:rPr>
                <w:rFonts w:ascii="Arial"/>
                <w:sz w:val="21"/>
              </w:rPr>
            </w:pPr>
          </w:p>
          <w:p w14:paraId="2CC1DBF7">
            <w:pPr>
              <w:spacing w:line="249" w:lineRule="auto"/>
              <w:rPr>
                <w:rFonts w:ascii="Arial"/>
                <w:sz w:val="21"/>
              </w:rPr>
            </w:pPr>
          </w:p>
          <w:p w14:paraId="70F45BD6">
            <w:pPr>
              <w:spacing w:line="249" w:lineRule="auto"/>
              <w:rPr>
                <w:rFonts w:ascii="Arial"/>
                <w:sz w:val="21"/>
              </w:rPr>
            </w:pPr>
          </w:p>
          <w:p w14:paraId="076B17C0">
            <w:pPr>
              <w:spacing w:line="249" w:lineRule="auto"/>
              <w:rPr>
                <w:rFonts w:ascii="Arial"/>
                <w:sz w:val="21"/>
              </w:rPr>
            </w:pPr>
          </w:p>
          <w:p w14:paraId="7AE576FC">
            <w:pPr>
              <w:spacing w:line="249" w:lineRule="auto"/>
              <w:rPr>
                <w:rFonts w:ascii="Arial"/>
                <w:sz w:val="21"/>
              </w:rPr>
            </w:pPr>
          </w:p>
          <w:p w14:paraId="37BA4560">
            <w:pPr>
              <w:spacing w:line="249" w:lineRule="auto"/>
              <w:rPr>
                <w:rFonts w:ascii="Arial"/>
                <w:sz w:val="21"/>
              </w:rPr>
            </w:pPr>
          </w:p>
          <w:p w14:paraId="36B1510F">
            <w:pPr>
              <w:spacing w:line="249" w:lineRule="auto"/>
              <w:rPr>
                <w:rFonts w:ascii="Arial"/>
                <w:sz w:val="21"/>
              </w:rPr>
            </w:pPr>
          </w:p>
          <w:p w14:paraId="058B292E">
            <w:pPr>
              <w:spacing w:line="249" w:lineRule="auto"/>
              <w:rPr>
                <w:rFonts w:ascii="Arial"/>
                <w:sz w:val="21"/>
              </w:rPr>
            </w:pPr>
          </w:p>
          <w:p w14:paraId="6C7BD74A">
            <w:pPr>
              <w:spacing w:line="249" w:lineRule="auto"/>
              <w:rPr>
                <w:rFonts w:ascii="Arial"/>
                <w:sz w:val="21"/>
              </w:rPr>
            </w:pPr>
          </w:p>
          <w:p w14:paraId="782758E4">
            <w:pPr>
              <w:pStyle w:val="5"/>
              <w:spacing w:before="78"/>
              <w:ind w:left="268"/>
            </w:pPr>
            <w:r>
              <w:t>7</w:t>
            </w:r>
          </w:p>
        </w:tc>
        <w:tc>
          <w:tcPr>
            <w:tcW w:w="545" w:type="dxa"/>
            <w:vMerge w:val="continue"/>
            <w:tcBorders>
              <w:top w:val="nil"/>
              <w:bottom w:val="nil"/>
            </w:tcBorders>
            <w:vAlign w:val="top"/>
          </w:tcPr>
          <w:p w14:paraId="70680C86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49BBA04A">
            <w:pPr>
              <w:spacing w:line="248" w:lineRule="auto"/>
              <w:rPr>
                <w:rFonts w:ascii="Arial"/>
                <w:sz w:val="21"/>
              </w:rPr>
            </w:pPr>
          </w:p>
          <w:p w14:paraId="569595CC">
            <w:pPr>
              <w:spacing w:line="248" w:lineRule="auto"/>
              <w:rPr>
                <w:rFonts w:ascii="Arial"/>
                <w:sz w:val="21"/>
              </w:rPr>
            </w:pPr>
          </w:p>
          <w:p w14:paraId="4438C480">
            <w:pPr>
              <w:spacing w:line="249" w:lineRule="auto"/>
              <w:rPr>
                <w:rFonts w:ascii="Arial"/>
                <w:sz w:val="21"/>
              </w:rPr>
            </w:pPr>
          </w:p>
          <w:p w14:paraId="6EC7D821">
            <w:pPr>
              <w:spacing w:line="249" w:lineRule="auto"/>
              <w:rPr>
                <w:rFonts w:ascii="Arial"/>
                <w:sz w:val="21"/>
              </w:rPr>
            </w:pPr>
          </w:p>
          <w:p w14:paraId="4F232656">
            <w:pPr>
              <w:spacing w:line="249" w:lineRule="auto"/>
              <w:rPr>
                <w:rFonts w:ascii="Arial"/>
                <w:sz w:val="21"/>
              </w:rPr>
            </w:pPr>
          </w:p>
          <w:p w14:paraId="60254B7B">
            <w:pPr>
              <w:spacing w:line="249" w:lineRule="auto"/>
              <w:rPr>
                <w:rFonts w:ascii="Arial"/>
                <w:sz w:val="21"/>
              </w:rPr>
            </w:pPr>
          </w:p>
          <w:p w14:paraId="67E9EDEB">
            <w:pPr>
              <w:spacing w:line="249" w:lineRule="auto"/>
              <w:rPr>
                <w:rFonts w:ascii="Arial"/>
                <w:sz w:val="21"/>
              </w:rPr>
            </w:pPr>
          </w:p>
          <w:p w14:paraId="148E22FF">
            <w:pPr>
              <w:spacing w:line="249" w:lineRule="auto"/>
              <w:rPr>
                <w:rFonts w:ascii="Arial"/>
                <w:sz w:val="21"/>
              </w:rPr>
            </w:pPr>
          </w:p>
          <w:p w14:paraId="4D123839">
            <w:pPr>
              <w:spacing w:line="249" w:lineRule="auto"/>
              <w:rPr>
                <w:rFonts w:ascii="Arial"/>
                <w:sz w:val="21"/>
              </w:rPr>
            </w:pPr>
          </w:p>
          <w:p w14:paraId="6856B24B">
            <w:pPr>
              <w:spacing w:line="249" w:lineRule="auto"/>
              <w:rPr>
                <w:rFonts w:ascii="Arial"/>
                <w:sz w:val="21"/>
              </w:rPr>
            </w:pPr>
          </w:p>
          <w:p w14:paraId="2793508D">
            <w:pPr>
              <w:spacing w:line="249" w:lineRule="auto"/>
              <w:rPr>
                <w:rFonts w:ascii="Arial"/>
                <w:sz w:val="21"/>
              </w:rPr>
            </w:pPr>
          </w:p>
          <w:p w14:paraId="7A5FAFA7">
            <w:pPr>
              <w:spacing w:line="249" w:lineRule="auto"/>
              <w:rPr>
                <w:rFonts w:ascii="Arial"/>
                <w:sz w:val="21"/>
              </w:rPr>
            </w:pPr>
          </w:p>
          <w:p w14:paraId="09711B6A">
            <w:pPr>
              <w:pStyle w:val="5"/>
              <w:spacing w:before="78" w:line="219" w:lineRule="auto"/>
              <w:ind w:left="253"/>
            </w:pPr>
            <w:r>
              <w:rPr>
                <w:spacing w:val="-3"/>
              </w:rPr>
              <w:t>功能房布置</w:t>
            </w:r>
          </w:p>
        </w:tc>
        <w:tc>
          <w:tcPr>
            <w:tcW w:w="6180" w:type="dxa"/>
            <w:vAlign w:val="top"/>
          </w:tcPr>
          <w:p w14:paraId="687570FA">
            <w:pPr>
              <w:pStyle w:val="5"/>
              <w:spacing w:before="48" w:line="359" w:lineRule="auto"/>
              <w:ind w:left="18" w:right="161"/>
            </w:pPr>
            <w:r>
              <w:rPr>
                <w:spacing w:val="-1"/>
              </w:rPr>
              <w:t>确保功能房布置满足赛事需求，为各功能用房配备所需的</w:t>
            </w:r>
            <w:r>
              <w:rPr>
                <w:spacing w:val="-8"/>
              </w:rPr>
              <w:t>相应设备。</w:t>
            </w:r>
          </w:p>
          <w:p w14:paraId="511D72FD">
            <w:pPr>
              <w:pStyle w:val="5"/>
              <w:spacing w:before="1" w:line="218" w:lineRule="auto"/>
              <w:ind w:left="22"/>
            </w:pPr>
            <w:r>
              <w:rPr>
                <w:spacing w:val="-3"/>
              </w:rPr>
              <w:t>一、赛前与各单项竞委会对接，确定各场馆功能需求；</w:t>
            </w:r>
          </w:p>
          <w:p w14:paraId="600064A6">
            <w:pPr>
              <w:pStyle w:val="5"/>
              <w:spacing w:before="182" w:line="359" w:lineRule="auto"/>
              <w:ind w:left="23" w:right="161" w:hanging="1"/>
            </w:pPr>
            <w:r>
              <w:rPr>
                <w:spacing w:val="-1"/>
              </w:rPr>
              <w:t>二、根据各单项赛事办赛场馆标准，确定各赛场功能区域</w:t>
            </w:r>
            <w:r>
              <w:rPr>
                <w:spacing w:val="-6"/>
              </w:rPr>
              <w:t>定位，并上报竞委会确认；</w:t>
            </w:r>
          </w:p>
          <w:p w14:paraId="048F5183">
            <w:pPr>
              <w:pStyle w:val="5"/>
              <w:spacing w:line="359" w:lineRule="auto"/>
              <w:ind w:left="17" w:right="161"/>
            </w:pPr>
            <w:r>
              <w:rPr>
                <w:spacing w:val="-1"/>
              </w:rPr>
              <w:t>三、依据不同使用功能，为赛事提供合乎标准、功能齐备的功能用房，并设计合理流线；所布置功能用房包括：赛</w:t>
            </w:r>
            <w:r>
              <w:rPr>
                <w:spacing w:val="3"/>
              </w:rPr>
              <w:t>场竞委会办公室、竞赛会议室、编排室、兴奋剂检测室(</w:t>
            </w:r>
            <w:r>
              <w:rPr>
                <w:spacing w:val="-1"/>
              </w:rPr>
              <w:t>满足兴奋剂检测的专项需求）、器材室、仲裁摄影室、裁判休息室、检录区等工作用房，以及功能房范围内的局域</w:t>
            </w:r>
            <w:r>
              <w:rPr>
                <w:spacing w:val="-13"/>
              </w:rPr>
              <w:t>网设置；</w:t>
            </w:r>
          </w:p>
          <w:p w14:paraId="536FD070">
            <w:pPr>
              <w:pStyle w:val="5"/>
              <w:spacing w:before="3" w:line="346" w:lineRule="auto"/>
              <w:ind w:left="21" w:right="161" w:firstLine="19"/>
            </w:pPr>
            <w:r>
              <w:rPr>
                <w:spacing w:val="-2"/>
              </w:rPr>
              <w:t>四、根据各项目不同特点，为各功能用房提供所需办公设</w:t>
            </w:r>
            <w:r>
              <w:rPr>
                <w:spacing w:val="-1"/>
              </w:rPr>
              <w:t>备（包括桌椅、电视、电脑、投影、摄像机、音响、冰箱</w:t>
            </w:r>
            <w:r>
              <w:rPr>
                <w:spacing w:val="11"/>
              </w:rPr>
              <w:t xml:space="preserve"> </w:t>
            </w:r>
            <w:r>
              <w:rPr>
                <w:spacing w:val="-4"/>
              </w:rPr>
              <w:t>、制冰机、按摩床等）。</w:t>
            </w:r>
          </w:p>
        </w:tc>
      </w:tr>
      <w:tr w14:paraId="02165D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7" w:hRule="atLeast"/>
        </w:trPr>
        <w:tc>
          <w:tcPr>
            <w:tcW w:w="640" w:type="dxa"/>
            <w:vAlign w:val="top"/>
          </w:tcPr>
          <w:p w14:paraId="5B7EB99A">
            <w:pPr>
              <w:spacing w:line="266" w:lineRule="auto"/>
              <w:rPr>
                <w:rFonts w:ascii="Arial"/>
                <w:sz w:val="21"/>
              </w:rPr>
            </w:pPr>
          </w:p>
          <w:p w14:paraId="24DBCE1A">
            <w:pPr>
              <w:spacing w:line="266" w:lineRule="auto"/>
              <w:rPr>
                <w:rFonts w:ascii="Arial"/>
                <w:sz w:val="21"/>
              </w:rPr>
            </w:pPr>
          </w:p>
          <w:p w14:paraId="11869D2E">
            <w:pPr>
              <w:spacing w:line="266" w:lineRule="auto"/>
              <w:rPr>
                <w:rFonts w:ascii="Arial"/>
                <w:sz w:val="21"/>
              </w:rPr>
            </w:pPr>
          </w:p>
          <w:p w14:paraId="3CDDA6FA">
            <w:pPr>
              <w:spacing w:line="267" w:lineRule="auto"/>
              <w:rPr>
                <w:rFonts w:ascii="Arial"/>
                <w:sz w:val="21"/>
              </w:rPr>
            </w:pPr>
          </w:p>
          <w:p w14:paraId="592D168E">
            <w:pPr>
              <w:spacing w:line="267" w:lineRule="auto"/>
              <w:rPr>
                <w:rFonts w:ascii="Arial"/>
                <w:sz w:val="21"/>
              </w:rPr>
            </w:pPr>
          </w:p>
          <w:p w14:paraId="0553B4A4">
            <w:pPr>
              <w:spacing w:line="267" w:lineRule="auto"/>
              <w:rPr>
                <w:rFonts w:ascii="Arial"/>
                <w:sz w:val="21"/>
              </w:rPr>
            </w:pPr>
          </w:p>
          <w:p w14:paraId="3235BFBD">
            <w:pPr>
              <w:pStyle w:val="5"/>
              <w:spacing w:before="78"/>
              <w:ind w:left="263"/>
            </w:pPr>
            <w:r>
              <w:t>8</w:t>
            </w:r>
          </w:p>
        </w:tc>
        <w:tc>
          <w:tcPr>
            <w:tcW w:w="545" w:type="dxa"/>
            <w:vMerge w:val="continue"/>
            <w:tcBorders>
              <w:top w:val="nil"/>
              <w:bottom w:val="nil"/>
            </w:tcBorders>
            <w:vAlign w:val="top"/>
          </w:tcPr>
          <w:p w14:paraId="39902C3B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012BC8FD">
            <w:pPr>
              <w:spacing w:line="273" w:lineRule="auto"/>
              <w:rPr>
                <w:rFonts w:ascii="Arial"/>
                <w:sz w:val="21"/>
              </w:rPr>
            </w:pPr>
          </w:p>
          <w:p w14:paraId="21E71555">
            <w:pPr>
              <w:spacing w:line="273" w:lineRule="auto"/>
              <w:rPr>
                <w:rFonts w:ascii="Arial"/>
                <w:sz w:val="21"/>
              </w:rPr>
            </w:pPr>
          </w:p>
          <w:p w14:paraId="6A6693D1">
            <w:pPr>
              <w:spacing w:line="274" w:lineRule="auto"/>
              <w:rPr>
                <w:rFonts w:ascii="Arial"/>
                <w:sz w:val="21"/>
              </w:rPr>
            </w:pPr>
          </w:p>
          <w:p w14:paraId="17C3BC72">
            <w:pPr>
              <w:spacing w:line="274" w:lineRule="auto"/>
              <w:rPr>
                <w:rFonts w:ascii="Arial"/>
                <w:sz w:val="21"/>
              </w:rPr>
            </w:pPr>
          </w:p>
          <w:p w14:paraId="785FB3DE">
            <w:pPr>
              <w:spacing w:line="274" w:lineRule="auto"/>
              <w:rPr>
                <w:rFonts w:ascii="Arial"/>
                <w:sz w:val="21"/>
              </w:rPr>
            </w:pPr>
          </w:p>
          <w:p w14:paraId="714148BE">
            <w:pPr>
              <w:pStyle w:val="5"/>
              <w:spacing w:before="78" w:line="361" w:lineRule="auto"/>
              <w:ind w:left="490" w:right="124" w:hanging="361"/>
            </w:pPr>
            <w:r>
              <w:rPr>
                <w:spacing w:val="-2"/>
              </w:rPr>
              <w:t>颁奖布置及颁</w:t>
            </w:r>
            <w:r>
              <w:rPr>
                <w:spacing w:val="-3"/>
              </w:rPr>
              <w:t>奖礼仪</w:t>
            </w:r>
          </w:p>
        </w:tc>
        <w:tc>
          <w:tcPr>
            <w:tcW w:w="6180" w:type="dxa"/>
            <w:vAlign w:val="top"/>
          </w:tcPr>
          <w:p w14:paraId="4954ECF6">
            <w:pPr>
              <w:pStyle w:val="5"/>
              <w:spacing w:before="52" w:line="220" w:lineRule="auto"/>
              <w:ind w:left="22"/>
            </w:pPr>
            <w:r>
              <w:rPr>
                <w:spacing w:val="-3"/>
              </w:rPr>
              <w:t>一、根据各单项赛事办赛场馆标准，设计颁奖流线；</w:t>
            </w:r>
          </w:p>
          <w:p w14:paraId="0A5631B5">
            <w:pPr>
              <w:pStyle w:val="5"/>
              <w:spacing w:before="181" w:line="219" w:lineRule="auto"/>
              <w:ind w:left="22"/>
            </w:pPr>
            <w:r>
              <w:rPr>
                <w:spacing w:val="-3"/>
              </w:rPr>
              <w:t>二、根据本届省运会VI视觉要求，制作颁奖背景动画；</w:t>
            </w:r>
          </w:p>
          <w:p w14:paraId="37509086">
            <w:pPr>
              <w:pStyle w:val="5"/>
              <w:spacing w:before="182" w:line="219" w:lineRule="auto"/>
              <w:ind w:left="18"/>
            </w:pPr>
            <w:r>
              <w:rPr>
                <w:spacing w:val="-3"/>
              </w:rPr>
              <w:t>三、协调组委会，领取赛事奖牌、证书、吉祥物等物料；</w:t>
            </w:r>
          </w:p>
          <w:p w14:paraId="70C66C67">
            <w:pPr>
              <w:pStyle w:val="5"/>
              <w:spacing w:before="182" w:line="219" w:lineRule="auto"/>
              <w:ind w:left="40"/>
            </w:pPr>
            <w:r>
              <w:rPr>
                <w:spacing w:val="-5"/>
              </w:rPr>
              <w:t>四、协调组委会，明确赛事颁奖嘉宾；</w:t>
            </w:r>
          </w:p>
          <w:p w14:paraId="2DE49D0F">
            <w:pPr>
              <w:pStyle w:val="5"/>
              <w:spacing w:before="182" w:line="359" w:lineRule="auto"/>
              <w:ind w:left="19" w:right="161" w:firstLine="2"/>
            </w:pPr>
            <w:r>
              <w:rPr>
                <w:spacing w:val="-1"/>
              </w:rPr>
              <w:t>五、根据各单项赛事场馆标准及项目特点，提供颁奖工作</w:t>
            </w:r>
            <w:r>
              <w:rPr>
                <w:spacing w:val="-6"/>
              </w:rPr>
              <w:t>方案并保障颁奖工作开展；</w:t>
            </w:r>
          </w:p>
          <w:p w14:paraId="0C35864F">
            <w:pPr>
              <w:pStyle w:val="5"/>
              <w:spacing w:before="1" w:line="339" w:lineRule="auto"/>
              <w:ind w:left="34" w:right="161" w:hanging="14"/>
            </w:pPr>
            <w:r>
              <w:rPr>
                <w:spacing w:val="-1"/>
              </w:rPr>
              <w:t>六、提供各单项颁奖所需用品，包括：颁奖台、颁奖话筒</w:t>
            </w:r>
            <w:r>
              <w:rPr>
                <w:spacing w:val="12"/>
              </w:rPr>
              <w:t xml:space="preserve"> </w:t>
            </w:r>
            <w:r>
              <w:rPr>
                <w:spacing w:val="-4"/>
              </w:rPr>
              <w:t>、颁奖鲜花、颁奖红毯、托盘等。</w:t>
            </w:r>
          </w:p>
        </w:tc>
      </w:tr>
      <w:tr w14:paraId="78761A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8" w:hRule="atLeast"/>
        </w:trPr>
        <w:tc>
          <w:tcPr>
            <w:tcW w:w="640" w:type="dxa"/>
            <w:vAlign w:val="top"/>
          </w:tcPr>
          <w:p w14:paraId="4D784584">
            <w:pPr>
              <w:pStyle w:val="5"/>
              <w:spacing w:before="289"/>
              <w:ind w:left="263"/>
            </w:pPr>
            <w:r>
              <w:t>9</w:t>
            </w:r>
          </w:p>
        </w:tc>
        <w:tc>
          <w:tcPr>
            <w:tcW w:w="545" w:type="dxa"/>
            <w:vMerge w:val="continue"/>
            <w:tcBorders>
              <w:top w:val="nil"/>
            </w:tcBorders>
            <w:vAlign w:val="top"/>
          </w:tcPr>
          <w:p w14:paraId="30F0B0E0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7DA99F25">
            <w:pPr>
              <w:pStyle w:val="5"/>
              <w:spacing w:before="289" w:line="221" w:lineRule="auto"/>
              <w:ind w:left="369"/>
            </w:pPr>
            <w:r>
              <w:rPr>
                <w:spacing w:val="-2"/>
              </w:rPr>
              <w:t>通用用品</w:t>
            </w:r>
          </w:p>
        </w:tc>
        <w:tc>
          <w:tcPr>
            <w:tcW w:w="6180" w:type="dxa"/>
            <w:vAlign w:val="top"/>
          </w:tcPr>
          <w:p w14:paraId="17EFA943">
            <w:pPr>
              <w:pStyle w:val="5"/>
              <w:spacing w:before="56" w:line="339" w:lineRule="auto"/>
              <w:ind w:left="19" w:right="161"/>
            </w:pPr>
            <w:r>
              <w:rPr>
                <w:spacing w:val="-1"/>
              </w:rPr>
              <w:t>提供中心赛区其他所需桌、椅、饮用水、功能饮料等物资</w:t>
            </w:r>
            <w:r>
              <w:rPr>
                <w:spacing w:val="-11"/>
              </w:rPr>
              <w:t>耗材。</w:t>
            </w:r>
          </w:p>
        </w:tc>
      </w:tr>
      <w:tr w14:paraId="332FFE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640" w:type="dxa"/>
            <w:vAlign w:val="top"/>
          </w:tcPr>
          <w:p w14:paraId="7C13BACB">
            <w:pPr>
              <w:pStyle w:val="5"/>
              <w:spacing w:before="290"/>
              <w:ind w:left="220"/>
            </w:pPr>
            <w:r>
              <w:rPr>
                <w:spacing w:val="-7"/>
              </w:rPr>
              <w:t>10</w:t>
            </w:r>
          </w:p>
        </w:tc>
        <w:tc>
          <w:tcPr>
            <w:tcW w:w="2240" w:type="dxa"/>
            <w:gridSpan w:val="2"/>
            <w:vAlign w:val="top"/>
          </w:tcPr>
          <w:p w14:paraId="464566BE">
            <w:pPr>
              <w:pStyle w:val="5"/>
              <w:spacing w:before="290" w:line="218" w:lineRule="auto"/>
              <w:ind w:left="402"/>
            </w:pPr>
            <w:r>
              <w:rPr>
                <w:spacing w:val="-2"/>
              </w:rPr>
              <w:t>赛事风险评估</w:t>
            </w:r>
          </w:p>
        </w:tc>
        <w:tc>
          <w:tcPr>
            <w:tcW w:w="6180" w:type="dxa"/>
            <w:vAlign w:val="top"/>
          </w:tcPr>
          <w:p w14:paraId="618C470B">
            <w:pPr>
              <w:pStyle w:val="5"/>
              <w:spacing w:before="56" w:line="341" w:lineRule="auto"/>
              <w:ind w:left="21" w:right="41" w:hanging="1"/>
            </w:pPr>
            <w:r>
              <w:rPr>
                <w:spacing w:val="-1"/>
              </w:rPr>
              <w:t>依据国务院体规字〔2021〕3号《关于进一步加强体育赛事活动安全监管服务的意见》，国家体育总局要求，健全赛</w:t>
            </w:r>
          </w:p>
        </w:tc>
      </w:tr>
    </w:tbl>
    <w:p w14:paraId="60731538">
      <w:pPr>
        <w:pStyle w:val="2"/>
      </w:pPr>
    </w:p>
    <w:p w14:paraId="70692230">
      <w:pPr>
        <w:sectPr>
          <w:footerReference r:id="rId9" w:type="default"/>
          <w:pgSz w:w="11906" w:h="16840"/>
          <w:pgMar w:top="400" w:right="1440" w:bottom="1214" w:left="1395" w:header="0" w:footer="968" w:gutter="0"/>
          <w:cols w:space="720" w:num="1"/>
        </w:sectPr>
      </w:pPr>
    </w:p>
    <w:p w14:paraId="3850BCFD">
      <w:pPr>
        <w:spacing w:before="13"/>
      </w:pPr>
    </w:p>
    <w:p w14:paraId="4EEAC5C2">
      <w:pPr>
        <w:spacing w:before="13"/>
      </w:pPr>
    </w:p>
    <w:p w14:paraId="69AC89C1">
      <w:pPr>
        <w:spacing w:before="13"/>
      </w:pPr>
    </w:p>
    <w:p w14:paraId="0C8DDA1A">
      <w:pPr>
        <w:spacing w:before="12"/>
      </w:pPr>
    </w:p>
    <w:tbl>
      <w:tblPr>
        <w:tblStyle w:val="6"/>
        <w:tblW w:w="90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545"/>
        <w:gridCol w:w="1695"/>
        <w:gridCol w:w="6180"/>
      </w:tblGrid>
      <w:tr w14:paraId="373609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9" w:hRule="atLeast"/>
        </w:trPr>
        <w:tc>
          <w:tcPr>
            <w:tcW w:w="640" w:type="dxa"/>
            <w:vAlign w:val="top"/>
          </w:tcPr>
          <w:p w14:paraId="491A6EA3">
            <w:pPr>
              <w:rPr>
                <w:rFonts w:ascii="Arial"/>
                <w:sz w:val="21"/>
              </w:rPr>
            </w:pPr>
          </w:p>
        </w:tc>
        <w:tc>
          <w:tcPr>
            <w:tcW w:w="2240" w:type="dxa"/>
            <w:gridSpan w:val="2"/>
            <w:vAlign w:val="top"/>
          </w:tcPr>
          <w:p w14:paraId="44D5C4C1">
            <w:pPr>
              <w:rPr>
                <w:rFonts w:ascii="Arial"/>
                <w:sz w:val="21"/>
              </w:rPr>
            </w:pPr>
          </w:p>
        </w:tc>
        <w:tc>
          <w:tcPr>
            <w:tcW w:w="6180" w:type="dxa"/>
            <w:vAlign w:val="top"/>
          </w:tcPr>
          <w:p w14:paraId="747EE6D0">
            <w:pPr>
              <w:pStyle w:val="5"/>
              <w:spacing w:before="51" w:line="348" w:lineRule="auto"/>
              <w:ind w:left="17" w:right="161"/>
              <w:jc w:val="both"/>
            </w:pPr>
            <w:r>
              <w:rPr>
                <w:spacing w:val="-1"/>
              </w:rPr>
              <w:t>事风险评估及应急要求。对举办的19个竞赛大项分别制定相应的赛事风险评估方案，有效防范赛事举办过程中可能</w:t>
            </w:r>
            <w:r>
              <w:rPr>
                <w:spacing w:val="-6"/>
              </w:rPr>
              <w:t>存在的风险。</w:t>
            </w:r>
          </w:p>
        </w:tc>
      </w:tr>
      <w:tr w14:paraId="3AE892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640" w:type="dxa"/>
            <w:vAlign w:val="top"/>
          </w:tcPr>
          <w:p w14:paraId="139CB3FF">
            <w:pPr>
              <w:spacing w:line="299" w:lineRule="auto"/>
              <w:rPr>
                <w:rFonts w:ascii="Arial"/>
                <w:sz w:val="21"/>
              </w:rPr>
            </w:pPr>
          </w:p>
          <w:p w14:paraId="4316EBD6">
            <w:pPr>
              <w:spacing w:line="300" w:lineRule="auto"/>
              <w:rPr>
                <w:rFonts w:ascii="Arial"/>
                <w:sz w:val="21"/>
              </w:rPr>
            </w:pPr>
          </w:p>
          <w:p w14:paraId="5A30BDBE">
            <w:pPr>
              <w:spacing w:line="300" w:lineRule="auto"/>
              <w:rPr>
                <w:rFonts w:ascii="Arial"/>
                <w:sz w:val="21"/>
              </w:rPr>
            </w:pPr>
          </w:p>
          <w:p w14:paraId="70183FF9">
            <w:pPr>
              <w:pStyle w:val="5"/>
              <w:spacing w:before="78" w:line="241" w:lineRule="auto"/>
              <w:ind w:left="220"/>
            </w:pPr>
            <w:r>
              <w:rPr>
                <w:spacing w:val="-7"/>
              </w:rPr>
              <w:t>11</w:t>
            </w:r>
          </w:p>
        </w:tc>
        <w:tc>
          <w:tcPr>
            <w:tcW w:w="2240" w:type="dxa"/>
            <w:gridSpan w:val="2"/>
            <w:vAlign w:val="top"/>
          </w:tcPr>
          <w:p w14:paraId="5BE6714F">
            <w:pPr>
              <w:spacing w:line="299" w:lineRule="auto"/>
              <w:rPr>
                <w:rFonts w:ascii="Arial"/>
                <w:sz w:val="21"/>
              </w:rPr>
            </w:pPr>
          </w:p>
          <w:p w14:paraId="2EDF44A6">
            <w:pPr>
              <w:spacing w:line="299" w:lineRule="auto"/>
              <w:rPr>
                <w:rFonts w:ascii="Arial"/>
                <w:sz w:val="21"/>
              </w:rPr>
            </w:pPr>
          </w:p>
          <w:p w14:paraId="58BFFACF">
            <w:pPr>
              <w:spacing w:line="300" w:lineRule="auto"/>
              <w:rPr>
                <w:rFonts w:ascii="Arial"/>
                <w:sz w:val="21"/>
              </w:rPr>
            </w:pPr>
          </w:p>
          <w:p w14:paraId="02287706">
            <w:pPr>
              <w:pStyle w:val="5"/>
              <w:spacing w:before="78" w:line="220" w:lineRule="auto"/>
              <w:ind w:left="409"/>
            </w:pPr>
            <w:r>
              <w:rPr>
                <w:spacing w:val="-3"/>
              </w:rPr>
              <w:t>公共责任保险</w:t>
            </w:r>
          </w:p>
        </w:tc>
        <w:tc>
          <w:tcPr>
            <w:tcW w:w="6180" w:type="dxa"/>
            <w:vAlign w:val="top"/>
          </w:tcPr>
          <w:p w14:paraId="564A8CA8">
            <w:pPr>
              <w:pStyle w:val="5"/>
              <w:spacing w:before="50" w:line="352" w:lineRule="auto"/>
              <w:ind w:left="17" w:right="41"/>
              <w:jc w:val="both"/>
            </w:pPr>
            <w:r>
              <w:rPr>
                <w:spacing w:val="-1"/>
              </w:rPr>
              <w:t>根据体育总局对体育赛事有关参赛人员保险要求，本着一切从保护承办方利益出发的原则，对中心赛区赛事期间运动队、工作人员及观众购买公众责任保险（公众责任每次事故赔偿额不低于300万元）及意外伤害险（保额赔付不低</w:t>
            </w:r>
            <w:r>
              <w:rPr>
                <w:spacing w:val="-2"/>
              </w:rPr>
              <w:t>于30万元</w:t>
            </w:r>
            <w:r>
              <w:rPr>
                <w:spacing w:val="-1"/>
              </w:rPr>
              <w:t>），</w:t>
            </w:r>
            <w:r>
              <w:rPr>
                <w:spacing w:val="-2"/>
              </w:rPr>
              <w:t>对转移各项风险起到切实保障作用。</w:t>
            </w:r>
          </w:p>
        </w:tc>
      </w:tr>
      <w:tr w14:paraId="445395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640" w:type="dxa"/>
            <w:vAlign w:val="top"/>
          </w:tcPr>
          <w:p w14:paraId="03E01ABF">
            <w:pPr>
              <w:pStyle w:val="5"/>
              <w:spacing w:before="152" w:line="241" w:lineRule="auto"/>
              <w:ind w:left="220"/>
            </w:pPr>
            <w:r>
              <w:rPr>
                <w:spacing w:val="-7"/>
              </w:rPr>
              <w:t>12</w:t>
            </w:r>
          </w:p>
        </w:tc>
        <w:tc>
          <w:tcPr>
            <w:tcW w:w="545" w:type="dxa"/>
            <w:vMerge w:val="restart"/>
            <w:tcBorders>
              <w:bottom w:val="nil"/>
            </w:tcBorders>
            <w:vAlign w:val="top"/>
          </w:tcPr>
          <w:p w14:paraId="00EC255A">
            <w:pPr>
              <w:spacing w:line="252" w:lineRule="auto"/>
              <w:rPr>
                <w:rFonts w:ascii="Arial"/>
                <w:sz w:val="21"/>
              </w:rPr>
            </w:pPr>
          </w:p>
          <w:p w14:paraId="4A3FF4F9">
            <w:pPr>
              <w:spacing w:line="252" w:lineRule="auto"/>
              <w:rPr>
                <w:rFonts w:ascii="Arial"/>
                <w:sz w:val="21"/>
              </w:rPr>
            </w:pPr>
          </w:p>
          <w:p w14:paraId="17710593">
            <w:pPr>
              <w:spacing w:line="252" w:lineRule="auto"/>
              <w:rPr>
                <w:rFonts w:ascii="Arial"/>
                <w:sz w:val="21"/>
              </w:rPr>
            </w:pPr>
          </w:p>
          <w:p w14:paraId="1A3C3519">
            <w:pPr>
              <w:spacing w:line="252" w:lineRule="auto"/>
              <w:rPr>
                <w:rFonts w:ascii="Arial"/>
                <w:sz w:val="21"/>
              </w:rPr>
            </w:pPr>
          </w:p>
          <w:p w14:paraId="512C1A5C">
            <w:pPr>
              <w:spacing w:line="252" w:lineRule="auto"/>
              <w:rPr>
                <w:rFonts w:ascii="Arial"/>
                <w:sz w:val="21"/>
              </w:rPr>
            </w:pPr>
          </w:p>
          <w:p w14:paraId="46D84FD0">
            <w:pPr>
              <w:spacing w:line="252" w:lineRule="auto"/>
              <w:rPr>
                <w:rFonts w:ascii="Arial"/>
                <w:sz w:val="21"/>
              </w:rPr>
            </w:pPr>
          </w:p>
          <w:p w14:paraId="4F735D95">
            <w:pPr>
              <w:spacing w:line="253" w:lineRule="auto"/>
              <w:rPr>
                <w:rFonts w:ascii="Arial"/>
                <w:sz w:val="21"/>
              </w:rPr>
            </w:pPr>
          </w:p>
          <w:p w14:paraId="2E9B16B2">
            <w:pPr>
              <w:spacing w:line="253" w:lineRule="auto"/>
              <w:rPr>
                <w:rFonts w:ascii="Arial"/>
                <w:sz w:val="21"/>
              </w:rPr>
            </w:pPr>
          </w:p>
          <w:p w14:paraId="65400B59">
            <w:pPr>
              <w:spacing w:line="253" w:lineRule="auto"/>
              <w:rPr>
                <w:rFonts w:ascii="Arial"/>
                <w:sz w:val="21"/>
              </w:rPr>
            </w:pPr>
          </w:p>
          <w:p w14:paraId="6E0E65C6">
            <w:pPr>
              <w:spacing w:line="253" w:lineRule="auto"/>
              <w:rPr>
                <w:rFonts w:ascii="Arial"/>
                <w:sz w:val="21"/>
              </w:rPr>
            </w:pPr>
          </w:p>
          <w:p w14:paraId="2B491A5F">
            <w:pPr>
              <w:spacing w:line="253" w:lineRule="auto"/>
              <w:rPr>
                <w:rFonts w:ascii="Arial"/>
                <w:sz w:val="21"/>
              </w:rPr>
            </w:pPr>
          </w:p>
          <w:p w14:paraId="1F6ADE19">
            <w:pPr>
              <w:spacing w:line="253" w:lineRule="auto"/>
              <w:rPr>
                <w:rFonts w:ascii="Arial"/>
                <w:sz w:val="21"/>
              </w:rPr>
            </w:pPr>
          </w:p>
          <w:p w14:paraId="689777BB">
            <w:pPr>
              <w:spacing w:line="253" w:lineRule="auto"/>
              <w:rPr>
                <w:rFonts w:ascii="Arial"/>
                <w:sz w:val="21"/>
              </w:rPr>
            </w:pPr>
          </w:p>
          <w:p w14:paraId="02898149">
            <w:pPr>
              <w:spacing w:line="253" w:lineRule="auto"/>
              <w:rPr>
                <w:rFonts w:ascii="Arial"/>
                <w:sz w:val="21"/>
              </w:rPr>
            </w:pPr>
          </w:p>
          <w:p w14:paraId="29417C1D">
            <w:pPr>
              <w:spacing w:line="253" w:lineRule="auto"/>
              <w:rPr>
                <w:rFonts w:ascii="Arial"/>
                <w:sz w:val="21"/>
              </w:rPr>
            </w:pPr>
          </w:p>
          <w:p w14:paraId="06A63FF9">
            <w:pPr>
              <w:spacing w:line="253" w:lineRule="auto"/>
              <w:rPr>
                <w:rFonts w:ascii="Arial"/>
                <w:sz w:val="21"/>
              </w:rPr>
            </w:pPr>
          </w:p>
          <w:p w14:paraId="6F2B0218">
            <w:pPr>
              <w:pStyle w:val="5"/>
              <w:spacing w:before="78" w:line="361" w:lineRule="auto"/>
              <w:ind w:left="33" w:right="30" w:firstLine="1"/>
            </w:pPr>
            <w:r>
              <w:rPr>
                <w:spacing w:val="-6"/>
              </w:rPr>
              <w:t>后勤</w:t>
            </w:r>
            <w:r>
              <w:rPr>
                <w:spacing w:val="-5"/>
              </w:rPr>
              <w:t>服务</w:t>
            </w:r>
          </w:p>
        </w:tc>
        <w:tc>
          <w:tcPr>
            <w:tcW w:w="1695" w:type="dxa"/>
            <w:vAlign w:val="top"/>
          </w:tcPr>
          <w:p w14:paraId="1A4DE528">
            <w:pPr>
              <w:pStyle w:val="5"/>
              <w:spacing w:before="151" w:line="220" w:lineRule="auto"/>
              <w:ind w:left="369"/>
            </w:pPr>
            <w:r>
              <w:rPr>
                <w:spacing w:val="-2"/>
              </w:rPr>
              <w:t>食宿协调</w:t>
            </w:r>
          </w:p>
        </w:tc>
        <w:tc>
          <w:tcPr>
            <w:tcW w:w="6180" w:type="dxa"/>
            <w:vAlign w:val="top"/>
          </w:tcPr>
          <w:p w14:paraId="4BAB9E6F">
            <w:pPr>
              <w:pStyle w:val="5"/>
              <w:spacing w:before="151" w:line="219" w:lineRule="auto"/>
              <w:ind w:left="36"/>
            </w:pPr>
            <w:r>
              <w:rPr>
                <w:spacing w:val="-2"/>
              </w:rPr>
              <w:t>1.驻地报到资料发放；2、报到材料收集；3、食</w:t>
            </w:r>
            <w:r>
              <w:rPr>
                <w:spacing w:val="-3"/>
              </w:rPr>
              <w:t>宿协调。</w:t>
            </w:r>
          </w:p>
        </w:tc>
      </w:tr>
      <w:tr w14:paraId="2004DA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1" w:hRule="atLeast"/>
        </w:trPr>
        <w:tc>
          <w:tcPr>
            <w:tcW w:w="640" w:type="dxa"/>
            <w:vAlign w:val="top"/>
          </w:tcPr>
          <w:p w14:paraId="5E2F12A0">
            <w:pPr>
              <w:spacing w:line="334" w:lineRule="auto"/>
              <w:rPr>
                <w:rFonts w:ascii="Arial"/>
                <w:sz w:val="21"/>
              </w:rPr>
            </w:pPr>
          </w:p>
          <w:p w14:paraId="6B2A0BFF">
            <w:pPr>
              <w:spacing w:line="335" w:lineRule="auto"/>
              <w:rPr>
                <w:rFonts w:ascii="Arial"/>
                <w:sz w:val="21"/>
              </w:rPr>
            </w:pPr>
          </w:p>
          <w:p w14:paraId="0BF27298">
            <w:pPr>
              <w:pStyle w:val="5"/>
              <w:spacing w:before="78"/>
              <w:ind w:left="220"/>
            </w:pPr>
            <w:r>
              <w:rPr>
                <w:spacing w:val="-7"/>
              </w:rPr>
              <w:t>13</w:t>
            </w:r>
          </w:p>
        </w:tc>
        <w:tc>
          <w:tcPr>
            <w:tcW w:w="545" w:type="dxa"/>
            <w:vMerge w:val="continue"/>
            <w:tcBorders>
              <w:top w:val="nil"/>
              <w:bottom w:val="nil"/>
            </w:tcBorders>
            <w:vAlign w:val="top"/>
          </w:tcPr>
          <w:p w14:paraId="37E39941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7F8EC8D3">
            <w:pPr>
              <w:spacing w:line="334" w:lineRule="auto"/>
              <w:rPr>
                <w:rFonts w:ascii="Arial"/>
                <w:sz w:val="21"/>
              </w:rPr>
            </w:pPr>
          </w:p>
          <w:p w14:paraId="6AA2F87C">
            <w:pPr>
              <w:spacing w:line="335" w:lineRule="auto"/>
              <w:rPr>
                <w:rFonts w:ascii="Arial"/>
                <w:sz w:val="21"/>
              </w:rPr>
            </w:pPr>
          </w:p>
          <w:p w14:paraId="02440829">
            <w:pPr>
              <w:pStyle w:val="5"/>
              <w:spacing w:before="78" w:line="221" w:lineRule="auto"/>
              <w:ind w:left="614"/>
            </w:pPr>
            <w:r>
              <w:rPr>
                <w:spacing w:val="-4"/>
              </w:rPr>
              <w:t>交通</w:t>
            </w:r>
          </w:p>
        </w:tc>
        <w:tc>
          <w:tcPr>
            <w:tcW w:w="6180" w:type="dxa"/>
            <w:vAlign w:val="top"/>
          </w:tcPr>
          <w:p w14:paraId="451912C9">
            <w:pPr>
              <w:pStyle w:val="5"/>
              <w:spacing w:before="50" w:line="332" w:lineRule="auto"/>
              <w:ind w:left="17" w:right="172" w:firstLine="18"/>
            </w:pPr>
            <w:r>
              <w:rPr>
                <w:spacing w:val="-2"/>
                <w:position w:val="-3"/>
              </w:rPr>
              <w:t>1</w:t>
            </w:r>
            <w:r>
              <w:rPr>
                <w:spacing w:val="-2"/>
                <w:position w:val="-2"/>
              </w:rPr>
              <w:t>、</w:t>
            </w:r>
            <w:r>
              <w:rPr>
                <w:spacing w:val="-2"/>
              </w:rPr>
              <w:t>运动队交通安排表及车辆调度；2、裁判员交通安排表</w:t>
            </w:r>
            <w:r>
              <w:rPr>
                <w:spacing w:val="-9"/>
              </w:rPr>
              <w:t>及车辆调度；</w:t>
            </w:r>
          </w:p>
          <w:p w14:paraId="33CC93BD">
            <w:pPr>
              <w:pStyle w:val="5"/>
              <w:spacing w:before="40" w:line="341" w:lineRule="auto"/>
              <w:ind w:left="23" w:right="73"/>
            </w:pPr>
            <w:r>
              <w:rPr>
                <w:spacing w:val="-2"/>
              </w:rPr>
              <w:t>3、辅助裁判/志愿者交通安排表及车辆调度；4、工作人员</w:t>
            </w:r>
            <w:r>
              <w:rPr>
                <w:spacing w:val="-5"/>
              </w:rPr>
              <w:t>交通安排表及车辆调度。</w:t>
            </w:r>
          </w:p>
        </w:tc>
      </w:tr>
      <w:tr w14:paraId="467B8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2" w:hRule="atLeast"/>
        </w:trPr>
        <w:tc>
          <w:tcPr>
            <w:tcW w:w="640" w:type="dxa"/>
            <w:vAlign w:val="top"/>
          </w:tcPr>
          <w:p w14:paraId="6E156239">
            <w:pPr>
              <w:spacing w:line="249" w:lineRule="auto"/>
              <w:rPr>
                <w:rFonts w:ascii="Arial"/>
                <w:sz w:val="21"/>
              </w:rPr>
            </w:pPr>
          </w:p>
          <w:p w14:paraId="3D850AFB">
            <w:pPr>
              <w:spacing w:line="249" w:lineRule="auto"/>
              <w:rPr>
                <w:rFonts w:ascii="Arial"/>
                <w:sz w:val="21"/>
              </w:rPr>
            </w:pPr>
          </w:p>
          <w:p w14:paraId="7D7868DC">
            <w:pPr>
              <w:spacing w:line="249" w:lineRule="auto"/>
              <w:rPr>
                <w:rFonts w:ascii="Arial"/>
                <w:sz w:val="21"/>
              </w:rPr>
            </w:pPr>
          </w:p>
          <w:p w14:paraId="2C910F45">
            <w:pPr>
              <w:spacing w:line="249" w:lineRule="auto"/>
              <w:rPr>
                <w:rFonts w:ascii="Arial"/>
                <w:sz w:val="21"/>
              </w:rPr>
            </w:pPr>
          </w:p>
          <w:p w14:paraId="3FCAACA9">
            <w:pPr>
              <w:spacing w:line="249" w:lineRule="auto"/>
              <w:rPr>
                <w:rFonts w:ascii="Arial"/>
                <w:sz w:val="21"/>
              </w:rPr>
            </w:pPr>
          </w:p>
          <w:p w14:paraId="0D40D03B">
            <w:pPr>
              <w:spacing w:line="249" w:lineRule="auto"/>
              <w:rPr>
                <w:rFonts w:ascii="Arial"/>
                <w:sz w:val="21"/>
              </w:rPr>
            </w:pPr>
          </w:p>
          <w:p w14:paraId="0C7B7C4C">
            <w:pPr>
              <w:spacing w:line="249" w:lineRule="auto"/>
              <w:rPr>
                <w:rFonts w:ascii="Arial"/>
                <w:sz w:val="21"/>
              </w:rPr>
            </w:pPr>
          </w:p>
          <w:p w14:paraId="20BABA30">
            <w:pPr>
              <w:spacing w:line="249" w:lineRule="auto"/>
              <w:rPr>
                <w:rFonts w:ascii="Arial"/>
                <w:sz w:val="21"/>
              </w:rPr>
            </w:pPr>
          </w:p>
          <w:p w14:paraId="7C1FEDF5">
            <w:pPr>
              <w:spacing w:line="249" w:lineRule="auto"/>
              <w:rPr>
                <w:rFonts w:ascii="Arial"/>
                <w:sz w:val="21"/>
              </w:rPr>
            </w:pPr>
          </w:p>
          <w:p w14:paraId="041D53D2">
            <w:pPr>
              <w:spacing w:line="250" w:lineRule="auto"/>
              <w:rPr>
                <w:rFonts w:ascii="Arial"/>
                <w:sz w:val="21"/>
              </w:rPr>
            </w:pPr>
          </w:p>
          <w:p w14:paraId="0E40899E">
            <w:pPr>
              <w:spacing w:line="250" w:lineRule="auto"/>
              <w:rPr>
                <w:rFonts w:ascii="Arial"/>
                <w:sz w:val="21"/>
              </w:rPr>
            </w:pPr>
          </w:p>
          <w:p w14:paraId="464E4438">
            <w:pPr>
              <w:spacing w:line="250" w:lineRule="auto"/>
              <w:rPr>
                <w:rFonts w:ascii="Arial"/>
                <w:sz w:val="21"/>
              </w:rPr>
            </w:pPr>
          </w:p>
          <w:p w14:paraId="0ADBC161">
            <w:pPr>
              <w:pStyle w:val="5"/>
              <w:spacing w:before="78" w:line="241" w:lineRule="auto"/>
              <w:ind w:left="220"/>
            </w:pPr>
            <w:r>
              <w:rPr>
                <w:spacing w:val="-7"/>
              </w:rPr>
              <w:t>14</w:t>
            </w:r>
          </w:p>
        </w:tc>
        <w:tc>
          <w:tcPr>
            <w:tcW w:w="545" w:type="dxa"/>
            <w:vMerge w:val="continue"/>
            <w:tcBorders>
              <w:top w:val="nil"/>
            </w:tcBorders>
            <w:vAlign w:val="top"/>
          </w:tcPr>
          <w:p w14:paraId="33BE1CB9">
            <w:pPr>
              <w:rPr>
                <w:rFonts w:ascii="Arial"/>
                <w:sz w:val="21"/>
              </w:rPr>
            </w:pPr>
          </w:p>
        </w:tc>
        <w:tc>
          <w:tcPr>
            <w:tcW w:w="1695" w:type="dxa"/>
            <w:vAlign w:val="top"/>
          </w:tcPr>
          <w:p w14:paraId="677D4C11">
            <w:pPr>
              <w:spacing w:line="249" w:lineRule="auto"/>
              <w:rPr>
                <w:rFonts w:ascii="Arial"/>
                <w:sz w:val="21"/>
              </w:rPr>
            </w:pPr>
          </w:p>
          <w:p w14:paraId="14AED8AD">
            <w:pPr>
              <w:spacing w:line="249" w:lineRule="auto"/>
              <w:rPr>
                <w:rFonts w:ascii="Arial"/>
                <w:sz w:val="21"/>
              </w:rPr>
            </w:pPr>
          </w:p>
          <w:p w14:paraId="7611F879">
            <w:pPr>
              <w:spacing w:line="249" w:lineRule="auto"/>
              <w:rPr>
                <w:rFonts w:ascii="Arial"/>
                <w:sz w:val="21"/>
              </w:rPr>
            </w:pPr>
          </w:p>
          <w:p w14:paraId="1DA9D006">
            <w:pPr>
              <w:spacing w:line="249" w:lineRule="auto"/>
              <w:rPr>
                <w:rFonts w:ascii="Arial"/>
                <w:sz w:val="21"/>
              </w:rPr>
            </w:pPr>
          </w:p>
          <w:p w14:paraId="4691261A">
            <w:pPr>
              <w:spacing w:line="249" w:lineRule="auto"/>
              <w:rPr>
                <w:rFonts w:ascii="Arial"/>
                <w:sz w:val="21"/>
              </w:rPr>
            </w:pPr>
          </w:p>
          <w:p w14:paraId="38D6F82B">
            <w:pPr>
              <w:spacing w:line="249" w:lineRule="auto"/>
              <w:rPr>
                <w:rFonts w:ascii="Arial"/>
                <w:sz w:val="21"/>
              </w:rPr>
            </w:pPr>
          </w:p>
          <w:p w14:paraId="255F0126">
            <w:pPr>
              <w:spacing w:line="249" w:lineRule="auto"/>
              <w:rPr>
                <w:rFonts w:ascii="Arial"/>
                <w:sz w:val="21"/>
              </w:rPr>
            </w:pPr>
          </w:p>
          <w:p w14:paraId="24B75488">
            <w:pPr>
              <w:spacing w:line="249" w:lineRule="auto"/>
              <w:rPr>
                <w:rFonts w:ascii="Arial"/>
                <w:sz w:val="21"/>
              </w:rPr>
            </w:pPr>
          </w:p>
          <w:p w14:paraId="3EDF8968">
            <w:pPr>
              <w:spacing w:line="249" w:lineRule="auto"/>
              <w:rPr>
                <w:rFonts w:ascii="Arial"/>
                <w:sz w:val="21"/>
              </w:rPr>
            </w:pPr>
          </w:p>
          <w:p w14:paraId="4AC387E1">
            <w:pPr>
              <w:spacing w:line="249" w:lineRule="auto"/>
              <w:rPr>
                <w:rFonts w:ascii="Arial"/>
                <w:sz w:val="21"/>
              </w:rPr>
            </w:pPr>
          </w:p>
          <w:p w14:paraId="10E1C5FF">
            <w:pPr>
              <w:spacing w:line="250" w:lineRule="auto"/>
              <w:rPr>
                <w:rFonts w:ascii="Arial"/>
                <w:sz w:val="21"/>
              </w:rPr>
            </w:pPr>
          </w:p>
          <w:p w14:paraId="3E3321C9">
            <w:pPr>
              <w:spacing w:line="250" w:lineRule="auto"/>
              <w:rPr>
                <w:rFonts w:ascii="Arial"/>
                <w:sz w:val="21"/>
              </w:rPr>
            </w:pPr>
          </w:p>
          <w:p w14:paraId="37B9DAE4">
            <w:pPr>
              <w:pStyle w:val="5"/>
              <w:spacing w:before="78" w:line="220" w:lineRule="auto"/>
              <w:ind w:left="615"/>
            </w:pPr>
            <w:r>
              <w:rPr>
                <w:spacing w:val="-4"/>
              </w:rPr>
              <w:t>劳务</w:t>
            </w:r>
          </w:p>
        </w:tc>
        <w:tc>
          <w:tcPr>
            <w:tcW w:w="6180" w:type="dxa"/>
            <w:vAlign w:val="top"/>
          </w:tcPr>
          <w:p w14:paraId="51E8A7DF">
            <w:pPr>
              <w:pStyle w:val="5"/>
              <w:spacing w:before="52" w:line="348" w:lineRule="exact"/>
              <w:ind w:left="36"/>
            </w:pPr>
            <w:r>
              <w:rPr>
                <w:spacing w:val="-5"/>
                <w:position w:val="-1"/>
              </w:rPr>
              <w:t>1</w:t>
            </w:r>
            <w:r>
              <w:rPr>
                <w:spacing w:val="-5"/>
              </w:rPr>
              <w:t>、</w:t>
            </w:r>
            <w:r>
              <w:rPr>
                <w:spacing w:val="-5"/>
                <w:position w:val="2"/>
              </w:rPr>
              <w:t>省派裁判长劳务费统计及资料收集；</w:t>
            </w:r>
          </w:p>
          <w:p w14:paraId="4CB965E1">
            <w:pPr>
              <w:pStyle w:val="5"/>
              <w:spacing w:before="118" w:line="220" w:lineRule="auto"/>
              <w:ind w:left="21"/>
            </w:pPr>
            <w:r>
              <w:rPr>
                <w:spacing w:val="-4"/>
              </w:rPr>
              <w:t>2、省派裁判员劳务费统计及资料收集；</w:t>
            </w:r>
          </w:p>
          <w:p w14:paraId="62D74C19">
            <w:pPr>
              <w:pStyle w:val="5"/>
              <w:spacing w:before="180" w:line="220" w:lineRule="auto"/>
              <w:ind w:left="23"/>
            </w:pPr>
            <w:r>
              <w:rPr>
                <w:spacing w:val="-4"/>
              </w:rPr>
              <w:t>3、省派裁判员差旅费统计及资料收集；</w:t>
            </w:r>
          </w:p>
          <w:p w14:paraId="557D579A">
            <w:pPr>
              <w:pStyle w:val="5"/>
              <w:spacing w:before="181" w:line="219" w:lineRule="auto"/>
              <w:ind w:left="17"/>
            </w:pPr>
            <w:r>
              <w:rPr>
                <w:spacing w:val="-4"/>
              </w:rPr>
              <w:t>4、组委会、官员劳务费统计及资料收集；</w:t>
            </w:r>
          </w:p>
          <w:p w14:paraId="6EF7A06E">
            <w:pPr>
              <w:pStyle w:val="5"/>
              <w:spacing w:before="182" w:line="219" w:lineRule="auto"/>
              <w:ind w:left="23"/>
            </w:pPr>
            <w:r>
              <w:rPr>
                <w:spacing w:val="-4"/>
              </w:rPr>
              <w:t>5、组委会、官员差旅费统计及资料收集；</w:t>
            </w:r>
          </w:p>
          <w:p w14:paraId="108BACAC">
            <w:pPr>
              <w:pStyle w:val="5"/>
              <w:spacing w:before="181" w:line="220" w:lineRule="auto"/>
              <w:ind w:left="24"/>
            </w:pPr>
            <w:r>
              <w:rPr>
                <w:rFonts w:hint="eastAsia" w:eastAsia="宋体"/>
                <w:spacing w:val="-4"/>
                <w:lang w:val="en-US" w:eastAsia="zh-CN"/>
              </w:rPr>
              <w:t>6</w:t>
            </w:r>
            <w:r>
              <w:rPr>
                <w:spacing w:val="-4"/>
              </w:rPr>
              <w:t>、辅助裁判员劳务费统计及资料收集；</w:t>
            </w:r>
          </w:p>
          <w:p w14:paraId="571DBE55">
            <w:pPr>
              <w:pStyle w:val="5"/>
              <w:spacing w:before="180" w:line="220" w:lineRule="auto"/>
              <w:ind w:left="19"/>
            </w:pPr>
            <w:r>
              <w:rPr>
                <w:rFonts w:hint="eastAsia" w:eastAsia="宋体"/>
                <w:spacing w:val="-4"/>
                <w:lang w:val="en-US" w:eastAsia="zh-CN"/>
              </w:rPr>
              <w:t>7</w:t>
            </w:r>
            <w:r>
              <w:rPr>
                <w:spacing w:val="-4"/>
              </w:rPr>
              <w:t>、工作人员劳务费统计及资料收集；</w:t>
            </w:r>
          </w:p>
          <w:p w14:paraId="54BCC35D">
            <w:pPr>
              <w:pStyle w:val="5"/>
              <w:spacing w:before="181" w:line="220" w:lineRule="auto"/>
              <w:ind w:left="19"/>
            </w:pPr>
            <w:r>
              <w:rPr>
                <w:rFonts w:hint="eastAsia" w:eastAsia="宋体"/>
                <w:spacing w:val="-4"/>
                <w:lang w:val="en-US" w:eastAsia="zh-CN"/>
              </w:rPr>
              <w:t>8</w:t>
            </w:r>
            <w:r>
              <w:rPr>
                <w:spacing w:val="-4"/>
              </w:rPr>
              <w:t>、颁奖礼仪劳务费统计及资料收集；</w:t>
            </w:r>
          </w:p>
          <w:p w14:paraId="16A319A4">
            <w:pPr>
              <w:pStyle w:val="5"/>
              <w:spacing w:before="181" w:line="219" w:lineRule="auto"/>
              <w:ind w:left="36"/>
            </w:pPr>
            <w:r>
              <w:rPr>
                <w:rFonts w:hint="eastAsia" w:eastAsia="宋体"/>
                <w:spacing w:val="-5"/>
                <w:lang w:val="en-US" w:eastAsia="zh-CN"/>
              </w:rPr>
              <w:t>9</w:t>
            </w:r>
            <w:r>
              <w:rPr>
                <w:spacing w:val="-5"/>
              </w:rPr>
              <w:t>、大会医生劳务费统计及资料收集；</w:t>
            </w:r>
          </w:p>
          <w:p w14:paraId="06A1C5A1">
            <w:pPr>
              <w:pStyle w:val="5"/>
              <w:spacing w:before="182" w:line="220" w:lineRule="auto"/>
              <w:ind w:left="36"/>
            </w:pPr>
            <w:r>
              <w:rPr>
                <w:spacing w:val="-8"/>
              </w:rPr>
              <w:t>1</w:t>
            </w:r>
            <w:r>
              <w:rPr>
                <w:rFonts w:hint="eastAsia" w:eastAsia="宋体"/>
                <w:spacing w:val="-8"/>
                <w:lang w:val="en-US" w:eastAsia="zh-CN"/>
              </w:rPr>
              <w:t>0</w:t>
            </w:r>
            <w:r>
              <w:rPr>
                <w:spacing w:val="-8"/>
              </w:rPr>
              <w:t>、税金及资料收集；</w:t>
            </w:r>
          </w:p>
          <w:p w14:paraId="644969DA">
            <w:pPr>
              <w:pStyle w:val="5"/>
              <w:spacing w:before="181" w:line="347" w:lineRule="auto"/>
              <w:ind w:left="17" w:right="161" w:firstLine="18"/>
            </w:pPr>
            <w:r>
              <w:rPr>
                <w:spacing w:val="-2"/>
              </w:rPr>
              <w:t>1</w:t>
            </w:r>
            <w:r>
              <w:rPr>
                <w:rFonts w:hint="eastAsia" w:eastAsia="宋体"/>
                <w:spacing w:val="-2"/>
                <w:lang w:val="en-US" w:eastAsia="zh-CN"/>
              </w:rPr>
              <w:t>1</w:t>
            </w:r>
            <w:r>
              <w:rPr>
                <w:spacing w:val="-2"/>
              </w:rPr>
              <w:t>、保安及保洁竞赛场地保障劳务费支付。（投标人应根</w:t>
            </w:r>
            <w:r>
              <w:rPr>
                <w:spacing w:val="-1"/>
              </w:rPr>
              <w:t>据赛场实际规模、赛事级别及人流峰值，科学匹配并配置</w:t>
            </w:r>
            <w:r>
              <w:rPr>
                <w:spacing w:val="-3"/>
              </w:rPr>
              <w:t>足额的保安及保洁人员）</w:t>
            </w:r>
          </w:p>
        </w:tc>
      </w:tr>
    </w:tbl>
    <w:p w14:paraId="03A9B355">
      <w:pPr>
        <w:spacing w:before="78" w:line="221" w:lineRule="auto"/>
        <w:ind w:left="58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3"/>
          <w:sz w:val="24"/>
          <w:szCs w:val="24"/>
        </w:rPr>
        <w:t>（十）人员配置：</w:t>
      </w:r>
    </w:p>
    <w:p w14:paraId="021BC558">
      <w:pPr>
        <w:spacing w:line="221" w:lineRule="auto"/>
        <w:rPr>
          <w:rFonts w:ascii="宋体" w:hAnsi="宋体" w:eastAsia="宋体" w:cs="宋体"/>
          <w:sz w:val="24"/>
          <w:szCs w:val="24"/>
        </w:rPr>
        <w:sectPr>
          <w:footerReference r:id="rId10" w:type="default"/>
          <w:pgSz w:w="11906" w:h="16840"/>
          <w:pgMar w:top="400" w:right="1440" w:bottom="1156" w:left="1395" w:header="0" w:footer="988" w:gutter="0"/>
          <w:cols w:space="720" w:num="1"/>
        </w:sectPr>
      </w:pPr>
    </w:p>
    <w:p w14:paraId="11DC94A5">
      <w:pPr>
        <w:spacing w:before="78" w:line="219" w:lineRule="auto"/>
        <w:ind w:left="481"/>
        <w:rPr>
          <w:rFonts w:ascii="宋体" w:hAnsi="宋体" w:eastAsia="宋体" w:cs="宋体"/>
          <w:b/>
          <w:bCs/>
          <w:spacing w:val="-2"/>
          <w:sz w:val="24"/>
          <w:szCs w:val="24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针对本项目拟派项目</w:t>
      </w:r>
      <w:r>
        <w:rPr>
          <w:rFonts w:ascii="宋体" w:hAnsi="宋体" w:eastAsia="宋体" w:cs="宋体"/>
          <w:b/>
          <w:bCs/>
          <w:color w:val="000000" w:themeColor="text1"/>
          <w:spacing w:val="-1"/>
          <w:sz w:val="24"/>
          <w:szCs w:val="24"/>
          <w14:textFill>
            <w14:solidFill>
              <w14:schemeClr w14:val="tx1"/>
            </w14:solidFill>
          </w14:textFill>
        </w:rPr>
        <w:t xml:space="preserve">服务人员不少于 40 </w:t>
      </w:r>
      <w:r>
        <w:rPr>
          <w:rFonts w:ascii="宋体" w:hAnsi="宋体" w:eastAsia="宋体" w:cs="宋体"/>
          <w:b/>
          <w:bCs/>
          <w:color w:val="000000" w:themeColor="text1"/>
          <w:spacing w:val="-2"/>
          <w:sz w:val="24"/>
          <w:szCs w:val="24"/>
          <w14:textFill>
            <w14:solidFill>
              <w14:schemeClr w14:val="tx1"/>
            </w14:solidFill>
          </w14:textFill>
        </w:rPr>
        <w:t>人</w:t>
      </w: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，提供人员名单表。</w:t>
      </w:r>
    </w:p>
    <w:p w14:paraId="6249C078">
      <w:pPr>
        <w:rPr>
          <w:rFonts w:ascii="宋体" w:hAnsi="宋体" w:eastAsia="宋体" w:cs="宋体"/>
          <w:spacing w:val="-2"/>
          <w:sz w:val="24"/>
          <w:szCs w:val="24"/>
        </w:rPr>
      </w:pP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（十一</w:t>
      </w: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）</w:t>
      </w:r>
      <w:r>
        <w:rPr>
          <w:rFonts w:hint="eastAsia" w:ascii="宋体" w:hAnsi="宋体" w:eastAsia="宋体" w:cs="宋体"/>
          <w:b/>
          <w:bCs/>
          <w:spacing w:val="-4"/>
          <w:sz w:val="24"/>
          <w:szCs w:val="24"/>
          <w:lang w:val="en-US" w:eastAsia="zh-CN"/>
        </w:rPr>
        <w:t>设备</w:t>
      </w: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配置</w:t>
      </w:r>
    </w:p>
    <w:tbl>
      <w:tblPr>
        <w:tblStyle w:val="3"/>
        <w:tblW w:w="997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575"/>
        <w:gridCol w:w="1515"/>
        <w:gridCol w:w="1080"/>
        <w:gridCol w:w="1080"/>
        <w:gridCol w:w="3645"/>
      </w:tblGrid>
      <w:tr w14:paraId="3EB20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9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7B4A48">
            <w:pPr>
              <w:jc w:val="center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跆拳道项目配套器材（一）</w:t>
            </w:r>
          </w:p>
        </w:tc>
      </w:tr>
      <w:tr w14:paraId="675AD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9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0812BF">
            <w:pPr>
              <w:rPr>
                <w:rFonts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1、办公用品</w:t>
            </w:r>
          </w:p>
        </w:tc>
      </w:tr>
      <w:tr w14:paraId="21BE5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7632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7672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器材名称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6407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A002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0072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技术参数/要求</w:t>
            </w:r>
          </w:p>
        </w:tc>
      </w:tr>
      <w:tr w14:paraId="67C30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D9C8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4303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黑色水笔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4329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5D8D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支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DC0B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0E9FC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E60A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D5DA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笔记本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E4F1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70E4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本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D8F8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1C53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22D1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5985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公文包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DFA8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ECA5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00C4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F954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422B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1184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A4复印纸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1BD3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B207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箱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3B4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01F15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47C5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51EE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硒鼓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CAEF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56C5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1CF1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984A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8ADA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39EC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档案袋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2F5D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B4EC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63C0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21AB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4349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0677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计算器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3A6D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FACB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806F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B705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F98C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0CB8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指甲钳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B108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5214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F5DD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AA79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EB9A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F9BB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剪刀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ACB0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BB6B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把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F001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DBE1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6ABA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5EF6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水桶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66B1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4A35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71CA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DAF0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57FC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2D5A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白毛巾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D6E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5A57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条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1DE6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E5CF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5B2E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9FA1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裁纸刀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5483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F709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把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BF46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0A3F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1D5F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B66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订书机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33AA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78F9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EF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A2B7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D539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EB64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订书钉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4F75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847A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E6F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8C7D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C66A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5FCB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文件袋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3F6E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6E65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C1B7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83E8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DE01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17A4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黑色记号笔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70D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1D90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1893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BDF4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2E2C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F548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红色记号笔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9A05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904D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961E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9785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CD5B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8818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签字笔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DF65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FBAC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3D9E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74AA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47AF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A16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口哨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9000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FC2B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8408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3301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006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09E5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医用胶布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3682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76AC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卷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FCCC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FAAA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5816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C583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透明胶带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C947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7929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卷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DA18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00F4D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3CB4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236D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书写垫板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F1F3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C3ED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A05F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0F60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F812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D783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白板（含笔，板擦）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D220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679D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BD39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1D0D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2132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7FAF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大音响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C07B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59B9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7CCE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9651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0998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1A07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无线麦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DE82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5A5F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12D2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AF91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3063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FCF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打复印一体机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D154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E655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FB6B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215B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DB4C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1018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打印机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B3CC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E190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92F9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9736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6D4B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D7CE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燕尾夹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95A9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8386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DAC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FB31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0041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2E9F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对讲机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5099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50AC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05A2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A204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9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015F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2、竞赛器材</w:t>
            </w:r>
          </w:p>
        </w:tc>
      </w:tr>
      <w:tr w14:paraId="32493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2E00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DA93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器材名称（规格）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95FE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4977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4A74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技术参数/要求</w:t>
            </w:r>
          </w:p>
        </w:tc>
      </w:tr>
      <w:tr w14:paraId="15013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E757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9468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跆拳道比赛垫（八角垫）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3622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3719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42EA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49890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A2F7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92F9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跆拳道后场热身垫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B2FB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5BA6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B65B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936F2A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9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6AB4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3、计时计分设备系统</w:t>
            </w:r>
          </w:p>
        </w:tc>
      </w:tr>
      <w:tr w14:paraId="5CA50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4494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ACFD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器材名称（规格）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CA36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3994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DDEA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技术参数/要求</w:t>
            </w:r>
          </w:p>
        </w:tc>
      </w:tr>
      <w:tr w14:paraId="65E39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5866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09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AF1E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电视机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C6A6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788F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3CE8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屏幕尺寸:42英寸</w:t>
            </w:r>
          </w:p>
        </w:tc>
      </w:tr>
      <w:tr w14:paraId="3A5B2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ABFB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09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9A7E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6768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FF41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2B44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7C71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DBF1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C6C2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摄像机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31F1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3624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6725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录制格式 静像：JPEG视频：HD:MPEGAVC/H.264;SD:MPEG2 监视比赛信息</w:t>
            </w:r>
          </w:p>
        </w:tc>
      </w:tr>
      <w:tr w14:paraId="3C46E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8FC0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8743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500瓦UPS电源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8759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F138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D23A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类型：在线式 额定输出：3kva 输入电压：115-300V输入频率：40-60Hz 输出电压220*（1±2%）V 输出频率：50HZ 提供电源</w:t>
            </w:r>
          </w:p>
        </w:tc>
      </w:tr>
      <w:tr w14:paraId="708A5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5335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C7AC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电子头盔</w:t>
            </w: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BFB0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比赛型大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501F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8812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57CC4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青、红各6个共12个</w:t>
            </w:r>
          </w:p>
        </w:tc>
      </w:tr>
      <w:tr w14:paraId="4602B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F2B2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68F9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29C8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070D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21F6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5BC9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154C2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C05A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ADAE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6BF5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中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5294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DA4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B88B61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青、红各6个共12个，</w:t>
            </w:r>
          </w:p>
        </w:tc>
      </w:tr>
      <w:tr w14:paraId="3CB73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3905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C2F7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A219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8042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1B5A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F383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1E714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5D39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8A39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8DFF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小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F8DB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37B8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FAC1A7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青、红各6个共12个</w:t>
            </w:r>
          </w:p>
        </w:tc>
      </w:tr>
      <w:tr w14:paraId="7451B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FC36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1D80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00CC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E90D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5923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1A0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7FBB8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85B2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5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1183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电子护具</w:t>
            </w: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AF95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比赛型2号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1E1D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1647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7C762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青、红各9套共18套</w:t>
            </w:r>
          </w:p>
        </w:tc>
      </w:tr>
      <w:tr w14:paraId="3077B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EC16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7E07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79E7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5CCF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0622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969D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683E4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F733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F131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0C72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3号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9CC8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9D69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3AE48B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青、红各9套共18套</w:t>
            </w:r>
          </w:p>
        </w:tc>
      </w:tr>
      <w:tr w14:paraId="17F05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E08C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19E1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99DF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AE1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5452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52A4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18000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F159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0EB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4573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4号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9498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4772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C5F9E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青、红各9套共18套</w:t>
            </w:r>
          </w:p>
        </w:tc>
      </w:tr>
      <w:tr w14:paraId="04919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9952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DB76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F238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E061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CD48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F797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6CDC9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7C51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974D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F44F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5号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4D1D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1AF5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C3361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青、红各4套共8套</w:t>
            </w:r>
          </w:p>
        </w:tc>
      </w:tr>
      <w:tr w14:paraId="3204D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3EC7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6003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DF50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6F3D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B117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616D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跆拳道比赛专用，符合 GB T 23868-2009</w:t>
            </w:r>
          </w:p>
        </w:tc>
      </w:tr>
      <w:tr w14:paraId="200AB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B674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E3F5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电子脚套检测仪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A73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CEF4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B8FA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全国运动会使用产品</w:t>
            </w:r>
          </w:p>
        </w:tc>
      </w:tr>
      <w:tr w14:paraId="73A61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AAD0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1C070F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赛事编排成统系统(OVR)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558C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AA5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2D5C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全国运动会使用产品</w:t>
            </w:r>
          </w:p>
        </w:tc>
      </w:tr>
      <w:tr w14:paraId="3E719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DBBF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090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E2CD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录像审议系统(IVR)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70EE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D127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7A7D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553B3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1D97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3753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电子计时计分系统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045B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EE7D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E95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提供参数</w:t>
            </w:r>
          </w:p>
        </w:tc>
      </w:tr>
      <w:tr w14:paraId="688FF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BF29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72AD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比赛软件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19BB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6F29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82A5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运行比赛规则</w:t>
            </w:r>
          </w:p>
        </w:tc>
      </w:tr>
      <w:tr w14:paraId="42BE2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9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6FB6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4、竞赛辅助物品</w:t>
            </w:r>
          </w:p>
        </w:tc>
      </w:tr>
      <w:tr w14:paraId="4E0CB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B4BD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0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E90C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器材名称（规格）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0786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740ED7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B557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技术参数/要求</w:t>
            </w:r>
          </w:p>
        </w:tc>
      </w:tr>
      <w:tr w14:paraId="17CE5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D418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81E778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体重称电子磅秤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D33F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D8F1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6231C8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0D5F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最大范围200kg、误差0.01kg</w:t>
            </w:r>
          </w:p>
        </w:tc>
      </w:tr>
      <w:tr w14:paraId="2B447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FF25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8BF4F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引导牌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5589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35B2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11×6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9874F9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2A5B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606E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9869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26B5B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裁判员号码布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C1CA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9AB4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1-60号×2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CAC963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C80E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3FFD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C11F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 w14:paraId="73A63E3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红、篮、黄录像审议牌</w:t>
            </w: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253D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1A38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C4D196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8847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亚克力板：10cm×7cm</w:t>
            </w:r>
          </w:p>
        </w:tc>
      </w:tr>
      <w:tr w14:paraId="3F996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073F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106F6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（红、篮、黄）</w:t>
            </w: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9737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5A5B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925D5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36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EE2D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18B4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EC0C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464F3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乒乓球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36CA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176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B9EA9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E95A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1F46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6962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4ED0BC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抽签盘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ED9E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C61E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372FD1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5897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D52A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5776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A3071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抽签筒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2D56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826C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26A82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C909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FCD0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9BFA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145CD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金嗓子喉宝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57B9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1DD1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C027F9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FBB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B989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145A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43811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双音哨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92D0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D5EA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EA370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8D1D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BBE9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7E8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9B7BB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笔记本电脑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9807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CC17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049F3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24CA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42548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7954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0FCD7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矿泉水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E2E7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1C5C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4233B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件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7843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7688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94DF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EEC102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口罩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84D3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7059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FAF546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包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93C1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5C661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EF36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12002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藿香正气水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2E7E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A793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56372D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盒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6263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7C24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5012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1D6C3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A排挡板（保证3区和检录处的划分）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5001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F01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5EAB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AA00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07A5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8ED9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D5FD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桌子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9BFF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948E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A5E7AD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9B09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33139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BB27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2B2301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椅子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B2DA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3CAE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5631C6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A90A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2F3F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B55D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49E5F5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电视机移动架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B32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25E7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915D3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D49D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8D5F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3591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C03E9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标识牌（各区域指示牌）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5C2C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36FE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21C5D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D900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DAAA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2F9D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820CC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插线板（15米）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A5F7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0FAB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DF1559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A58A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60D7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2F3E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87BA53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地卷插线板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9E5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AEBF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30CED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1032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B1DB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6B2B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C36E308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岗位桌牌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A134C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2D4E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4486C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52E6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5104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AB56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CA204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桌布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5F5F1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0A23A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6CD43F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CD1E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5727B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8879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F1E4E7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无线麦电池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E4AE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41E4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D74C52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CB24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7D250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9E5C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9586BB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场地引导牌（A、B、C）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8C41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E582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4CD5F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DB25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668CB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ACA8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C835764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秒表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513C9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EF613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AE52330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块</w:t>
            </w:r>
          </w:p>
        </w:tc>
        <w:tc>
          <w:tcPr>
            <w:tcW w:w="3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29E7D">
            <w:pP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</w:tbl>
    <w:p w14:paraId="1A9F2641">
      <w:pPr>
        <w:rPr>
          <w:rFonts w:ascii="宋体" w:hAnsi="宋体" w:eastAsia="宋体" w:cs="宋体"/>
          <w:spacing w:val="-2"/>
          <w:sz w:val="24"/>
          <w:szCs w:val="24"/>
        </w:rPr>
      </w:pPr>
    </w:p>
    <w:tbl>
      <w:tblPr>
        <w:tblStyle w:val="3"/>
        <w:tblW w:w="75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9"/>
        <w:gridCol w:w="3057"/>
        <w:gridCol w:w="3411"/>
      </w:tblGrid>
      <w:tr w14:paraId="016ED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9D1A21">
            <w:pPr>
              <w:spacing w:before="78" w:line="219" w:lineRule="auto"/>
              <w:ind w:left="481"/>
              <w:jc w:val="center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2"/>
                <w:sz w:val="24"/>
                <w:szCs w:val="24"/>
                <w:lang w:val="en-US" w:eastAsia="zh-CN"/>
              </w:rPr>
              <w:t>柔道比赛所需器材及物品（二）</w:t>
            </w:r>
          </w:p>
        </w:tc>
      </w:tr>
      <w:tr w14:paraId="488B7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3EC9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EEC9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8C5B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数量</w:t>
            </w:r>
          </w:p>
        </w:tc>
      </w:tr>
      <w:tr w14:paraId="15009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18FE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一、竞赛场地</w:t>
            </w:r>
          </w:p>
        </w:tc>
      </w:tr>
      <w:tr w14:paraId="683B0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3046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7735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正规比赛垫</w:t>
            </w:r>
          </w:p>
        </w:tc>
        <w:tc>
          <w:tcPr>
            <w:tcW w:w="3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B5D9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14*14共4块（比赛场地2块，热身场地1块）</w:t>
            </w:r>
          </w:p>
        </w:tc>
      </w:tr>
      <w:tr w14:paraId="08954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E651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92E5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热身场地电视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8DA1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2台</w:t>
            </w:r>
          </w:p>
        </w:tc>
      </w:tr>
      <w:tr w14:paraId="18D67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AEBF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6BD1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裁判席电视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EFDC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2台</w:t>
            </w:r>
          </w:p>
        </w:tc>
      </w:tr>
      <w:tr w14:paraId="26312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B7AE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C755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电子记分器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A549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2套（柔道专业记分系统）</w:t>
            </w:r>
          </w:p>
        </w:tc>
      </w:tr>
      <w:tr w14:paraId="75643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BFE3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94D2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摄像机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4BFE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4台</w:t>
            </w:r>
          </w:p>
        </w:tc>
      </w:tr>
      <w:tr w14:paraId="7B220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778C2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6D75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笔记本电脑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55A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3台</w:t>
            </w:r>
          </w:p>
        </w:tc>
      </w:tr>
      <w:tr w14:paraId="32E0B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FB86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19DF5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对讲机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DD60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16个</w:t>
            </w:r>
          </w:p>
        </w:tc>
      </w:tr>
      <w:tr w14:paraId="18AC8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CFB8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5F11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话筒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5A28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</w:tr>
      <w:tr w14:paraId="5597C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BEA4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2EB8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检录处喇叭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FDE8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2个</w:t>
            </w:r>
          </w:p>
        </w:tc>
      </w:tr>
      <w:tr w14:paraId="57194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3563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29C2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柔道服测量尺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B375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2把</w:t>
            </w:r>
          </w:p>
        </w:tc>
      </w:tr>
      <w:tr w14:paraId="177EA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D2EC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AD17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秒表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FA855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4块</w:t>
            </w:r>
          </w:p>
        </w:tc>
      </w:tr>
      <w:tr w14:paraId="3EDD0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658D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F807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裁判号码牌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B32C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01—20</w:t>
            </w:r>
          </w:p>
        </w:tc>
      </w:tr>
      <w:tr w14:paraId="48979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51AE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F9BD2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拖鞋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D34DF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20双</w:t>
            </w:r>
          </w:p>
        </w:tc>
      </w:tr>
      <w:tr w14:paraId="54338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A46E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E7F6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1黑袜子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164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40双</w:t>
            </w:r>
          </w:p>
        </w:tc>
      </w:tr>
      <w:tr w14:paraId="3D5AA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E898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D448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笔和铅笔各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FBF8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2盒</w:t>
            </w:r>
          </w:p>
        </w:tc>
      </w:tr>
      <w:tr w14:paraId="62C56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F240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FCF05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插线板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046A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3个</w:t>
            </w:r>
          </w:p>
        </w:tc>
      </w:tr>
      <w:tr w14:paraId="35AF11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6C4B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二、编排组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A380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1A009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986AF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1908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激光打印机(双面打印)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0B39F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2台</w:t>
            </w:r>
          </w:p>
        </w:tc>
      </w:tr>
      <w:tr w14:paraId="07BEC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A594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617D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打印机墨盒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9AF9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若干</w:t>
            </w:r>
          </w:p>
        </w:tc>
      </w:tr>
      <w:tr w14:paraId="758ED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2C80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65C6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打印纸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42A9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2箱</w:t>
            </w:r>
          </w:p>
        </w:tc>
      </w:tr>
      <w:tr w14:paraId="3D0AD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37FA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6F5D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剪刀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2EB2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2把</w:t>
            </w:r>
          </w:p>
        </w:tc>
      </w:tr>
      <w:tr w14:paraId="6A8F7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358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4DCF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直尺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7AAC5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2把</w:t>
            </w:r>
          </w:p>
        </w:tc>
      </w:tr>
      <w:tr w14:paraId="5DB44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0D70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7D450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装订机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0716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3套</w:t>
            </w:r>
          </w:p>
        </w:tc>
      </w:tr>
      <w:tr w14:paraId="45EB3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0DE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0DFB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红黑记号笔各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EEFC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6支</w:t>
            </w:r>
          </w:p>
        </w:tc>
      </w:tr>
      <w:tr w14:paraId="77944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A64A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0843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红色水彩笔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FA12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3盒</w:t>
            </w:r>
          </w:p>
        </w:tc>
      </w:tr>
      <w:tr w14:paraId="6CF07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2CC2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8AFF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黑色水彩笔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52C7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4盒</w:t>
            </w:r>
          </w:p>
        </w:tc>
      </w:tr>
      <w:tr w14:paraId="260BD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8AF3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A652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铅笔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074D6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4盒</w:t>
            </w:r>
          </w:p>
        </w:tc>
      </w:tr>
      <w:tr w14:paraId="0F2DF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4305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A50F5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橡皮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5F05B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6个</w:t>
            </w:r>
          </w:p>
        </w:tc>
      </w:tr>
      <w:tr w14:paraId="442D2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5BED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A506C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卷笔刀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6D93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4个</w:t>
            </w:r>
          </w:p>
        </w:tc>
      </w:tr>
      <w:tr w14:paraId="5282A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A7BE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66A8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档案袋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570E2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20个</w:t>
            </w:r>
          </w:p>
        </w:tc>
      </w:tr>
      <w:tr w14:paraId="43F31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978FE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7376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板夹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D487D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8个</w:t>
            </w:r>
          </w:p>
        </w:tc>
      </w:tr>
      <w:tr w14:paraId="68009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0352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83634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中号夹子3盒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E2798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</w:p>
        </w:tc>
      </w:tr>
      <w:tr w14:paraId="29512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1A2E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E0D2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回形针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2E4F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2盒</w:t>
            </w:r>
          </w:p>
        </w:tc>
      </w:tr>
      <w:tr w14:paraId="3532D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E2242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0203A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移动插线板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601A3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1个</w:t>
            </w:r>
          </w:p>
        </w:tc>
      </w:tr>
      <w:tr w14:paraId="75D5F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DD21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0647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U盘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890C9">
            <w:pPr>
              <w:spacing w:before="78" w:line="219" w:lineRule="auto"/>
              <w:ind w:left="481"/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1个</w:t>
            </w:r>
          </w:p>
        </w:tc>
      </w:tr>
    </w:tbl>
    <w:p w14:paraId="00EDDCB5">
      <w:pPr>
        <w:spacing w:before="78" w:line="219" w:lineRule="auto"/>
        <w:ind w:left="481"/>
        <w:rPr>
          <w:rFonts w:ascii="宋体" w:hAnsi="宋体" w:eastAsia="宋体" w:cs="宋体"/>
          <w:spacing w:val="-2"/>
          <w:sz w:val="24"/>
          <w:szCs w:val="24"/>
        </w:rPr>
      </w:pPr>
    </w:p>
    <w:p w14:paraId="5663E16C">
      <w:pPr>
        <w:spacing w:before="175" w:line="221" w:lineRule="auto"/>
        <w:ind w:left="49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（十</w:t>
      </w:r>
      <w:r>
        <w:rPr>
          <w:rFonts w:hint="eastAsia" w:ascii="宋体" w:hAnsi="宋体" w:eastAsia="宋体" w:cs="宋体"/>
          <w:b/>
          <w:bCs/>
          <w:spacing w:val="-4"/>
          <w:sz w:val="24"/>
          <w:szCs w:val="24"/>
          <w:lang w:val="en-US" w:eastAsia="zh-CN"/>
        </w:rPr>
        <w:t>二</w:t>
      </w: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）监督</w:t>
      </w:r>
    </w:p>
    <w:p w14:paraId="1CC84792">
      <w:pPr>
        <w:spacing w:before="172" w:line="354" w:lineRule="auto"/>
        <w:ind w:left="1" w:right="6" w:firstLine="4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在整个比赛过程中，赛事主办方及采购人将对中标单位进</w:t>
      </w:r>
      <w:r>
        <w:rPr>
          <w:rFonts w:ascii="宋体" w:hAnsi="宋体" w:eastAsia="宋体" w:cs="宋体"/>
          <w:spacing w:val="-1"/>
          <w:sz w:val="24"/>
          <w:szCs w:val="24"/>
        </w:rPr>
        <w:t>行监督，若由于中标单位导致赛事未达到规定的要求，采购人有权终</w:t>
      </w:r>
      <w:r>
        <w:rPr>
          <w:rFonts w:ascii="宋体" w:hAnsi="宋体" w:eastAsia="宋体" w:cs="宋体"/>
          <w:spacing w:val="-2"/>
          <w:sz w:val="24"/>
          <w:szCs w:val="24"/>
        </w:rPr>
        <w:t>止合同并追究其相关责任。</w:t>
      </w:r>
    </w:p>
    <w:p w14:paraId="74A064D9">
      <w:pPr>
        <w:spacing w:line="220" w:lineRule="auto"/>
        <w:ind w:left="49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（十</w:t>
      </w:r>
      <w:r>
        <w:rPr>
          <w:rFonts w:hint="eastAsia" w:ascii="宋体" w:hAnsi="宋体" w:eastAsia="宋体" w:cs="宋体"/>
          <w:b/>
          <w:bCs/>
          <w:spacing w:val="-4"/>
          <w:sz w:val="24"/>
          <w:szCs w:val="24"/>
          <w:lang w:val="en-US" w:eastAsia="zh-CN"/>
        </w:rPr>
        <w:t>三</w:t>
      </w: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）其他</w:t>
      </w:r>
    </w:p>
    <w:p w14:paraId="51899FA5">
      <w:pPr>
        <w:spacing w:before="173" w:line="354" w:lineRule="auto"/>
        <w:ind w:left="3" w:firstLine="481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项目时间及质量等要求：项目时间及质量等要求：由于本项目</w:t>
      </w:r>
      <w:r>
        <w:rPr>
          <w:rFonts w:ascii="宋体" w:hAnsi="宋体" w:eastAsia="宋体" w:cs="宋体"/>
          <w:spacing w:val="-1"/>
          <w:sz w:val="24"/>
          <w:szCs w:val="24"/>
        </w:rPr>
        <w:t>为赛事服务项目，</w:t>
      </w:r>
      <w:r>
        <w:rPr>
          <w:rFonts w:ascii="宋体" w:hAnsi="宋体" w:eastAsia="宋体" w:cs="宋体"/>
          <w:spacing w:val="-2"/>
          <w:sz w:val="24"/>
          <w:szCs w:val="24"/>
        </w:rPr>
        <w:t>为确保赛事能够按时、按质、按量完成，投标人需作以下承诺（</w:t>
      </w: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提供承诺函</w:t>
      </w:r>
      <w:r>
        <w:rPr>
          <w:rFonts w:ascii="宋体" w:hAnsi="宋体" w:eastAsia="宋体" w:cs="宋体"/>
          <w:b/>
          <w:bCs/>
          <w:spacing w:val="23"/>
          <w:sz w:val="24"/>
          <w:szCs w:val="24"/>
        </w:rPr>
        <w:t>）：</w:t>
      </w:r>
      <w:r>
        <w:rPr>
          <w:rFonts w:ascii="宋体" w:hAnsi="宋体" w:eastAsia="宋体" w:cs="宋体"/>
          <w:spacing w:val="-2"/>
          <w:sz w:val="24"/>
          <w:szCs w:val="24"/>
        </w:rPr>
        <w:t>中标</w:t>
      </w:r>
      <w:r>
        <w:rPr>
          <w:rFonts w:ascii="宋体" w:hAnsi="宋体" w:eastAsia="宋体" w:cs="宋体"/>
          <w:spacing w:val="-5"/>
          <w:sz w:val="24"/>
          <w:szCs w:val="24"/>
        </w:rPr>
        <w:t>后按采购人要求完成以下几点：</w:t>
      </w:r>
    </w:p>
    <w:p w14:paraId="60F45025">
      <w:pPr>
        <w:spacing w:before="2" w:line="353" w:lineRule="auto"/>
        <w:ind w:left="21" w:right="6" w:firstLine="4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1.根据比赛赛事的要求，完成赛事服务方案，方案必须取得赛事主办方及业主方</w:t>
      </w:r>
      <w:r>
        <w:rPr>
          <w:rFonts w:ascii="宋体" w:hAnsi="宋体" w:eastAsia="宋体" w:cs="宋体"/>
          <w:spacing w:val="-16"/>
          <w:sz w:val="24"/>
          <w:szCs w:val="24"/>
        </w:rPr>
        <w:t>的通过；</w:t>
      </w:r>
    </w:p>
    <w:p w14:paraId="7A05460B">
      <w:pPr>
        <w:spacing w:line="219" w:lineRule="auto"/>
        <w:ind w:right="40"/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2.根据方案及赛事要求，确保所有赛事所需设备及物</w:t>
      </w:r>
      <w:r>
        <w:rPr>
          <w:rFonts w:ascii="宋体" w:hAnsi="宋体" w:eastAsia="宋体" w:cs="宋体"/>
          <w:spacing w:val="-2"/>
          <w:sz w:val="24"/>
          <w:szCs w:val="24"/>
        </w:rPr>
        <w:t>料按时按量到达赛事现场。</w:t>
      </w:r>
    </w:p>
    <w:p w14:paraId="72F3735A">
      <w:pPr>
        <w:spacing w:before="176" w:line="355" w:lineRule="auto"/>
        <w:ind w:right="6" w:firstLine="48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3.成交供应商若未能按照承诺内容执行，导</w:t>
      </w:r>
      <w:r>
        <w:rPr>
          <w:rFonts w:ascii="宋体" w:hAnsi="宋体" w:eastAsia="宋体" w:cs="宋体"/>
          <w:spacing w:val="-1"/>
          <w:sz w:val="24"/>
          <w:szCs w:val="24"/>
        </w:rPr>
        <w:t>致赛事无法如期、按质完成，采购人</w:t>
      </w:r>
      <w:r>
        <w:rPr>
          <w:rFonts w:ascii="宋体" w:hAnsi="宋体" w:eastAsia="宋体" w:cs="宋体"/>
          <w:sz w:val="24"/>
          <w:szCs w:val="24"/>
        </w:rPr>
        <w:t>将依照政府采购法及民法典等相关条例上报监管部门依法处理，</w:t>
      </w:r>
      <w:r>
        <w:rPr>
          <w:rFonts w:ascii="宋体" w:hAnsi="宋体" w:eastAsia="宋体" w:cs="宋体"/>
          <w:spacing w:val="-1"/>
          <w:sz w:val="24"/>
          <w:szCs w:val="24"/>
        </w:rPr>
        <w:t>响应供应商将承担所</w:t>
      </w:r>
      <w:r>
        <w:rPr>
          <w:rFonts w:ascii="宋体" w:hAnsi="宋体" w:eastAsia="宋体" w:cs="宋体"/>
          <w:spacing w:val="-8"/>
          <w:sz w:val="24"/>
          <w:szCs w:val="24"/>
        </w:rPr>
        <w:t>有责任。</w:t>
      </w:r>
    </w:p>
    <w:p w14:paraId="2EA966C8">
      <w:pPr>
        <w:spacing w:before="176" w:line="355" w:lineRule="auto"/>
        <w:ind w:right="6" w:firstLine="486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⻘少年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拳击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比赛器材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服务</w:t>
      </w:r>
    </w:p>
    <w:tbl>
      <w:tblPr>
        <w:tblStyle w:val="3"/>
        <w:tblW w:w="508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1747"/>
        <w:gridCol w:w="806"/>
        <w:gridCol w:w="784"/>
        <w:gridCol w:w="2810"/>
        <w:gridCol w:w="1865"/>
      </w:tblGrid>
      <w:tr w14:paraId="63AFC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F423A4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拳击项目器材</w:t>
            </w:r>
          </w:p>
        </w:tc>
      </w:tr>
      <w:tr w14:paraId="5F5AC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3924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358C91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竞赛器材</w:t>
            </w:r>
          </w:p>
        </w:tc>
        <w:tc>
          <w:tcPr>
            <w:tcW w:w="10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1244E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 w14:paraId="6CFC8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16A4E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0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FB3CD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器材名称</w:t>
            </w: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BBED9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4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FCC35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6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E830E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技术参数/要求</w:t>
            </w:r>
          </w:p>
        </w:tc>
        <w:tc>
          <w:tcPr>
            <w:tcW w:w="1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DE702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0BD35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512E0">
            <w:pPr>
              <w:spacing w:before="176" w:line="355" w:lineRule="auto"/>
              <w:ind w:right="6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21CD1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拳击台</w:t>
            </w: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AD172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36975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6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9A37D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拳击比赛专用，符合 GB T 23868-2009</w:t>
            </w:r>
          </w:p>
        </w:tc>
        <w:tc>
          <w:tcPr>
            <w:tcW w:w="1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4F440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 w14:paraId="190D8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7550B">
            <w:pPr>
              <w:spacing w:before="176" w:line="355" w:lineRule="auto"/>
              <w:ind w:right="6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37297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训练拳台</w:t>
            </w:r>
          </w:p>
        </w:tc>
        <w:tc>
          <w:tcPr>
            <w:tcW w:w="4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E6499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07303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6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7B836">
            <w:pPr>
              <w:spacing w:before="176" w:line="355" w:lineRule="auto"/>
              <w:ind w:right="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标准训练型</w:t>
            </w:r>
          </w:p>
        </w:tc>
        <w:tc>
          <w:tcPr>
            <w:tcW w:w="1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5ACF9">
            <w:pPr>
              <w:spacing w:before="176" w:line="355" w:lineRule="auto"/>
              <w:ind w:right="6" w:firstLine="486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</w:tbl>
    <w:p w14:paraId="1EBF2EED">
      <w:pP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br w:type="page"/>
      </w:r>
      <w:bookmarkStart w:id="0" w:name="_GoBack"/>
      <w:bookmarkEnd w:id="0"/>
    </w:p>
    <w:p w14:paraId="0860C67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CC886D">
    <w:pPr>
      <w:pStyle w:val="2"/>
      <w:spacing w:line="235" w:lineRule="exact"/>
      <w:ind w:left="4357"/>
      <w:rPr>
        <w:sz w:val="18"/>
        <w:szCs w:val="18"/>
      </w:rPr>
    </w:pPr>
    <w:r>
      <w:rPr>
        <w:spacing w:val="-2"/>
        <w:position w:val="1"/>
        <w:sz w:val="18"/>
        <w:szCs w:val="18"/>
      </w:rPr>
      <w:t>64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75A12B">
    <w:pPr>
      <w:pStyle w:val="2"/>
      <w:spacing w:line="235" w:lineRule="exact"/>
      <w:ind w:left="4348"/>
      <w:rPr>
        <w:sz w:val="18"/>
        <w:szCs w:val="18"/>
      </w:rPr>
    </w:pPr>
    <w:r>
      <w:rPr>
        <w:spacing w:val="-2"/>
        <w:position w:val="1"/>
        <w:sz w:val="18"/>
        <w:szCs w:val="18"/>
      </w:rPr>
      <w:t>65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A9FCD">
    <w:pPr>
      <w:pStyle w:val="2"/>
      <w:spacing w:line="235" w:lineRule="exact"/>
      <w:ind w:left="4348"/>
      <w:rPr>
        <w:sz w:val="18"/>
        <w:szCs w:val="18"/>
      </w:rPr>
    </w:pPr>
    <w:r>
      <w:rPr>
        <w:spacing w:val="-2"/>
        <w:position w:val="1"/>
        <w:sz w:val="18"/>
        <w:szCs w:val="18"/>
      </w:rPr>
      <w:t>66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96E5B6">
    <w:pPr>
      <w:pStyle w:val="2"/>
      <w:spacing w:line="235" w:lineRule="exact"/>
      <w:ind w:left="4442"/>
      <w:rPr>
        <w:sz w:val="18"/>
        <w:szCs w:val="18"/>
      </w:rPr>
    </w:pPr>
    <w:r>
      <w:rPr>
        <w:spacing w:val="-2"/>
        <w:position w:val="1"/>
        <w:sz w:val="18"/>
        <w:szCs w:val="18"/>
      </w:rPr>
      <w:t>67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BA2FED">
    <w:pPr>
      <w:pStyle w:val="2"/>
      <w:spacing w:line="235" w:lineRule="exact"/>
      <w:ind w:left="4442"/>
      <w:rPr>
        <w:sz w:val="18"/>
        <w:szCs w:val="18"/>
      </w:rPr>
    </w:pPr>
    <w:r>
      <w:rPr>
        <w:spacing w:val="-2"/>
        <w:position w:val="1"/>
        <w:sz w:val="18"/>
        <w:szCs w:val="18"/>
      </w:rPr>
      <w:t>68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EED8C">
    <w:pPr>
      <w:pStyle w:val="2"/>
      <w:spacing w:line="235" w:lineRule="exact"/>
      <w:ind w:left="4442"/>
      <w:rPr>
        <w:sz w:val="18"/>
        <w:szCs w:val="18"/>
      </w:rPr>
    </w:pPr>
    <w:r>
      <w:rPr>
        <w:spacing w:val="-2"/>
        <w:position w:val="1"/>
        <w:sz w:val="18"/>
        <w:szCs w:val="18"/>
      </w:rPr>
      <w:t>69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661D1C">
    <w:pPr>
      <w:pStyle w:val="2"/>
      <w:spacing w:line="235" w:lineRule="exact"/>
      <w:ind w:left="4443"/>
      <w:rPr>
        <w:sz w:val="18"/>
        <w:szCs w:val="18"/>
      </w:rPr>
    </w:pPr>
    <w:r>
      <w:rPr>
        <w:spacing w:val="-3"/>
        <w:position w:val="1"/>
        <w:sz w:val="18"/>
        <w:szCs w:val="18"/>
      </w:rPr>
      <w:t>70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63B7C4">
    <w:pPr>
      <w:pStyle w:val="2"/>
      <w:spacing w:line="182" w:lineRule="auto"/>
      <w:ind w:left="4443"/>
      <w:rPr>
        <w:sz w:val="18"/>
        <w:szCs w:val="18"/>
      </w:rPr>
    </w:pPr>
    <w:r>
      <w:rPr>
        <w:spacing w:val="-3"/>
        <w:sz w:val="18"/>
        <w:szCs w:val="18"/>
      </w:rPr>
      <w:t>71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4A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customStyle="1" w:styleId="5">
    <w:name w:val="Table Text"/>
    <w:basedOn w:val="1"/>
    <w:semiHidden/>
    <w:qFormat/>
    <w:uiPriority w:val="0"/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2026-06-10T03:52:02Z</dcterms:created>
  <dc:creator>火星一号</dc:creator>
  <cp:lastModifiedBy>火星一号</cp:lastModifiedBy>
  <dcterms:modified xsi:type="dcterms:W3CDTF">2026-06-10T03:52:07Z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eyJoZGlkIjoiNGExYzIwMDNiMGYxM2FjY2U3ZjYzNDk1OGI5YmM2YWEiLCJ1c2VySWQiOiIzMDQyNTE4MTIifQ==</vt:lpwstr>
  </property>
  <property fmtid="{D5CDD505-2E9C-101B-9397-08002B2CF9AE}" pid="4" name="ICV">
    <vt:lpwstr>8013ACE9942A40C39019A81FF6887BD5_12</vt:lpwstr>
  </property>
</Properties>
</file>