
<file path=[Content_Types].xml><?xml version="1.0" encoding="utf-8"?>
<Types xmlns="http://schemas.openxmlformats.org/package/2006/content-types">
  <Default Extension="xml" ContentType="application/xml"/>
  <Default Extension="wmf" ContentType="image/x-wmf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5" Type="http://schemas.openxmlformats.org/officeDocument/2006/relationships/officeDocument" Target="word/document.xml"/><Relationship Id="rId1" Type="http://schemas.openxmlformats.org/package/2006/relationships/metadata/thumbnail" Target="docProps/thumbnail.wmf"/><Relationship Id="rId3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3A914A6">
      <w:pPr>
        <w:pageBreakBefore w:val="0"/>
        <w:widowControl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jc w:val="left"/>
        <w:textAlignment w:val="baseline"/>
        <w:rPr>
          <w:rFonts w:hint="eastAsia" w:ascii="宋体" w:hAnsi="宋体" w:eastAsia="宋体" w:cs="宋体"/>
          <w:snapToGrid w:val="0"/>
          <w:color w:val="auto"/>
          <w:spacing w:val="0"/>
          <w:kern w:val="0"/>
          <w:szCs w:val="21"/>
          <w:highlight w:val="none"/>
          <w:lang w:eastAsia="en-US"/>
        </w:rPr>
      </w:pPr>
    </w:p>
    <w:p w14:paraId="3D23B372">
      <w:pPr>
        <w:keepNext/>
        <w:keepLines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0" w:beforeLines="100" w:after="0" w:afterLines="100" w:line="240" w:lineRule="auto"/>
        <w:jc w:val="left"/>
        <w:textAlignment w:val="baseline"/>
        <w:outlineLvl w:val="1"/>
        <w:rPr>
          <w:rFonts w:hint="eastAsia" w:ascii="宋体" w:hAnsi="宋体" w:eastAsia="宋体" w:cs="宋体"/>
          <w:b/>
          <w:bCs/>
          <w:snapToGrid w:val="0"/>
          <w:color w:val="auto"/>
          <w:sz w:val="28"/>
          <w:szCs w:val="28"/>
          <w:lang w:val="en-US" w:eastAsia="en-US" w:bidi="ar-SA"/>
        </w:rPr>
      </w:pPr>
      <w:bookmarkStart w:id="0" w:name="_Toc26176"/>
      <w:bookmarkStart w:id="1" w:name="_Toc21427"/>
      <w:r>
        <w:rPr>
          <w:rFonts w:hint="eastAsia" w:ascii="宋体" w:hAnsi="宋体" w:eastAsia="宋体" w:cs="宋体"/>
          <w:b/>
          <w:bCs/>
          <w:snapToGrid w:val="0"/>
          <w:color w:val="auto"/>
          <w:sz w:val="28"/>
          <w:szCs w:val="28"/>
          <w:lang w:val="en-US" w:eastAsia="en-US" w:bidi="ar-SA"/>
        </w:rPr>
        <w:t>一、</w:t>
      </w:r>
      <w:r>
        <w:rPr>
          <w:rFonts w:hint="eastAsia" w:ascii="宋体" w:hAnsi="宋体" w:eastAsia="宋体" w:cs="宋体"/>
          <w:b/>
          <w:bCs/>
          <w:snapToGrid w:val="0"/>
          <w:color w:val="auto"/>
          <w:sz w:val="28"/>
          <w:szCs w:val="28"/>
          <w:lang w:val="en-US" w:eastAsia="zh-CN" w:bidi="ar-SA"/>
        </w:rPr>
        <w:t>采购</w:t>
      </w:r>
      <w:r>
        <w:rPr>
          <w:rFonts w:hint="eastAsia" w:ascii="宋体" w:hAnsi="宋体" w:eastAsia="宋体" w:cs="宋体"/>
          <w:b/>
          <w:bCs/>
          <w:snapToGrid w:val="0"/>
          <w:color w:val="auto"/>
          <w:sz w:val="28"/>
          <w:szCs w:val="28"/>
          <w:lang w:val="en-US" w:eastAsia="en-US" w:bidi="ar-SA"/>
        </w:rPr>
        <w:t>需求表</w:t>
      </w:r>
      <w:bookmarkEnd w:id="0"/>
      <w:bookmarkEnd w:id="1"/>
    </w:p>
    <w:p w14:paraId="044BC4C0">
      <w:pPr>
        <w:pageBreakBefore w:val="0"/>
        <w:widowControl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64"/>
        <w:jc w:val="left"/>
        <w:textAlignment w:val="baseline"/>
        <w:rPr>
          <w:rFonts w:hint="eastAsia" w:ascii="宋体" w:hAnsi="宋体" w:eastAsia="宋体" w:cs="宋体"/>
          <w:snapToGrid w:val="0"/>
          <w:color w:val="auto"/>
          <w:spacing w:val="0"/>
          <w:kern w:val="0"/>
          <w:szCs w:val="21"/>
          <w:highlight w:val="none"/>
          <w:lang w:eastAsia="en-US"/>
        </w:rPr>
      </w:pPr>
    </w:p>
    <w:tbl>
      <w:tblPr>
        <w:tblStyle w:val="5"/>
        <w:tblW w:w="9015" w:type="dxa"/>
        <w:tblInd w:w="-309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2048"/>
        <w:gridCol w:w="817"/>
        <w:gridCol w:w="6150"/>
      </w:tblGrid>
      <w:tr w14:paraId="7776E030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292" w:hRule="atLeast"/>
        </w:trPr>
        <w:tc>
          <w:tcPr>
            <w:tcW w:w="2048" w:type="dxa"/>
            <w:tcBorders>
              <w:right w:val="nil"/>
            </w:tcBorders>
          </w:tcPr>
          <w:p w14:paraId="2E1462A9">
            <w:pPr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183" w:line="223" w:lineRule="auto"/>
              <w:ind w:left="1091"/>
              <w:jc w:val="left"/>
              <w:textAlignment w:val="baseline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sz w:val="24"/>
                <w:szCs w:val="24"/>
                <w:highlight w:val="none"/>
                <w:lang w:eastAsia="en-US"/>
              </w:rPr>
            </w:pPr>
            <w:bookmarkStart w:id="5" w:name="_GoBack"/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szCs w:val="21"/>
                <w:highlight w:val="none"/>
                <w:lang w:eastAsia="en-US"/>
              </w:rPr>
              <w:drawing>
                <wp:anchor distT="0" distB="0" distL="0" distR="0" simplePos="0" relativeHeight="251661312" behindDoc="1" locked="0" layoutInCell="1" allowOverlap="1">
                  <wp:simplePos x="0" y="0"/>
                  <wp:positionH relativeFrom="column">
                    <wp:posOffset>6985</wp:posOffset>
                  </wp:positionH>
                  <wp:positionV relativeFrom="paragraph">
                    <wp:posOffset>0</wp:posOffset>
                  </wp:positionV>
                  <wp:extent cx="1805305" cy="1485265"/>
                  <wp:effectExtent l="0" t="0" r="4445" b="635"/>
                  <wp:wrapNone/>
                  <wp:docPr id="6" name="IM 6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" name="IM 6"/>
                          <pic:cNvPicPr/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805051" cy="148544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  <w:bookmarkEnd w:id="5"/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sz w:val="24"/>
                <w:szCs w:val="24"/>
                <w:highlight w:val="none"/>
                <w:lang w:eastAsia="en-US"/>
              </w:rPr>
              <w:t>名</w:t>
            </w:r>
          </w:p>
          <w:p w14:paraId="64065C02">
            <w:pPr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5" w:lineRule="auto"/>
              <w:textAlignment w:val="baseline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sz w:val="21"/>
                <w:szCs w:val="21"/>
                <w:highlight w:val="none"/>
                <w:lang w:val="en-US" w:eastAsia="en-US" w:bidi="ar-SA"/>
              </w:rPr>
            </w:pPr>
          </w:p>
          <w:p w14:paraId="28FE8300">
            <w:pPr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6" w:lineRule="auto"/>
              <w:textAlignment w:val="baseline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sz w:val="21"/>
                <w:szCs w:val="21"/>
                <w:highlight w:val="none"/>
                <w:lang w:val="en-US" w:eastAsia="en-US" w:bidi="ar-SA"/>
              </w:rPr>
            </w:pPr>
          </w:p>
          <w:p w14:paraId="3E9C7258">
            <w:pPr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78" w:line="219" w:lineRule="auto"/>
              <w:ind w:left="481"/>
              <w:jc w:val="left"/>
              <w:textAlignment w:val="baseline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sz w:val="24"/>
                <w:szCs w:val="24"/>
                <w:highlight w:val="none"/>
                <w:lang w:eastAsia="en-US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sz w:val="24"/>
                <w:szCs w:val="24"/>
                <w:highlight w:val="none"/>
                <w:lang w:eastAsia="en-US"/>
              </w:rPr>
              <w:t>内</w:t>
            </w:r>
          </w:p>
          <w:p w14:paraId="5FF369D0">
            <w:pPr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38" w:lineRule="auto"/>
              <w:textAlignment w:val="baseline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sz w:val="21"/>
                <w:szCs w:val="21"/>
                <w:highlight w:val="none"/>
                <w:lang w:val="en-US" w:eastAsia="en-US" w:bidi="ar-SA"/>
              </w:rPr>
            </w:pPr>
          </w:p>
          <w:p w14:paraId="3FCCD481">
            <w:pPr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78" w:line="220" w:lineRule="auto"/>
              <w:ind w:left="1311"/>
              <w:jc w:val="left"/>
              <w:textAlignment w:val="baseline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sz w:val="24"/>
                <w:szCs w:val="24"/>
                <w:highlight w:val="none"/>
                <w:lang w:eastAsia="en-US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sz w:val="24"/>
                <w:szCs w:val="24"/>
                <w:highlight w:val="none"/>
                <w:lang w:eastAsia="en-US"/>
              </w:rPr>
              <w:t>容</w:t>
            </w:r>
          </w:p>
        </w:tc>
        <w:tc>
          <w:tcPr>
            <w:tcW w:w="817" w:type="dxa"/>
            <w:tcBorders>
              <w:left w:val="nil"/>
            </w:tcBorders>
          </w:tcPr>
          <w:p w14:paraId="39177A5E">
            <w:pPr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63" w:lineRule="auto"/>
              <w:textAlignment w:val="baseline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sz w:val="21"/>
                <w:szCs w:val="21"/>
                <w:highlight w:val="none"/>
                <w:lang w:val="en-US" w:eastAsia="en-US" w:bidi="ar-SA"/>
              </w:rPr>
            </w:pPr>
          </w:p>
          <w:p w14:paraId="76B57F9C">
            <w:pPr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63" w:lineRule="auto"/>
              <w:textAlignment w:val="baseline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sz w:val="21"/>
                <w:szCs w:val="21"/>
                <w:highlight w:val="none"/>
                <w:lang w:val="en-US" w:eastAsia="en-US" w:bidi="ar-SA"/>
              </w:rPr>
            </w:pPr>
          </w:p>
          <w:p w14:paraId="296BFB31">
            <w:pPr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64" w:lineRule="auto"/>
              <w:textAlignment w:val="baseline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sz w:val="21"/>
                <w:szCs w:val="21"/>
                <w:highlight w:val="none"/>
                <w:lang w:val="en-US" w:eastAsia="en-US" w:bidi="ar-SA"/>
              </w:rPr>
            </w:pPr>
          </w:p>
          <w:p w14:paraId="04E7AFAF">
            <w:pPr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78" w:line="221" w:lineRule="auto"/>
              <w:ind w:left="192"/>
              <w:jc w:val="left"/>
              <w:textAlignment w:val="baseline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sz w:val="24"/>
                <w:szCs w:val="24"/>
                <w:highlight w:val="none"/>
                <w:lang w:eastAsia="en-US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sz w:val="24"/>
                <w:szCs w:val="24"/>
                <w:highlight w:val="none"/>
                <w:lang w:eastAsia="en-US"/>
              </w:rPr>
              <w:t>称</w:t>
            </w:r>
          </w:p>
        </w:tc>
        <w:tc>
          <w:tcPr>
            <w:tcW w:w="6150" w:type="dxa"/>
            <w:vAlign w:val="center"/>
          </w:tcPr>
          <w:p w14:paraId="6F758AFB">
            <w:pPr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jc w:val="center"/>
              <w:textAlignment w:val="baseline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szCs w:val="21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sz w:val="21"/>
                <w:szCs w:val="21"/>
                <w:highlight w:val="none"/>
                <w:lang w:val="en-US" w:eastAsia="zh-CN" w:bidi="ar-SA"/>
              </w:rPr>
              <w:t>2026年度欠发达国有林场巩固提升林下套种森林药材岗梅项目</w:t>
            </w:r>
          </w:p>
        </w:tc>
      </w:tr>
      <w:tr w14:paraId="41781CB3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4" w:hRule="atLeast"/>
        </w:trPr>
        <w:tc>
          <w:tcPr>
            <w:tcW w:w="2865" w:type="dxa"/>
            <w:gridSpan w:val="2"/>
          </w:tcPr>
          <w:p w14:paraId="4AD245E2">
            <w:pPr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253" w:line="219" w:lineRule="auto"/>
              <w:ind w:left="1188"/>
              <w:jc w:val="left"/>
              <w:textAlignment w:val="baseline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sz w:val="24"/>
                <w:szCs w:val="24"/>
                <w:highlight w:val="none"/>
                <w:lang w:eastAsia="en-US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sz w:val="24"/>
                <w:szCs w:val="24"/>
                <w:highlight w:val="none"/>
                <w:lang w:eastAsia="en-US"/>
              </w:rPr>
              <w:t>数量</w:t>
            </w:r>
          </w:p>
        </w:tc>
        <w:tc>
          <w:tcPr>
            <w:tcW w:w="6150" w:type="dxa"/>
            <w:vAlign w:val="center"/>
          </w:tcPr>
          <w:p w14:paraId="23BCD2BE">
            <w:pPr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jc w:val="center"/>
              <w:textAlignment w:val="baseline"/>
              <w:rPr>
                <w:rFonts w:hint="default" w:ascii="宋体" w:hAnsi="宋体" w:eastAsia="宋体" w:cs="宋体"/>
                <w:snapToGrid w:val="0"/>
                <w:color w:val="auto"/>
                <w:spacing w:val="0"/>
                <w:kern w:val="0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sz w:val="21"/>
                <w:szCs w:val="21"/>
                <w:highlight w:val="none"/>
                <w:lang w:val="en-US" w:eastAsia="zh-CN" w:bidi="ar-SA"/>
              </w:rPr>
              <w:t>1项</w:t>
            </w:r>
          </w:p>
        </w:tc>
      </w:tr>
      <w:tr w14:paraId="401C0D0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4" w:hRule="atLeast"/>
        </w:trPr>
        <w:tc>
          <w:tcPr>
            <w:tcW w:w="2865" w:type="dxa"/>
            <w:gridSpan w:val="2"/>
          </w:tcPr>
          <w:p w14:paraId="18C27C59">
            <w:pPr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253" w:line="219" w:lineRule="auto"/>
              <w:ind w:left="1071"/>
              <w:jc w:val="left"/>
              <w:textAlignment w:val="baseline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sz w:val="24"/>
                <w:szCs w:val="24"/>
                <w:highlight w:val="none"/>
                <w:lang w:eastAsia="en-US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sz w:val="24"/>
                <w:szCs w:val="24"/>
                <w:highlight w:val="none"/>
                <w:lang w:val="en-US" w:eastAsia="zh-CN"/>
              </w:rPr>
              <w:t>服务</w:t>
            </w: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sz w:val="24"/>
                <w:szCs w:val="24"/>
                <w:highlight w:val="none"/>
                <w:lang w:eastAsia="en-US"/>
              </w:rPr>
              <w:t>期</w:t>
            </w:r>
          </w:p>
        </w:tc>
        <w:tc>
          <w:tcPr>
            <w:tcW w:w="6150" w:type="dxa"/>
            <w:vAlign w:val="center"/>
          </w:tcPr>
          <w:p w14:paraId="3E0DCD19">
            <w:pPr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jc w:val="center"/>
              <w:textAlignment w:val="baseline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szCs w:val="21"/>
                <w:highlight w:val="none"/>
                <w:lang w:eastAsia="zh-CN"/>
              </w:rPr>
            </w:pPr>
            <w:r>
              <w:rPr>
                <w:rFonts w:hint="default" w:ascii="宋体" w:hAnsi="宋体" w:eastAsia="宋体" w:cs="宋体"/>
                <w:snapToGrid w:val="0"/>
                <w:color w:val="auto"/>
                <w:spacing w:val="0"/>
                <w:kern w:val="0"/>
                <w:sz w:val="21"/>
                <w:szCs w:val="21"/>
                <w:highlight w:val="none"/>
                <w:lang w:val="en-US" w:eastAsia="zh-CN" w:bidi="ar-SA"/>
              </w:rPr>
              <w:t>合同签订之日起至2026年12月31日前全部完工并通过县级自查、省级核查</w:t>
            </w:r>
          </w:p>
        </w:tc>
      </w:tr>
      <w:tr w14:paraId="47306590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4" w:hRule="atLeast"/>
        </w:trPr>
        <w:tc>
          <w:tcPr>
            <w:tcW w:w="2865" w:type="dxa"/>
            <w:gridSpan w:val="2"/>
          </w:tcPr>
          <w:p w14:paraId="4DE85BAA">
            <w:pPr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256" w:line="219" w:lineRule="auto"/>
              <w:ind w:left="951"/>
              <w:jc w:val="left"/>
              <w:textAlignment w:val="baseline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sz w:val="24"/>
                <w:szCs w:val="24"/>
                <w:highlight w:val="none"/>
                <w:lang w:eastAsia="en-US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sz w:val="24"/>
                <w:szCs w:val="24"/>
                <w:highlight w:val="none"/>
                <w:lang w:val="en-US" w:eastAsia="zh-CN"/>
              </w:rPr>
              <w:t>服务</w:t>
            </w: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sz w:val="24"/>
                <w:szCs w:val="24"/>
                <w:highlight w:val="none"/>
                <w:lang w:eastAsia="en-US"/>
              </w:rPr>
              <w:t>地点</w:t>
            </w:r>
          </w:p>
        </w:tc>
        <w:tc>
          <w:tcPr>
            <w:tcW w:w="6150" w:type="dxa"/>
            <w:vAlign w:val="center"/>
          </w:tcPr>
          <w:p w14:paraId="4898BC30">
            <w:pPr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jc w:val="center"/>
              <w:textAlignment w:val="baseline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szCs w:val="21"/>
                <w:highlight w:val="none"/>
                <w:lang w:eastAsia="en-US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sz w:val="21"/>
                <w:szCs w:val="21"/>
                <w:highlight w:val="none"/>
                <w:lang w:val="en-US" w:eastAsia="en-US" w:bidi="ar-SA"/>
              </w:rPr>
              <w:t>萍乡市南坑林场长丰分场（西岭背）</w:t>
            </w:r>
          </w:p>
        </w:tc>
      </w:tr>
      <w:tr w14:paraId="5D675D8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9" w:hRule="atLeast"/>
        </w:trPr>
        <w:tc>
          <w:tcPr>
            <w:tcW w:w="2865" w:type="dxa"/>
            <w:gridSpan w:val="2"/>
          </w:tcPr>
          <w:p w14:paraId="37B888B9">
            <w:pPr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256" w:line="221" w:lineRule="auto"/>
              <w:ind w:left="1189"/>
              <w:jc w:val="left"/>
              <w:textAlignment w:val="baseline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sz w:val="24"/>
                <w:szCs w:val="24"/>
                <w:highlight w:val="none"/>
                <w:lang w:eastAsia="en-US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sz w:val="24"/>
                <w:szCs w:val="24"/>
                <w:highlight w:val="none"/>
                <w:lang w:eastAsia="en-US"/>
              </w:rPr>
              <w:t>备注</w:t>
            </w:r>
          </w:p>
        </w:tc>
        <w:tc>
          <w:tcPr>
            <w:tcW w:w="6150" w:type="dxa"/>
            <w:vAlign w:val="center"/>
          </w:tcPr>
          <w:p w14:paraId="4B2F005D">
            <w:pPr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jc w:val="center"/>
              <w:textAlignment w:val="baseline"/>
              <w:rPr>
                <w:rFonts w:hint="eastAsia" w:ascii="宋体" w:hAnsi="宋体" w:eastAsia="宋体" w:cs="宋体"/>
                <w:snapToGrid w:val="0"/>
                <w:color w:val="auto"/>
                <w:spacing w:val="0"/>
                <w:kern w:val="0"/>
                <w:szCs w:val="21"/>
                <w:highlight w:val="none"/>
                <w:lang w:eastAsia="en-US"/>
              </w:rPr>
            </w:pPr>
          </w:p>
        </w:tc>
      </w:tr>
    </w:tbl>
    <w:p w14:paraId="1FEDBA39">
      <w:pPr>
        <w:pageBreakBefore w:val="0"/>
        <w:widowControl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jc w:val="left"/>
        <w:textAlignment w:val="baseline"/>
        <w:rPr>
          <w:rFonts w:hint="eastAsia" w:ascii="宋体" w:hAnsi="宋体" w:eastAsia="宋体" w:cs="宋体"/>
          <w:snapToGrid w:val="0"/>
          <w:color w:val="auto"/>
          <w:spacing w:val="0"/>
          <w:kern w:val="0"/>
          <w:szCs w:val="21"/>
          <w:highlight w:val="none"/>
          <w:lang w:eastAsia="en-US"/>
        </w:rPr>
      </w:pPr>
    </w:p>
    <w:p w14:paraId="24A90610">
      <w:pPr>
        <w:pageBreakBefore w:val="0"/>
        <w:widowControl w:val="0"/>
        <w:wordWrap/>
        <w:overflowPunct/>
        <w:topLinePunct w:val="0"/>
        <w:bidi w:val="0"/>
        <w:rPr>
          <w:rFonts w:hint="eastAsia" w:ascii="宋体" w:hAnsi="宋体" w:eastAsia="宋体" w:cs="宋体"/>
          <w:color w:val="auto"/>
          <w:spacing w:val="0"/>
          <w:highlight w:val="none"/>
        </w:rPr>
        <w:sectPr>
          <w:footerReference r:id="rId3" w:type="default"/>
          <w:pgSz w:w="11906" w:h="16839"/>
          <w:pgMar w:top="1232" w:right="1786" w:bottom="1156" w:left="1786" w:header="850" w:footer="850" w:gutter="0"/>
          <w:pgNumType w:fmt="decimal"/>
          <w:cols w:space="720" w:num="1"/>
          <w:rtlGutter w:val="0"/>
          <w:docGrid w:linePitch="0" w:charSpace="0"/>
        </w:sectPr>
      </w:pPr>
    </w:p>
    <w:p w14:paraId="20166973">
      <w:pPr>
        <w:keepNext/>
        <w:keepLines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0" w:beforeLines="100" w:after="0" w:afterLines="100" w:line="240" w:lineRule="auto"/>
        <w:jc w:val="center"/>
        <w:textAlignment w:val="baseline"/>
        <w:outlineLvl w:val="1"/>
        <w:rPr>
          <w:rFonts w:hint="eastAsia" w:ascii="宋体" w:hAnsi="宋体" w:eastAsia="宋体" w:cs="宋体"/>
          <w:b/>
          <w:bCs/>
          <w:snapToGrid w:val="0"/>
          <w:color w:val="auto"/>
          <w:sz w:val="28"/>
          <w:szCs w:val="28"/>
          <w:lang w:val="en-US" w:eastAsia="en-US" w:bidi="ar-SA"/>
        </w:rPr>
      </w:pPr>
      <w:bookmarkStart w:id="2" w:name="bookmark81"/>
      <w:bookmarkEnd w:id="2"/>
      <w:bookmarkStart w:id="3" w:name="_Toc12248"/>
      <w:bookmarkStart w:id="4" w:name="_Toc17088"/>
      <w:r>
        <w:rPr>
          <w:rFonts w:hint="eastAsia" w:ascii="宋体" w:hAnsi="宋体" w:eastAsia="宋体" w:cs="宋体"/>
          <w:b/>
          <w:bCs/>
          <w:snapToGrid w:val="0"/>
          <w:color w:val="auto"/>
          <w:sz w:val="28"/>
          <w:szCs w:val="28"/>
          <w:lang w:val="en-US" w:eastAsia="en-US" w:bidi="ar-SA"/>
        </w:rPr>
        <w:t>二、采购</w:t>
      </w:r>
      <w:r>
        <w:rPr>
          <w:rFonts w:hint="eastAsia" w:ascii="宋体" w:hAnsi="宋体" w:eastAsia="宋体" w:cs="宋体"/>
          <w:b/>
          <w:bCs/>
          <w:snapToGrid w:val="0"/>
          <w:color w:val="auto"/>
          <w:sz w:val="28"/>
          <w:szCs w:val="28"/>
          <w:lang w:val="en-US" w:eastAsia="zh-CN" w:bidi="ar-SA"/>
        </w:rPr>
        <w:t>要</w:t>
      </w:r>
      <w:r>
        <w:rPr>
          <w:rFonts w:hint="eastAsia" w:ascii="宋体" w:hAnsi="宋体" w:eastAsia="宋体" w:cs="宋体"/>
          <w:b/>
          <w:bCs/>
          <w:snapToGrid w:val="0"/>
          <w:color w:val="auto"/>
          <w:sz w:val="28"/>
          <w:szCs w:val="28"/>
          <w:lang w:val="en-US" w:eastAsia="en-US" w:bidi="ar-SA"/>
        </w:rPr>
        <w:t>求</w:t>
      </w:r>
      <w:bookmarkEnd w:id="3"/>
      <w:bookmarkEnd w:id="4"/>
    </w:p>
    <w:p w14:paraId="243349A5">
      <w:pPr>
        <w:keepNext w:val="0"/>
        <w:keepLines w:val="0"/>
        <w:pageBreakBefore w:val="0"/>
        <w:widowControl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jc w:val="left"/>
        <w:textAlignment w:val="baseline"/>
        <w:rPr>
          <w:rFonts w:hint="eastAsia" w:ascii="宋体" w:hAnsi="宋体" w:eastAsia="宋体" w:cs="宋体"/>
          <w:b/>
          <w:bCs/>
          <w:snapToGrid w:val="0"/>
          <w:color w:val="auto"/>
          <w:spacing w:val="0"/>
          <w:kern w:val="0"/>
          <w:sz w:val="22"/>
          <w:szCs w:val="22"/>
          <w:highlight w:val="none"/>
          <w:lang w:eastAsia="zh-CN"/>
        </w:rPr>
      </w:pPr>
    </w:p>
    <w:p w14:paraId="0C787D41">
      <w:pPr>
        <w:keepNext w:val="0"/>
        <w:keepLines w:val="0"/>
        <w:pageBreakBefore w:val="0"/>
        <w:widowControl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78" w:line="360" w:lineRule="auto"/>
        <w:jc w:val="left"/>
        <w:textAlignment w:val="baseline"/>
        <w:rPr>
          <w:rFonts w:hint="eastAsia" w:ascii="宋体" w:hAnsi="宋体" w:eastAsia="宋体" w:cs="宋体"/>
          <w:b/>
          <w:bCs/>
          <w:snapToGrid w:val="0"/>
          <w:color w:val="auto"/>
          <w:spacing w:val="0"/>
          <w:kern w:val="0"/>
          <w:sz w:val="28"/>
          <w:szCs w:val="28"/>
          <w:highlight w:val="none"/>
          <w:lang w:eastAsia="en-US"/>
        </w:rPr>
      </w:pPr>
      <w:r>
        <w:rPr>
          <w:rFonts w:hint="eastAsia" w:ascii="宋体" w:hAnsi="宋体" w:eastAsia="宋体" w:cs="宋体"/>
          <w:b/>
          <w:bCs/>
          <w:snapToGrid w:val="0"/>
          <w:color w:val="auto"/>
          <w:spacing w:val="0"/>
          <w:kern w:val="0"/>
          <w:sz w:val="28"/>
          <w:szCs w:val="28"/>
          <w:highlight w:val="none"/>
          <w:lang w:eastAsia="en-US"/>
        </w:rPr>
        <w:t>（一）</w:t>
      </w:r>
      <w:r>
        <w:rPr>
          <w:rFonts w:hint="eastAsia" w:ascii="宋体" w:hAnsi="宋体" w:eastAsia="宋体" w:cs="宋体"/>
          <w:b/>
          <w:bCs/>
          <w:snapToGrid w:val="0"/>
          <w:color w:val="auto"/>
          <w:spacing w:val="0"/>
          <w:kern w:val="0"/>
          <w:sz w:val="28"/>
          <w:szCs w:val="28"/>
          <w:highlight w:val="none"/>
          <w:lang w:val="en-US" w:eastAsia="zh-CN"/>
        </w:rPr>
        <w:t>服务</w:t>
      </w:r>
      <w:r>
        <w:rPr>
          <w:rFonts w:hint="eastAsia" w:ascii="宋体" w:hAnsi="宋体" w:eastAsia="宋体" w:cs="宋体"/>
          <w:b/>
          <w:bCs/>
          <w:snapToGrid w:val="0"/>
          <w:color w:val="auto"/>
          <w:spacing w:val="0"/>
          <w:kern w:val="0"/>
          <w:sz w:val="28"/>
          <w:szCs w:val="28"/>
          <w:highlight w:val="none"/>
          <w:lang w:eastAsia="en-US"/>
        </w:rPr>
        <w:t>需求</w:t>
      </w:r>
    </w:p>
    <w:p w14:paraId="69DE6CD5">
      <w:pPr>
        <w:keepNext w:val="0"/>
        <w:keepLines w:val="0"/>
        <w:pageBreakBefore w:val="0"/>
        <w:widowControl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jc w:val="left"/>
        <w:textAlignment w:val="baseline"/>
        <w:rPr>
          <w:rFonts w:hint="eastAsia" w:ascii="宋体" w:hAnsi="宋体" w:eastAsia="宋体" w:cs="宋体"/>
          <w:b/>
          <w:bCs/>
          <w:snapToGrid w:val="0"/>
          <w:color w:val="auto"/>
          <w:spacing w:val="0"/>
          <w:kern w:val="0"/>
          <w:sz w:val="24"/>
          <w:szCs w:val="24"/>
          <w:highlight w:val="none"/>
          <w:lang w:val="en-US" w:eastAsia="zh-CN"/>
        </w:rPr>
      </w:pPr>
      <w:r>
        <w:rPr>
          <w:rFonts w:hint="eastAsia" w:ascii="宋体" w:hAnsi="宋体" w:eastAsia="宋体" w:cs="宋体"/>
          <w:b/>
          <w:bCs/>
          <w:snapToGrid w:val="0"/>
          <w:color w:val="auto"/>
          <w:spacing w:val="0"/>
          <w:kern w:val="0"/>
          <w:sz w:val="24"/>
          <w:szCs w:val="24"/>
          <w:highlight w:val="none"/>
          <w:lang w:val="en-US" w:eastAsia="zh-CN"/>
        </w:rPr>
        <w:t>1.项目名称</w:t>
      </w:r>
    </w:p>
    <w:p w14:paraId="00CEC22D">
      <w:pPr>
        <w:keepNext w:val="0"/>
        <w:keepLines w:val="0"/>
        <w:pageBreakBefore w:val="0"/>
        <w:widowControl w:val="0"/>
        <w:numPr>
          <w:ilvl w:val="0"/>
          <w:numId w:val="0"/>
        </w:numPr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firstLine="480" w:firstLineChars="200"/>
        <w:jc w:val="left"/>
        <w:textAlignment w:val="baseline"/>
        <w:rPr>
          <w:rFonts w:hint="eastAsia" w:ascii="宋体" w:hAnsi="宋体" w:eastAsia="宋体" w:cs="宋体"/>
          <w:b w:val="0"/>
          <w:bCs w:val="0"/>
          <w:snapToGrid w:val="0"/>
          <w:color w:val="auto"/>
          <w:spacing w:val="0"/>
          <w:kern w:val="0"/>
          <w:sz w:val="24"/>
          <w:szCs w:val="24"/>
          <w:lang w:val="en-US" w:eastAsia="en-US" w:bidi="ar-SA"/>
        </w:rPr>
      </w:pPr>
      <w:r>
        <w:rPr>
          <w:rFonts w:hint="eastAsia" w:ascii="宋体" w:hAnsi="宋体" w:eastAsia="宋体" w:cs="宋体"/>
          <w:b w:val="0"/>
          <w:bCs w:val="0"/>
          <w:snapToGrid w:val="0"/>
          <w:color w:val="auto"/>
          <w:spacing w:val="0"/>
          <w:kern w:val="0"/>
          <w:sz w:val="24"/>
          <w:szCs w:val="24"/>
          <w:lang w:val="en-US" w:eastAsia="en-US" w:bidi="ar-SA"/>
        </w:rPr>
        <w:t>2026年度欠发达国有林场巩固提升林下套种森林药材岗梅项目</w:t>
      </w:r>
    </w:p>
    <w:p w14:paraId="42BE38A2">
      <w:pPr>
        <w:keepNext w:val="0"/>
        <w:keepLines w:val="0"/>
        <w:pageBreakBefore w:val="0"/>
        <w:widowControl w:val="0"/>
        <w:numPr>
          <w:ilvl w:val="0"/>
          <w:numId w:val="0"/>
        </w:numPr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jc w:val="left"/>
        <w:textAlignment w:val="baseline"/>
        <w:rPr>
          <w:rFonts w:hint="eastAsia" w:ascii="宋体" w:hAnsi="宋体" w:eastAsia="宋体" w:cs="宋体"/>
          <w:b/>
          <w:bCs/>
          <w:snapToGrid w:val="0"/>
          <w:color w:val="auto"/>
          <w:spacing w:val="0"/>
          <w:kern w:val="0"/>
          <w:sz w:val="24"/>
          <w:szCs w:val="24"/>
          <w:highlight w:val="none"/>
          <w:lang w:eastAsia="en-US"/>
        </w:rPr>
      </w:pPr>
      <w:r>
        <w:rPr>
          <w:rFonts w:hint="eastAsia" w:ascii="宋体" w:hAnsi="宋体" w:eastAsia="宋体" w:cs="宋体"/>
          <w:b/>
          <w:bCs/>
          <w:snapToGrid w:val="0"/>
          <w:color w:val="auto"/>
          <w:spacing w:val="0"/>
          <w:kern w:val="0"/>
          <w:sz w:val="24"/>
          <w:szCs w:val="24"/>
          <w:lang w:val="en-US" w:eastAsia="en-US" w:bidi="ar-SA"/>
        </w:rPr>
        <w:t>2.</w:t>
      </w:r>
      <w:r>
        <w:rPr>
          <w:rFonts w:hint="eastAsia" w:ascii="宋体" w:hAnsi="宋体" w:eastAsia="宋体" w:cs="宋体"/>
          <w:b/>
          <w:bCs/>
          <w:snapToGrid w:val="0"/>
          <w:color w:val="auto"/>
          <w:spacing w:val="0"/>
          <w:kern w:val="0"/>
          <w:sz w:val="24"/>
          <w:szCs w:val="24"/>
          <w:highlight w:val="none"/>
          <w:lang w:eastAsia="en-US"/>
        </w:rPr>
        <w:t>项目实施单位</w:t>
      </w:r>
    </w:p>
    <w:p w14:paraId="1D2EC3B6">
      <w:pPr>
        <w:keepNext w:val="0"/>
        <w:keepLines w:val="0"/>
        <w:pageBreakBefore w:val="0"/>
        <w:widowControl w:val="0"/>
        <w:numPr>
          <w:ilvl w:val="0"/>
          <w:numId w:val="0"/>
        </w:numPr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firstLine="480" w:firstLineChars="200"/>
        <w:jc w:val="left"/>
        <w:textAlignment w:val="baseline"/>
        <w:rPr>
          <w:rFonts w:hint="eastAsia" w:ascii="宋体" w:hAnsi="宋体" w:eastAsia="宋体" w:cs="宋体"/>
          <w:b w:val="0"/>
          <w:bCs w:val="0"/>
          <w:snapToGrid w:val="0"/>
          <w:color w:val="auto"/>
          <w:spacing w:val="0"/>
          <w:kern w:val="0"/>
          <w:sz w:val="24"/>
          <w:szCs w:val="24"/>
          <w:lang w:val="en-US" w:eastAsia="en-US" w:bidi="ar-SA"/>
        </w:rPr>
      </w:pPr>
      <w:r>
        <w:rPr>
          <w:rFonts w:hint="eastAsia" w:ascii="宋体" w:hAnsi="宋体" w:eastAsia="宋体" w:cs="宋体"/>
          <w:b w:val="0"/>
          <w:bCs w:val="0"/>
          <w:snapToGrid w:val="0"/>
          <w:color w:val="auto"/>
          <w:spacing w:val="0"/>
          <w:kern w:val="0"/>
          <w:sz w:val="24"/>
          <w:szCs w:val="24"/>
          <w:lang w:val="en-US" w:eastAsia="en-US" w:bidi="ar-SA"/>
        </w:rPr>
        <w:t>萍乡市南坑林场</w:t>
      </w:r>
    </w:p>
    <w:p w14:paraId="56EFFD3A">
      <w:pPr>
        <w:keepNext w:val="0"/>
        <w:keepLines w:val="0"/>
        <w:pageBreakBefore w:val="0"/>
        <w:widowControl w:val="0"/>
        <w:numPr>
          <w:ilvl w:val="0"/>
          <w:numId w:val="0"/>
        </w:numPr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jc w:val="left"/>
        <w:textAlignment w:val="baseline"/>
        <w:rPr>
          <w:rFonts w:hint="eastAsia" w:ascii="宋体" w:hAnsi="宋体" w:eastAsia="宋体" w:cs="宋体"/>
          <w:b/>
          <w:bCs/>
          <w:snapToGrid w:val="0"/>
          <w:color w:val="auto"/>
          <w:spacing w:val="0"/>
          <w:kern w:val="0"/>
          <w:sz w:val="24"/>
          <w:szCs w:val="24"/>
          <w:highlight w:val="none"/>
          <w:lang w:eastAsia="en-US"/>
        </w:rPr>
      </w:pPr>
      <w:r>
        <w:rPr>
          <w:rFonts w:hint="eastAsia" w:ascii="宋体" w:hAnsi="宋体" w:eastAsia="宋体" w:cs="宋体"/>
          <w:b/>
          <w:bCs/>
          <w:snapToGrid w:val="0"/>
          <w:color w:val="auto"/>
          <w:spacing w:val="0"/>
          <w:kern w:val="0"/>
          <w:sz w:val="24"/>
          <w:szCs w:val="24"/>
          <w:lang w:val="en-US" w:eastAsia="en-US" w:bidi="ar-SA"/>
        </w:rPr>
        <w:t>3.</w:t>
      </w:r>
      <w:r>
        <w:rPr>
          <w:rFonts w:hint="eastAsia" w:ascii="宋体" w:hAnsi="宋体" w:eastAsia="宋体" w:cs="宋体"/>
          <w:b/>
          <w:bCs/>
          <w:snapToGrid w:val="0"/>
          <w:color w:val="auto"/>
          <w:spacing w:val="0"/>
          <w:kern w:val="0"/>
          <w:sz w:val="24"/>
          <w:szCs w:val="24"/>
          <w:lang w:val="en-US" w:eastAsia="zh-CN" w:bidi="ar-SA"/>
        </w:rPr>
        <w:t>服务</w:t>
      </w:r>
      <w:r>
        <w:rPr>
          <w:rFonts w:hint="eastAsia" w:ascii="宋体" w:hAnsi="宋体" w:eastAsia="宋体" w:cs="宋体"/>
          <w:b/>
          <w:bCs/>
          <w:snapToGrid w:val="0"/>
          <w:color w:val="auto"/>
          <w:spacing w:val="0"/>
          <w:kern w:val="0"/>
          <w:sz w:val="24"/>
          <w:szCs w:val="24"/>
          <w:highlight w:val="none"/>
          <w:lang w:eastAsia="en-US"/>
        </w:rPr>
        <w:t>地点</w:t>
      </w:r>
    </w:p>
    <w:p w14:paraId="3FE135F5">
      <w:pPr>
        <w:keepNext w:val="0"/>
        <w:keepLines w:val="0"/>
        <w:pageBreakBefore w:val="0"/>
        <w:widowControl w:val="0"/>
        <w:numPr>
          <w:ilvl w:val="0"/>
          <w:numId w:val="0"/>
        </w:numPr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firstLine="480" w:firstLineChars="200"/>
        <w:jc w:val="both"/>
        <w:textAlignment w:val="baseline"/>
        <w:rPr>
          <w:rFonts w:hint="eastAsia" w:ascii="宋体" w:hAnsi="宋体" w:eastAsia="宋体" w:cs="宋体"/>
          <w:snapToGrid w:val="0"/>
          <w:color w:val="auto"/>
          <w:kern w:val="2"/>
          <w:sz w:val="24"/>
          <w:szCs w:val="24"/>
          <w:lang w:val="en-US" w:eastAsia="en-US" w:bidi="ar-SA"/>
        </w:rPr>
      </w:pPr>
      <w:r>
        <w:rPr>
          <w:rFonts w:hint="eastAsia" w:ascii="宋体" w:hAnsi="宋体" w:eastAsia="宋体" w:cs="宋体"/>
          <w:snapToGrid w:val="0"/>
          <w:color w:val="auto"/>
          <w:kern w:val="2"/>
          <w:sz w:val="24"/>
          <w:szCs w:val="24"/>
          <w:lang w:val="en-US" w:eastAsia="en-US" w:bidi="ar-SA"/>
        </w:rPr>
        <w:t>萍乡市南坑林场长丰分场（西岭背）</w:t>
      </w:r>
    </w:p>
    <w:p w14:paraId="449E92A8">
      <w:pPr>
        <w:keepNext w:val="0"/>
        <w:keepLines w:val="0"/>
        <w:pageBreakBefore w:val="0"/>
        <w:widowControl w:val="0"/>
        <w:numPr>
          <w:ilvl w:val="0"/>
          <w:numId w:val="1"/>
        </w:numPr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jc w:val="left"/>
        <w:textAlignment w:val="baseline"/>
        <w:rPr>
          <w:rFonts w:hint="eastAsia" w:ascii="宋体" w:hAnsi="宋体" w:eastAsia="宋体" w:cs="宋体"/>
          <w:b/>
          <w:bCs/>
          <w:snapToGrid w:val="0"/>
          <w:color w:val="auto"/>
          <w:spacing w:val="0"/>
          <w:kern w:val="0"/>
          <w:sz w:val="24"/>
          <w:szCs w:val="24"/>
          <w:highlight w:val="none"/>
          <w:lang w:eastAsia="en-US"/>
        </w:rPr>
      </w:pPr>
      <w:r>
        <w:rPr>
          <w:rFonts w:hint="eastAsia" w:ascii="宋体" w:hAnsi="宋体" w:eastAsia="宋体" w:cs="宋体"/>
          <w:b/>
          <w:bCs/>
          <w:snapToGrid w:val="0"/>
          <w:color w:val="auto"/>
          <w:spacing w:val="0"/>
          <w:kern w:val="0"/>
          <w:sz w:val="24"/>
          <w:szCs w:val="24"/>
          <w:highlight w:val="none"/>
          <w:lang w:val="en-US" w:eastAsia="zh-CN"/>
        </w:rPr>
        <w:t>服务</w:t>
      </w:r>
      <w:r>
        <w:rPr>
          <w:rFonts w:hint="eastAsia" w:ascii="宋体" w:hAnsi="宋体" w:eastAsia="宋体" w:cs="宋体"/>
          <w:b/>
          <w:bCs/>
          <w:snapToGrid w:val="0"/>
          <w:color w:val="auto"/>
          <w:spacing w:val="0"/>
          <w:kern w:val="0"/>
          <w:sz w:val="24"/>
          <w:szCs w:val="24"/>
          <w:highlight w:val="none"/>
          <w:lang w:eastAsia="en-US"/>
        </w:rPr>
        <w:t>内容</w:t>
      </w:r>
    </w:p>
    <w:p w14:paraId="1C179E49">
      <w:pPr>
        <w:keepNext w:val="0"/>
        <w:keepLines w:val="0"/>
        <w:pageBreakBefore w:val="0"/>
        <w:widowControl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firstLine="480" w:firstLineChars="200"/>
        <w:jc w:val="left"/>
        <w:textAlignment w:val="baseline"/>
        <w:rPr>
          <w:rFonts w:hint="eastAsia" w:ascii="宋体" w:hAnsi="宋体" w:eastAsia="宋体" w:cs="宋体"/>
          <w:b w:val="0"/>
          <w:bCs w:val="0"/>
          <w:snapToGrid w:val="0"/>
          <w:color w:val="auto"/>
          <w:spacing w:val="0"/>
          <w:kern w:val="0"/>
          <w:sz w:val="24"/>
          <w:szCs w:val="24"/>
          <w:highlight w:val="none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snapToGrid w:val="0"/>
          <w:color w:val="auto"/>
          <w:spacing w:val="0"/>
          <w:kern w:val="0"/>
          <w:sz w:val="24"/>
          <w:szCs w:val="24"/>
          <w:highlight w:val="none"/>
          <w:lang w:val="en-US" w:eastAsia="zh-CN"/>
        </w:rPr>
        <w:t>本项目为整体营造林服务采购，包含苗木供应、肥料供应、林地作业、栽植、施肥、抚育、资料归档等全流程服务。</w:t>
      </w:r>
    </w:p>
    <w:tbl>
      <w:tblPr>
        <w:tblStyle w:val="3"/>
        <w:tblW w:w="8520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shd w:val="clear" w:color="auto" w:fill="auto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36"/>
        <w:gridCol w:w="1901"/>
        <w:gridCol w:w="4174"/>
        <w:gridCol w:w="838"/>
        <w:gridCol w:w="971"/>
      </w:tblGrid>
      <w:tr w14:paraId="0DEFB32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70" w:hRule="atLeast"/>
        </w:trPr>
        <w:tc>
          <w:tcPr>
            <w:tcW w:w="636" w:type="dxa"/>
            <w:shd w:val="clear" w:color="auto" w:fill="auto"/>
            <w:vAlign w:val="center"/>
          </w:tcPr>
          <w:p w14:paraId="1A83A57D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eastAsia="en-US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序号</w:t>
            </w:r>
          </w:p>
        </w:tc>
        <w:tc>
          <w:tcPr>
            <w:tcW w:w="1901" w:type="dxa"/>
            <w:shd w:val="clear" w:color="auto" w:fill="auto"/>
            <w:vAlign w:val="center"/>
          </w:tcPr>
          <w:p w14:paraId="7F81895E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/>
              </w:rPr>
              <w:t>服务内容</w:t>
            </w:r>
          </w:p>
        </w:tc>
        <w:tc>
          <w:tcPr>
            <w:tcW w:w="4174" w:type="dxa"/>
            <w:shd w:val="clear" w:color="auto" w:fill="auto"/>
            <w:vAlign w:val="center"/>
          </w:tcPr>
          <w:p w14:paraId="33D50DD8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/>
              </w:rPr>
              <w:t>要求</w:t>
            </w:r>
          </w:p>
        </w:tc>
        <w:tc>
          <w:tcPr>
            <w:tcW w:w="838" w:type="dxa"/>
            <w:shd w:val="clear" w:color="auto" w:fill="auto"/>
            <w:vAlign w:val="center"/>
          </w:tcPr>
          <w:p w14:paraId="0D5F23A0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eastAsia="en-US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数量</w:t>
            </w:r>
          </w:p>
        </w:tc>
        <w:tc>
          <w:tcPr>
            <w:tcW w:w="971" w:type="dxa"/>
            <w:shd w:val="clear" w:color="auto" w:fill="auto"/>
            <w:vAlign w:val="center"/>
          </w:tcPr>
          <w:p w14:paraId="1DDCDFFC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单位</w:t>
            </w:r>
          </w:p>
        </w:tc>
      </w:tr>
      <w:tr w14:paraId="163950C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636" w:type="dxa"/>
            <w:shd w:val="clear" w:color="auto" w:fill="auto"/>
            <w:vAlign w:val="center"/>
          </w:tcPr>
          <w:p w14:paraId="083E2259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eastAsia="en-US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/>
              </w:rPr>
              <w:t>1</w:t>
            </w:r>
          </w:p>
        </w:tc>
        <w:tc>
          <w:tcPr>
            <w:tcW w:w="1901" w:type="dxa"/>
            <w:shd w:val="clear" w:color="auto" w:fill="auto"/>
            <w:vAlign w:val="center"/>
          </w:tcPr>
          <w:p w14:paraId="1272588B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eastAsia="en-US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24"/>
                <w:szCs w:val="24"/>
                <w:u w:val="none"/>
                <w:lang w:eastAsia="zh-CN"/>
              </w:rPr>
              <w:t>岗梅苗木</w:t>
            </w:r>
          </w:p>
        </w:tc>
        <w:tc>
          <w:tcPr>
            <w:tcW w:w="4174" w:type="dxa"/>
            <w:shd w:val="clear" w:color="auto" w:fill="auto"/>
            <w:vAlign w:val="center"/>
          </w:tcPr>
          <w:p w14:paraId="3C27ECBA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24"/>
                <w:szCs w:val="24"/>
                <w:u w:val="none"/>
                <w:lang w:eastAsia="zh-CN"/>
              </w:rPr>
              <w:t>2年</w:t>
            </w: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24"/>
                <w:szCs w:val="24"/>
                <w:u w:val="none"/>
                <w:lang w:val="en-US" w:eastAsia="zh-CN"/>
              </w:rPr>
              <w:t>以上</w:t>
            </w: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24"/>
                <w:szCs w:val="24"/>
                <w:u w:val="none"/>
                <w:lang w:eastAsia="zh-CN"/>
              </w:rPr>
              <w:t>生Ⅰ级容器/容器苗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21"/>
                <w:szCs w:val="21"/>
                <w:u w:val="none"/>
                <w:lang w:val="en-US" w:eastAsia="zh-CN"/>
              </w:rPr>
              <w:t>（必须子播苗）</w:t>
            </w: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24"/>
                <w:szCs w:val="24"/>
                <w:u w:val="none"/>
                <w:lang w:eastAsia="zh-CN"/>
              </w:rPr>
              <w:t>，苗高≥50cm，地径≥0.5cm，根系发达、无病虫害、无机械损伤，具备苗木检疫证、合格证、标签。</w:t>
            </w:r>
          </w:p>
        </w:tc>
        <w:tc>
          <w:tcPr>
            <w:tcW w:w="838" w:type="dxa"/>
            <w:shd w:val="clear" w:color="auto" w:fill="auto"/>
            <w:vAlign w:val="center"/>
          </w:tcPr>
          <w:p w14:paraId="6BF3366F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24"/>
                <w:szCs w:val="24"/>
                <w:u w:val="none"/>
                <w:lang w:eastAsia="zh-CN"/>
              </w:rPr>
              <w:t>60000</w:t>
            </w:r>
          </w:p>
        </w:tc>
        <w:tc>
          <w:tcPr>
            <w:tcW w:w="971" w:type="dxa"/>
            <w:shd w:val="clear" w:color="auto" w:fill="auto"/>
            <w:vAlign w:val="center"/>
          </w:tcPr>
          <w:p w14:paraId="7F3F4663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eastAsia="en-US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eastAsia="en-US"/>
              </w:rPr>
              <w:t>株</w:t>
            </w:r>
          </w:p>
        </w:tc>
      </w:tr>
      <w:tr w14:paraId="19DA6A3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636" w:type="dxa"/>
            <w:shd w:val="clear" w:color="auto" w:fill="auto"/>
            <w:vAlign w:val="center"/>
          </w:tcPr>
          <w:p w14:paraId="15A11FF4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eastAsia="en-US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/>
              </w:rPr>
              <w:t>2</w:t>
            </w:r>
          </w:p>
        </w:tc>
        <w:tc>
          <w:tcPr>
            <w:tcW w:w="1901" w:type="dxa"/>
            <w:shd w:val="clear" w:color="auto" w:fill="auto"/>
            <w:vAlign w:val="center"/>
          </w:tcPr>
          <w:p w14:paraId="6144028B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eastAsia="en-US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24"/>
                <w:szCs w:val="24"/>
                <w:u w:val="none"/>
                <w:lang w:eastAsia="zh-CN"/>
              </w:rPr>
              <w:t>林地清理</w:t>
            </w:r>
          </w:p>
        </w:tc>
        <w:tc>
          <w:tcPr>
            <w:tcW w:w="4174" w:type="dxa"/>
            <w:shd w:val="clear" w:color="auto" w:fill="auto"/>
            <w:vAlign w:val="center"/>
          </w:tcPr>
          <w:p w14:paraId="68872A71">
            <w:pPr>
              <w:widowControl w:val="0"/>
              <w:numPr>
                <w:ilvl w:val="0"/>
                <w:numId w:val="0"/>
              </w:numPr>
              <w:kinsoku/>
              <w:autoSpaceDE/>
              <w:autoSpaceDN/>
              <w:adjustRightInd/>
              <w:snapToGrid/>
              <w:spacing w:before="120" w:after="120" w:line="288" w:lineRule="auto"/>
              <w:jc w:val="left"/>
              <w:textAlignment w:val="auto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eastAsia="en-US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24"/>
                <w:szCs w:val="24"/>
                <w:u w:val="none"/>
                <w:lang w:eastAsia="zh-CN"/>
              </w:rPr>
              <w:t>清理林下杂灌、杂草、劣质林木，沿等高线作业，保留原生植被，禁止炼山</w:t>
            </w:r>
          </w:p>
        </w:tc>
        <w:tc>
          <w:tcPr>
            <w:tcW w:w="838" w:type="dxa"/>
            <w:shd w:val="clear" w:color="auto" w:fill="auto"/>
            <w:vAlign w:val="center"/>
          </w:tcPr>
          <w:p w14:paraId="269989BC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24"/>
                <w:szCs w:val="24"/>
                <w:u w:val="none"/>
                <w:lang w:eastAsia="zh-CN"/>
              </w:rPr>
              <w:t>300</w:t>
            </w:r>
          </w:p>
        </w:tc>
        <w:tc>
          <w:tcPr>
            <w:tcW w:w="971" w:type="dxa"/>
            <w:shd w:val="clear" w:color="auto" w:fill="auto"/>
            <w:vAlign w:val="center"/>
          </w:tcPr>
          <w:p w14:paraId="7F6AF153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eastAsia="en-US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eastAsia="en-US"/>
              </w:rPr>
              <w:t>亩</w:t>
            </w:r>
          </w:p>
        </w:tc>
      </w:tr>
      <w:tr w14:paraId="339DB6B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636" w:type="dxa"/>
            <w:shd w:val="clear" w:color="auto" w:fill="auto"/>
            <w:vAlign w:val="center"/>
          </w:tcPr>
          <w:p w14:paraId="7C7A382F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eastAsia="en-US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/>
              </w:rPr>
              <w:t>3</w:t>
            </w:r>
          </w:p>
        </w:tc>
        <w:tc>
          <w:tcPr>
            <w:tcW w:w="1901" w:type="dxa"/>
            <w:shd w:val="clear" w:color="auto" w:fill="auto"/>
            <w:vAlign w:val="center"/>
          </w:tcPr>
          <w:p w14:paraId="544E53BF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eastAsia="en-US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24"/>
                <w:szCs w:val="24"/>
                <w:u w:val="none"/>
                <w:lang w:eastAsia="zh-CN"/>
              </w:rPr>
              <w:t>整地挖穴</w:t>
            </w:r>
          </w:p>
        </w:tc>
        <w:tc>
          <w:tcPr>
            <w:tcW w:w="4174" w:type="dxa"/>
            <w:shd w:val="clear" w:color="auto" w:fill="auto"/>
            <w:vAlign w:val="center"/>
          </w:tcPr>
          <w:p w14:paraId="005DA271">
            <w:pPr>
              <w:widowControl w:val="0"/>
              <w:numPr>
                <w:ilvl w:val="0"/>
                <w:numId w:val="0"/>
              </w:numPr>
              <w:kinsoku/>
              <w:autoSpaceDE/>
              <w:autoSpaceDN/>
              <w:adjustRightInd/>
              <w:snapToGrid/>
              <w:spacing w:before="120" w:after="120" w:line="288" w:lineRule="auto"/>
              <w:ind w:left="0" w:leftChars="0"/>
              <w:jc w:val="left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24"/>
                <w:szCs w:val="24"/>
                <w:u w:val="none"/>
                <w:lang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24"/>
                <w:szCs w:val="24"/>
                <w:u w:val="none"/>
                <w:lang w:eastAsia="zh-CN"/>
              </w:rPr>
              <w:t>岗梅挖穴规格50cm×50cm×40cm；按株行距2.0m×1.7m布设，初植密度200株/亩</w:t>
            </w:r>
          </w:p>
          <w:p w14:paraId="01AC1FCE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eastAsia="en-US"/>
              </w:rPr>
            </w:pPr>
          </w:p>
        </w:tc>
        <w:tc>
          <w:tcPr>
            <w:tcW w:w="838" w:type="dxa"/>
            <w:shd w:val="clear" w:color="auto" w:fill="auto"/>
            <w:vAlign w:val="center"/>
          </w:tcPr>
          <w:p w14:paraId="47778EBD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24"/>
                <w:szCs w:val="24"/>
                <w:u w:val="none"/>
                <w:lang w:eastAsia="zh-CN"/>
              </w:rPr>
              <w:t>300</w:t>
            </w:r>
          </w:p>
        </w:tc>
        <w:tc>
          <w:tcPr>
            <w:tcW w:w="971" w:type="dxa"/>
            <w:shd w:val="clear" w:color="auto" w:fill="auto"/>
            <w:vAlign w:val="center"/>
          </w:tcPr>
          <w:p w14:paraId="4C390099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eastAsia="en-US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eastAsia="en-US"/>
              </w:rPr>
              <w:t>亩</w:t>
            </w:r>
          </w:p>
        </w:tc>
      </w:tr>
      <w:tr w14:paraId="60AA255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636" w:type="dxa"/>
            <w:shd w:val="clear" w:color="auto" w:fill="auto"/>
            <w:vAlign w:val="center"/>
          </w:tcPr>
          <w:p w14:paraId="6873CAA9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eastAsia="en-US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/>
              </w:rPr>
              <w:t>4</w:t>
            </w:r>
          </w:p>
        </w:tc>
        <w:tc>
          <w:tcPr>
            <w:tcW w:w="1901" w:type="dxa"/>
            <w:shd w:val="clear" w:color="auto" w:fill="auto"/>
            <w:vAlign w:val="center"/>
          </w:tcPr>
          <w:p w14:paraId="0BD8945E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eastAsia="en-US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24"/>
                <w:szCs w:val="24"/>
                <w:u w:val="none"/>
                <w:lang w:val="en-US" w:eastAsia="zh-CN"/>
              </w:rPr>
              <w:t>有机肥</w:t>
            </w:r>
          </w:p>
        </w:tc>
        <w:tc>
          <w:tcPr>
            <w:tcW w:w="4174" w:type="dxa"/>
            <w:shd w:val="clear" w:color="auto" w:fill="auto"/>
            <w:vAlign w:val="center"/>
          </w:tcPr>
          <w:p w14:paraId="4D07FB15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eastAsia="en-US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eastAsia="en-US"/>
              </w:rPr>
              <w:t>有机质的质量分数机质≥30%，总养分(N+P205+K20)≥4%，水分（鲜样）质量分数≤30%</w:t>
            </w:r>
          </w:p>
        </w:tc>
        <w:tc>
          <w:tcPr>
            <w:tcW w:w="838" w:type="dxa"/>
            <w:shd w:val="clear" w:color="auto" w:fill="auto"/>
            <w:vAlign w:val="center"/>
          </w:tcPr>
          <w:p w14:paraId="00D89383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/>
              </w:rPr>
              <w:t>15</w:t>
            </w:r>
          </w:p>
        </w:tc>
        <w:tc>
          <w:tcPr>
            <w:tcW w:w="971" w:type="dxa"/>
            <w:shd w:val="clear" w:color="auto" w:fill="auto"/>
            <w:vAlign w:val="center"/>
          </w:tcPr>
          <w:p w14:paraId="411EB9E0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eastAsia="en-US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eastAsia="en-US"/>
              </w:rPr>
              <w:t>吨</w:t>
            </w:r>
          </w:p>
        </w:tc>
      </w:tr>
      <w:tr w14:paraId="388BBE7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636" w:type="dxa"/>
            <w:shd w:val="clear" w:color="auto" w:fill="auto"/>
            <w:vAlign w:val="center"/>
          </w:tcPr>
          <w:p w14:paraId="04E4703E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eastAsia="en-US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/>
              </w:rPr>
              <w:t>5</w:t>
            </w:r>
          </w:p>
        </w:tc>
        <w:tc>
          <w:tcPr>
            <w:tcW w:w="1901" w:type="dxa"/>
            <w:shd w:val="clear" w:color="auto" w:fill="auto"/>
            <w:vAlign w:val="center"/>
          </w:tcPr>
          <w:p w14:paraId="1DFC086E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eastAsia="en-US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24"/>
                <w:szCs w:val="24"/>
                <w:u w:val="none"/>
                <w:lang w:eastAsia="zh-CN"/>
              </w:rPr>
              <w:t>栽植</w:t>
            </w:r>
          </w:p>
        </w:tc>
        <w:tc>
          <w:tcPr>
            <w:tcW w:w="4174" w:type="dxa"/>
            <w:shd w:val="clear" w:color="auto" w:fill="auto"/>
            <w:vAlign w:val="center"/>
          </w:tcPr>
          <w:p w14:paraId="58E3F472">
            <w:pPr>
              <w:widowControl w:val="0"/>
              <w:numPr>
                <w:ilvl w:val="0"/>
                <w:numId w:val="0"/>
              </w:numPr>
              <w:kinsoku/>
              <w:autoSpaceDE/>
              <w:autoSpaceDN/>
              <w:adjustRightInd/>
              <w:snapToGrid/>
              <w:spacing w:before="120" w:after="120" w:line="288" w:lineRule="auto"/>
              <w:ind w:left="0" w:leftChars="0"/>
              <w:jc w:val="left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24"/>
                <w:szCs w:val="24"/>
                <w:u w:val="none"/>
                <w:lang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24"/>
                <w:szCs w:val="24"/>
                <w:lang w:val="en-US" w:eastAsia="zh-CN" w:bidi="ar-SA"/>
              </w:rPr>
              <w:t>1.</w:t>
            </w: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24"/>
                <w:szCs w:val="24"/>
                <w:u w:val="none"/>
                <w:lang w:eastAsia="zh-CN"/>
              </w:rPr>
              <w:t>冬春季适宜窗口期完成栽植，栽植规范、扶正踏实</w:t>
            </w:r>
          </w:p>
          <w:p w14:paraId="2C321568">
            <w:pPr>
              <w:widowControl w:val="0"/>
              <w:numPr>
                <w:ilvl w:val="0"/>
                <w:numId w:val="0"/>
              </w:numPr>
              <w:kinsoku/>
              <w:autoSpaceDE/>
              <w:autoSpaceDN/>
              <w:adjustRightInd/>
              <w:snapToGrid/>
              <w:spacing w:before="120" w:after="120" w:line="288" w:lineRule="auto"/>
              <w:ind w:left="0" w:leftChars="0"/>
              <w:jc w:val="left"/>
              <w:textAlignment w:val="auto"/>
              <w:rPr>
                <w:rFonts w:hint="default" w:ascii="宋体" w:hAnsi="宋体" w:eastAsia="宋体" w:cs="宋体"/>
                <w:b w:val="0"/>
                <w:bCs w:val="0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lang w:val="en-US" w:eastAsia="en-US" w:bidi="ar-SA"/>
              </w:rPr>
              <w:t>2.</w:t>
            </w: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24"/>
                <w:szCs w:val="24"/>
                <w:u w:val="none"/>
                <w:lang w:eastAsia="zh-CN"/>
              </w:rPr>
              <w:t>造林后及时巡查，缺株、死株无偿补植，确保整体成活率达</w:t>
            </w: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24"/>
                <w:szCs w:val="24"/>
                <w:u w:val="none"/>
                <w:lang w:val="en-US" w:eastAsia="zh-CN"/>
              </w:rPr>
              <w:t>90%以上</w:t>
            </w:r>
          </w:p>
        </w:tc>
        <w:tc>
          <w:tcPr>
            <w:tcW w:w="838" w:type="dxa"/>
            <w:shd w:val="clear" w:color="auto" w:fill="auto"/>
            <w:vAlign w:val="center"/>
          </w:tcPr>
          <w:p w14:paraId="4E4AF471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/>
              </w:rPr>
              <w:t>1</w:t>
            </w:r>
          </w:p>
        </w:tc>
        <w:tc>
          <w:tcPr>
            <w:tcW w:w="971" w:type="dxa"/>
            <w:shd w:val="clear" w:color="auto" w:fill="auto"/>
            <w:vAlign w:val="center"/>
          </w:tcPr>
          <w:p w14:paraId="36F6BBED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/>
              </w:rPr>
              <w:t>项</w:t>
            </w:r>
          </w:p>
        </w:tc>
      </w:tr>
      <w:tr w14:paraId="5B59BE6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636" w:type="dxa"/>
            <w:shd w:val="clear" w:color="auto" w:fill="auto"/>
            <w:vAlign w:val="center"/>
          </w:tcPr>
          <w:p w14:paraId="22F7B7B8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eastAsia="en-US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/>
              </w:rPr>
              <w:t>6</w:t>
            </w:r>
          </w:p>
        </w:tc>
        <w:tc>
          <w:tcPr>
            <w:tcW w:w="1901" w:type="dxa"/>
            <w:shd w:val="clear" w:color="auto" w:fill="auto"/>
            <w:vAlign w:val="center"/>
          </w:tcPr>
          <w:p w14:paraId="08230F2B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eastAsia="en-US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24"/>
                <w:szCs w:val="24"/>
                <w:u w:val="none"/>
                <w:lang w:eastAsia="zh-CN"/>
              </w:rPr>
              <w:t>抚育管护服务</w:t>
            </w:r>
          </w:p>
        </w:tc>
        <w:tc>
          <w:tcPr>
            <w:tcW w:w="4174" w:type="dxa"/>
            <w:shd w:val="clear" w:color="auto" w:fill="auto"/>
            <w:vAlign w:val="center"/>
          </w:tcPr>
          <w:p w14:paraId="6FA07836">
            <w:pPr>
              <w:widowControl w:val="0"/>
              <w:numPr>
                <w:ilvl w:val="0"/>
                <w:numId w:val="0"/>
              </w:numPr>
              <w:kinsoku/>
              <w:autoSpaceDE/>
              <w:autoSpaceDN/>
              <w:adjustRightInd/>
              <w:snapToGrid/>
              <w:spacing w:before="120" w:after="120" w:line="288" w:lineRule="auto"/>
              <w:ind w:left="0" w:leftChars="0"/>
              <w:jc w:val="left"/>
              <w:textAlignment w:val="auto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eastAsia="en-US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24"/>
                <w:szCs w:val="24"/>
                <w:u w:val="none"/>
                <w:lang w:eastAsia="zh-CN"/>
              </w:rPr>
              <w:t>抚育标准：</w:t>
            </w: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24"/>
                <w:szCs w:val="24"/>
                <w:u w:val="none"/>
                <w:lang w:val="en-US" w:eastAsia="zh-CN"/>
              </w:rPr>
              <w:t>栽植后当</w:t>
            </w: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24"/>
                <w:szCs w:val="24"/>
                <w:u w:val="none"/>
                <w:lang w:eastAsia="zh-CN"/>
              </w:rPr>
              <w:t>年开展</w:t>
            </w: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24"/>
                <w:szCs w:val="24"/>
                <w:u w:val="none"/>
                <w:lang w:val="en-US" w:eastAsia="zh-CN"/>
              </w:rPr>
              <w:t>抚育1次，主要为</w:t>
            </w: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24"/>
                <w:szCs w:val="24"/>
                <w:u w:val="none"/>
                <w:lang w:eastAsia="zh-CN"/>
              </w:rPr>
              <w:t>松土、除草、扩穴培土</w:t>
            </w:r>
          </w:p>
        </w:tc>
        <w:tc>
          <w:tcPr>
            <w:tcW w:w="838" w:type="dxa"/>
            <w:shd w:val="clear" w:color="auto" w:fill="auto"/>
            <w:vAlign w:val="center"/>
          </w:tcPr>
          <w:p w14:paraId="14F21C24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eastAsia="en-US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/>
              </w:rPr>
              <w:t>1</w:t>
            </w:r>
          </w:p>
        </w:tc>
        <w:tc>
          <w:tcPr>
            <w:tcW w:w="971" w:type="dxa"/>
            <w:shd w:val="clear" w:color="auto" w:fill="auto"/>
            <w:vAlign w:val="center"/>
          </w:tcPr>
          <w:p w14:paraId="4704A9EB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eastAsia="en-US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/>
              </w:rPr>
              <w:t>项</w:t>
            </w:r>
          </w:p>
        </w:tc>
      </w:tr>
      <w:tr w14:paraId="5DB2CFE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636" w:type="dxa"/>
            <w:shd w:val="clear" w:color="auto" w:fill="auto"/>
            <w:vAlign w:val="center"/>
          </w:tcPr>
          <w:p w14:paraId="651EE1FD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eastAsia="en-US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/>
              </w:rPr>
              <w:t>7</w:t>
            </w:r>
          </w:p>
        </w:tc>
        <w:tc>
          <w:tcPr>
            <w:tcW w:w="1901" w:type="dxa"/>
            <w:shd w:val="clear" w:color="auto" w:fill="auto"/>
            <w:vAlign w:val="center"/>
          </w:tcPr>
          <w:p w14:paraId="373F35C8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24"/>
                <w:szCs w:val="24"/>
                <w:u w:val="none"/>
                <w:lang w:eastAsia="zh-CN"/>
              </w:rPr>
              <w:t>技术及配套服务</w:t>
            </w:r>
          </w:p>
        </w:tc>
        <w:tc>
          <w:tcPr>
            <w:tcW w:w="4174" w:type="dxa"/>
            <w:shd w:val="clear" w:color="auto" w:fill="auto"/>
            <w:vAlign w:val="center"/>
          </w:tcPr>
          <w:p w14:paraId="15DBF9EF">
            <w:pPr>
              <w:widowControl w:val="0"/>
              <w:numPr>
                <w:ilvl w:val="0"/>
                <w:numId w:val="0"/>
              </w:numPr>
              <w:kinsoku/>
              <w:autoSpaceDE/>
              <w:autoSpaceDN/>
              <w:adjustRightInd/>
              <w:snapToGrid/>
              <w:spacing w:before="120" w:after="120" w:line="288" w:lineRule="auto"/>
              <w:ind w:left="0" w:leftChars="0"/>
              <w:jc w:val="left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24"/>
                <w:szCs w:val="24"/>
                <w:u w:val="none"/>
                <w:lang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24"/>
                <w:szCs w:val="24"/>
                <w:lang w:val="en-US" w:eastAsia="zh-CN" w:bidi="ar-SA"/>
              </w:rPr>
              <w:t>1.</w:t>
            </w: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24"/>
                <w:szCs w:val="24"/>
                <w:u w:val="none"/>
                <w:lang w:eastAsia="zh-CN"/>
              </w:rPr>
              <w:t>项目作业设计、竣工资料整理、影像留存</w:t>
            </w:r>
          </w:p>
          <w:p w14:paraId="2AFECB2F">
            <w:pPr>
              <w:widowControl w:val="0"/>
              <w:numPr>
                <w:ilvl w:val="0"/>
                <w:numId w:val="0"/>
              </w:numPr>
              <w:kinsoku/>
              <w:autoSpaceDE/>
              <w:autoSpaceDN/>
              <w:adjustRightInd/>
              <w:snapToGrid/>
              <w:spacing w:before="120" w:after="120" w:line="288" w:lineRule="auto"/>
              <w:ind w:left="0" w:leftChars="0"/>
              <w:jc w:val="left"/>
              <w:textAlignment w:val="auto"/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24"/>
                <w:szCs w:val="24"/>
                <w:u w:val="none"/>
                <w:lang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24"/>
                <w:szCs w:val="24"/>
                <w:lang w:val="en-US" w:eastAsia="zh-CN" w:bidi="ar-SA"/>
              </w:rPr>
              <w:t>3.</w:t>
            </w: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24"/>
                <w:szCs w:val="24"/>
                <w:u w:val="none"/>
                <w:lang w:eastAsia="zh-CN"/>
              </w:rPr>
              <w:t>小班验收、自查验收资料编制、配合上级核查验收</w:t>
            </w:r>
          </w:p>
          <w:p w14:paraId="1B107DC6">
            <w:pPr>
              <w:widowControl w:val="0"/>
              <w:numPr>
                <w:ilvl w:val="0"/>
                <w:numId w:val="0"/>
              </w:numPr>
              <w:kinsoku/>
              <w:autoSpaceDE/>
              <w:autoSpaceDN/>
              <w:adjustRightInd/>
              <w:snapToGrid/>
              <w:spacing w:before="120" w:after="120" w:line="288" w:lineRule="auto"/>
              <w:ind w:left="0" w:leftChars="0"/>
              <w:jc w:val="left"/>
              <w:textAlignment w:val="auto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eastAsia="en-US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lang w:val="en-US" w:eastAsia="en-US" w:bidi="ar-SA"/>
              </w:rPr>
              <w:t>4.</w:t>
            </w:r>
            <w:r>
              <w:rPr>
                <w:rFonts w:hint="eastAsia" w:ascii="宋体" w:hAnsi="宋体" w:eastAsia="宋体" w:cs="宋体"/>
                <w:b w:val="0"/>
                <w:bCs w:val="0"/>
                <w:snapToGrid/>
                <w:color w:val="auto"/>
                <w:kern w:val="2"/>
                <w:sz w:val="24"/>
                <w:szCs w:val="24"/>
                <w:u w:val="none"/>
                <w:lang w:eastAsia="zh-CN"/>
              </w:rPr>
              <w:t>全过程生境保护：水土保持、野生动植物保护、采伐剩余物规范处理、环保作业</w:t>
            </w:r>
          </w:p>
        </w:tc>
        <w:tc>
          <w:tcPr>
            <w:tcW w:w="838" w:type="dxa"/>
            <w:shd w:val="clear" w:color="auto" w:fill="auto"/>
            <w:vAlign w:val="center"/>
          </w:tcPr>
          <w:p w14:paraId="3EAA504B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eastAsia="en-US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/>
              </w:rPr>
              <w:t>1</w:t>
            </w:r>
          </w:p>
        </w:tc>
        <w:tc>
          <w:tcPr>
            <w:tcW w:w="971" w:type="dxa"/>
            <w:shd w:val="clear" w:color="auto" w:fill="auto"/>
            <w:vAlign w:val="center"/>
          </w:tcPr>
          <w:p w14:paraId="1189C57D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eastAsia="en-US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snapToGrid w:val="0"/>
                <w:color w:val="auto"/>
                <w:kern w:val="0"/>
                <w:sz w:val="24"/>
                <w:szCs w:val="24"/>
                <w:u w:val="none"/>
                <w:lang w:val="en-US" w:eastAsia="zh-CN"/>
              </w:rPr>
              <w:t>项</w:t>
            </w:r>
          </w:p>
        </w:tc>
      </w:tr>
    </w:tbl>
    <w:p w14:paraId="6E7EA6B1">
      <w:pPr>
        <w:keepNext w:val="0"/>
        <w:keepLines w:val="0"/>
        <w:pageBreakBefore w:val="0"/>
        <w:widowControl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jc w:val="left"/>
        <w:textAlignment w:val="baseline"/>
        <w:rPr>
          <w:rFonts w:hint="default" w:ascii="宋体" w:hAnsi="宋体" w:eastAsia="宋体" w:cs="宋体"/>
          <w:snapToGrid w:val="0"/>
          <w:color w:val="auto"/>
          <w:spacing w:val="0"/>
          <w:kern w:val="0"/>
          <w:sz w:val="24"/>
          <w:szCs w:val="24"/>
          <w:highlight w:val="none"/>
          <w:lang w:val="en-US" w:eastAsia="zh-CN"/>
        </w:rPr>
      </w:pPr>
    </w:p>
    <w:p w14:paraId="5A9D49BA">
      <w:pPr>
        <w:keepNext w:val="0"/>
        <w:keepLines w:val="0"/>
        <w:pageBreakBefore w:val="0"/>
        <w:widowControl w:val="0"/>
        <w:numPr>
          <w:ilvl w:val="0"/>
          <w:numId w:val="0"/>
        </w:numPr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jc w:val="left"/>
        <w:textAlignment w:val="baseline"/>
        <w:rPr>
          <w:rFonts w:hint="default" w:ascii="宋体" w:hAnsi="宋体" w:eastAsia="宋体" w:cs="宋体"/>
          <w:b/>
          <w:bCs/>
          <w:snapToGrid w:val="0"/>
          <w:color w:val="auto"/>
          <w:spacing w:val="0"/>
          <w:kern w:val="0"/>
          <w:sz w:val="24"/>
          <w:szCs w:val="24"/>
          <w:highlight w:val="none"/>
          <w:lang w:val="en-US" w:eastAsia="zh-CN"/>
        </w:rPr>
      </w:pPr>
      <w:r>
        <w:rPr>
          <w:rFonts w:hint="eastAsia" w:ascii="宋体" w:hAnsi="宋体" w:eastAsia="宋体" w:cs="宋体"/>
          <w:b/>
          <w:bCs/>
          <w:snapToGrid w:val="0"/>
          <w:color w:val="auto"/>
          <w:spacing w:val="0"/>
          <w:kern w:val="0"/>
          <w:sz w:val="24"/>
          <w:szCs w:val="24"/>
          <w:highlight w:val="none"/>
          <w:lang w:val="en-US" w:eastAsia="zh-CN"/>
        </w:rPr>
        <w:t>5.技术标准及质量要求</w:t>
      </w:r>
    </w:p>
    <w:p w14:paraId="074D0D20">
      <w:pPr>
        <w:keepNext w:val="0"/>
        <w:keepLines w:val="0"/>
        <w:pageBreakBefore w:val="0"/>
        <w:widowControl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jc w:val="left"/>
        <w:textAlignment w:val="baseline"/>
        <w:rPr>
          <w:rFonts w:hint="eastAsia" w:ascii="宋体" w:hAnsi="宋体" w:eastAsia="宋体" w:cs="宋体"/>
          <w:snapToGrid w:val="0"/>
          <w:color w:val="auto"/>
          <w:spacing w:val="0"/>
          <w:kern w:val="0"/>
          <w:sz w:val="24"/>
          <w:szCs w:val="24"/>
          <w:highlight w:val="none"/>
          <w:lang w:eastAsia="zh-CN"/>
        </w:rPr>
      </w:pPr>
      <w:r>
        <w:rPr>
          <w:rFonts w:hint="eastAsia" w:ascii="宋体" w:hAnsi="宋体" w:eastAsia="宋体" w:cs="宋体"/>
          <w:snapToGrid w:val="0"/>
          <w:color w:val="auto"/>
          <w:spacing w:val="0"/>
          <w:kern w:val="0"/>
          <w:sz w:val="24"/>
          <w:szCs w:val="24"/>
          <w:highlight w:val="none"/>
          <w:lang w:val="en-US" w:eastAsia="zh-CN"/>
        </w:rPr>
        <w:t>1.</w:t>
      </w:r>
      <w:r>
        <w:rPr>
          <w:rFonts w:hint="eastAsia" w:ascii="宋体" w:hAnsi="宋体" w:eastAsia="宋体" w:cs="宋体"/>
          <w:snapToGrid w:val="0"/>
          <w:color w:val="auto"/>
          <w:spacing w:val="0"/>
          <w:kern w:val="0"/>
          <w:sz w:val="24"/>
          <w:szCs w:val="24"/>
          <w:highlight w:val="none"/>
          <w:lang w:eastAsia="zh-CN"/>
        </w:rPr>
        <w:t>严格执行：《造林技术规程》《森林抚育技术规程》《江西省森林药材种植验收技术导引》《岗梅林地栽培技术规程》等国家、省市现行规范</w:t>
      </w:r>
    </w:p>
    <w:p w14:paraId="6C0230F6">
      <w:pPr>
        <w:keepNext w:val="0"/>
        <w:keepLines w:val="0"/>
        <w:pageBreakBefore w:val="0"/>
        <w:widowControl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jc w:val="left"/>
        <w:textAlignment w:val="baseline"/>
        <w:rPr>
          <w:rFonts w:hint="eastAsia" w:ascii="宋体" w:hAnsi="宋体" w:eastAsia="宋体" w:cs="宋体"/>
          <w:snapToGrid w:val="0"/>
          <w:color w:val="auto"/>
          <w:spacing w:val="0"/>
          <w:kern w:val="0"/>
          <w:sz w:val="24"/>
          <w:szCs w:val="24"/>
          <w:highlight w:val="none"/>
          <w:lang w:eastAsia="zh-CN"/>
        </w:rPr>
      </w:pPr>
      <w:r>
        <w:rPr>
          <w:rFonts w:hint="eastAsia" w:ascii="宋体" w:hAnsi="宋体" w:eastAsia="宋体" w:cs="宋体"/>
          <w:snapToGrid w:val="0"/>
          <w:color w:val="auto"/>
          <w:spacing w:val="0"/>
          <w:kern w:val="0"/>
          <w:sz w:val="24"/>
          <w:szCs w:val="24"/>
          <w:highlight w:val="none"/>
          <w:lang w:val="en-US" w:eastAsia="zh-CN"/>
        </w:rPr>
        <w:t>2.</w:t>
      </w:r>
      <w:r>
        <w:rPr>
          <w:rFonts w:hint="eastAsia" w:ascii="宋体" w:hAnsi="宋体" w:eastAsia="宋体" w:cs="宋体"/>
          <w:snapToGrid w:val="0"/>
          <w:color w:val="auto"/>
          <w:spacing w:val="0"/>
          <w:kern w:val="0"/>
          <w:sz w:val="24"/>
          <w:szCs w:val="24"/>
          <w:highlight w:val="none"/>
          <w:lang w:eastAsia="zh-CN"/>
        </w:rPr>
        <w:t>建设质量：林下套种合格率≥90%，苗木良种使用率≥90%</w:t>
      </w:r>
    </w:p>
    <w:p w14:paraId="3F817B4C">
      <w:pPr>
        <w:keepNext w:val="0"/>
        <w:keepLines w:val="0"/>
        <w:pageBreakBefore w:val="0"/>
        <w:widowControl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jc w:val="left"/>
        <w:textAlignment w:val="baseline"/>
        <w:rPr>
          <w:rFonts w:hint="eastAsia" w:ascii="宋体" w:hAnsi="宋体" w:eastAsia="宋体" w:cs="宋体"/>
          <w:snapToGrid w:val="0"/>
          <w:color w:val="auto"/>
          <w:spacing w:val="0"/>
          <w:kern w:val="0"/>
          <w:sz w:val="24"/>
          <w:szCs w:val="24"/>
          <w:highlight w:val="none"/>
          <w:lang w:eastAsia="zh-CN"/>
        </w:rPr>
      </w:pPr>
      <w:r>
        <w:rPr>
          <w:rFonts w:hint="eastAsia" w:ascii="宋体" w:hAnsi="宋体" w:eastAsia="宋体" w:cs="宋体"/>
          <w:snapToGrid w:val="0"/>
          <w:color w:val="auto"/>
          <w:spacing w:val="0"/>
          <w:kern w:val="0"/>
          <w:sz w:val="24"/>
          <w:szCs w:val="24"/>
          <w:highlight w:val="none"/>
          <w:lang w:val="en-US" w:eastAsia="zh-CN"/>
        </w:rPr>
        <w:t>3.</w:t>
      </w:r>
      <w:r>
        <w:rPr>
          <w:rFonts w:hint="eastAsia" w:ascii="宋体" w:hAnsi="宋体" w:eastAsia="宋体" w:cs="宋体"/>
          <w:snapToGrid w:val="0"/>
          <w:color w:val="auto"/>
          <w:spacing w:val="0"/>
          <w:kern w:val="0"/>
          <w:sz w:val="24"/>
          <w:szCs w:val="24"/>
          <w:highlight w:val="none"/>
          <w:lang w:eastAsia="zh-CN"/>
        </w:rPr>
        <w:t>当年造林成活率达标，后期成林长势良好</w:t>
      </w:r>
    </w:p>
    <w:p w14:paraId="49CEB67E">
      <w:pPr>
        <w:keepNext w:val="0"/>
        <w:keepLines w:val="0"/>
        <w:pageBreakBefore w:val="0"/>
        <w:widowControl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jc w:val="left"/>
        <w:textAlignment w:val="baseline"/>
        <w:rPr>
          <w:rFonts w:hint="eastAsia" w:ascii="宋体" w:hAnsi="宋体" w:eastAsia="宋体" w:cs="宋体"/>
          <w:snapToGrid w:val="0"/>
          <w:color w:val="auto"/>
          <w:spacing w:val="0"/>
          <w:kern w:val="0"/>
          <w:sz w:val="24"/>
          <w:szCs w:val="24"/>
          <w:highlight w:val="none"/>
          <w:lang w:eastAsia="zh-CN"/>
        </w:rPr>
      </w:pPr>
      <w:r>
        <w:rPr>
          <w:rFonts w:hint="eastAsia" w:ascii="宋体" w:hAnsi="宋体" w:eastAsia="宋体" w:cs="宋体"/>
          <w:snapToGrid w:val="0"/>
          <w:color w:val="auto"/>
          <w:spacing w:val="0"/>
          <w:kern w:val="0"/>
          <w:sz w:val="24"/>
          <w:szCs w:val="24"/>
          <w:highlight w:val="none"/>
          <w:lang w:val="en-US" w:eastAsia="zh-CN"/>
        </w:rPr>
        <w:t>4.</w:t>
      </w:r>
      <w:r>
        <w:rPr>
          <w:rFonts w:hint="eastAsia" w:ascii="宋体" w:hAnsi="宋体" w:eastAsia="宋体" w:cs="宋体"/>
          <w:snapToGrid w:val="0"/>
          <w:color w:val="auto"/>
          <w:spacing w:val="0"/>
          <w:kern w:val="0"/>
          <w:sz w:val="24"/>
          <w:szCs w:val="24"/>
          <w:highlight w:val="none"/>
          <w:lang w:eastAsia="zh-CN"/>
        </w:rPr>
        <w:t>施工严格沿等高线，落实水土保持措施，保留植被隔离带，不破坏原有生态</w:t>
      </w:r>
    </w:p>
    <w:p w14:paraId="41A5603F">
      <w:pPr>
        <w:keepNext w:val="0"/>
        <w:keepLines w:val="0"/>
        <w:pageBreakBefore w:val="0"/>
        <w:widowControl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jc w:val="left"/>
        <w:textAlignment w:val="baseline"/>
        <w:rPr>
          <w:rFonts w:hint="eastAsia" w:ascii="宋体" w:hAnsi="宋体" w:eastAsia="宋体" w:cs="宋体"/>
          <w:snapToGrid w:val="0"/>
          <w:color w:val="auto"/>
          <w:spacing w:val="0"/>
          <w:kern w:val="0"/>
          <w:sz w:val="24"/>
          <w:szCs w:val="24"/>
          <w:highlight w:val="none"/>
          <w:lang w:eastAsia="zh-CN"/>
        </w:rPr>
      </w:pPr>
      <w:r>
        <w:rPr>
          <w:rFonts w:hint="eastAsia" w:ascii="宋体" w:hAnsi="宋体" w:eastAsia="宋体" w:cs="宋体"/>
          <w:snapToGrid w:val="0"/>
          <w:color w:val="auto"/>
          <w:spacing w:val="0"/>
          <w:kern w:val="0"/>
          <w:sz w:val="24"/>
          <w:szCs w:val="24"/>
          <w:highlight w:val="none"/>
          <w:lang w:val="en-US" w:eastAsia="zh-CN"/>
        </w:rPr>
        <w:t>5.</w:t>
      </w:r>
      <w:r>
        <w:rPr>
          <w:rFonts w:hint="eastAsia" w:ascii="宋体" w:hAnsi="宋体" w:eastAsia="宋体" w:cs="宋体"/>
          <w:snapToGrid w:val="0"/>
          <w:color w:val="auto"/>
          <w:spacing w:val="0"/>
          <w:kern w:val="0"/>
          <w:sz w:val="24"/>
          <w:szCs w:val="24"/>
          <w:highlight w:val="none"/>
          <w:lang w:eastAsia="zh-CN"/>
        </w:rPr>
        <w:t>禁用高毒高残留农药，优先生物防治，废弃物集中规范处理</w:t>
      </w:r>
    </w:p>
    <w:p w14:paraId="2F8EAAB0">
      <w:pPr>
        <w:keepNext w:val="0"/>
        <w:keepLines w:val="0"/>
        <w:pageBreakBefore w:val="0"/>
        <w:widowControl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jc w:val="left"/>
        <w:textAlignment w:val="baseline"/>
        <w:rPr>
          <w:rFonts w:hint="eastAsia" w:ascii="宋体" w:hAnsi="宋体" w:eastAsia="宋体" w:cs="宋体"/>
          <w:b/>
          <w:bCs/>
          <w:snapToGrid w:val="0"/>
          <w:color w:val="auto"/>
          <w:spacing w:val="0"/>
          <w:kern w:val="0"/>
          <w:sz w:val="24"/>
          <w:szCs w:val="24"/>
          <w:highlight w:val="none"/>
          <w:lang w:eastAsia="zh-CN"/>
        </w:rPr>
      </w:pPr>
    </w:p>
    <w:p w14:paraId="274CA6C8">
      <w:pPr>
        <w:keepNext w:val="0"/>
        <w:keepLines w:val="0"/>
        <w:pageBreakBefore w:val="0"/>
        <w:widowControl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78" w:line="360" w:lineRule="auto"/>
        <w:jc w:val="left"/>
        <w:textAlignment w:val="baseline"/>
        <w:rPr>
          <w:rFonts w:hint="eastAsia" w:ascii="宋体" w:hAnsi="宋体" w:eastAsia="宋体" w:cs="宋体"/>
          <w:b/>
          <w:bCs/>
          <w:snapToGrid w:val="0"/>
          <w:color w:val="auto"/>
          <w:spacing w:val="0"/>
          <w:kern w:val="0"/>
          <w:sz w:val="28"/>
          <w:szCs w:val="28"/>
          <w:highlight w:val="none"/>
          <w:lang w:eastAsia="zh-CN"/>
        </w:rPr>
      </w:pPr>
      <w:r>
        <w:rPr>
          <w:rFonts w:hint="eastAsia" w:ascii="宋体" w:hAnsi="宋体" w:eastAsia="宋体" w:cs="宋体"/>
          <w:b/>
          <w:bCs/>
          <w:snapToGrid w:val="0"/>
          <w:color w:val="auto"/>
          <w:spacing w:val="0"/>
          <w:kern w:val="0"/>
          <w:sz w:val="28"/>
          <w:szCs w:val="28"/>
          <w:highlight w:val="none"/>
          <w:lang w:eastAsia="zh-CN"/>
        </w:rPr>
        <w:t>（二）商务条件</w:t>
      </w:r>
    </w:p>
    <w:p w14:paraId="3223FC6E">
      <w:pPr>
        <w:widowControl w:val="0"/>
        <w:numPr>
          <w:ilvl w:val="0"/>
          <w:numId w:val="0"/>
        </w:numPr>
        <w:kinsoku/>
        <w:autoSpaceDE/>
        <w:autoSpaceDN/>
        <w:adjustRightInd/>
        <w:snapToGrid/>
        <w:spacing w:before="120" w:after="120" w:line="288" w:lineRule="auto"/>
        <w:ind w:left="0" w:leftChars="0"/>
        <w:jc w:val="left"/>
        <w:textAlignment w:val="auto"/>
        <w:rPr>
          <w:rFonts w:hint="eastAsia" w:ascii="宋体" w:hAnsi="宋体" w:eastAsia="宋体" w:cs="宋体"/>
          <w:snapToGrid w:val="0"/>
          <w:color w:val="auto"/>
          <w:spacing w:val="0"/>
          <w:kern w:val="0"/>
          <w:sz w:val="24"/>
          <w:szCs w:val="24"/>
          <w:highlight w:val="none"/>
          <w:lang w:val="en-US" w:eastAsia="zh-CN"/>
        </w:rPr>
      </w:pPr>
      <w:r>
        <w:rPr>
          <w:rFonts w:hint="eastAsia" w:ascii="宋体" w:hAnsi="宋体" w:eastAsia="宋体" w:cs="宋体"/>
          <w:snapToGrid w:val="0"/>
          <w:color w:val="auto"/>
          <w:spacing w:val="0"/>
          <w:kern w:val="0"/>
          <w:sz w:val="24"/>
          <w:szCs w:val="24"/>
          <w:highlight w:val="none"/>
          <w:lang w:eastAsia="zh-CN"/>
        </w:rPr>
        <w:t>1</w:t>
      </w:r>
      <w:r>
        <w:rPr>
          <w:rFonts w:hint="eastAsia" w:ascii="宋体" w:hAnsi="宋体" w:eastAsia="宋体" w:cs="宋体"/>
          <w:snapToGrid w:val="0"/>
          <w:color w:val="auto"/>
          <w:spacing w:val="0"/>
          <w:kern w:val="0"/>
          <w:sz w:val="24"/>
          <w:szCs w:val="24"/>
          <w:highlight w:val="none"/>
          <w:lang w:val="en-US" w:eastAsia="zh-CN"/>
        </w:rPr>
        <w:t>、</w:t>
      </w:r>
      <w:r>
        <w:rPr>
          <w:rFonts w:hint="eastAsia" w:ascii="宋体" w:hAnsi="宋体" w:eastAsia="宋体" w:cs="宋体"/>
          <w:snapToGrid w:val="0"/>
          <w:color w:val="auto"/>
          <w:spacing w:val="0"/>
          <w:kern w:val="0"/>
          <w:sz w:val="24"/>
          <w:szCs w:val="24"/>
          <w:highlight w:val="none"/>
          <w:lang w:eastAsia="zh-CN"/>
        </w:rPr>
        <w:t>付款方式：合同签订后 15 日内，按本合同价款的 30% 支付预付款；当年松土、除草、扩穴培土抚育工作完成，经竣工验收及上级验收合格后，付清全部合同价款。</w:t>
      </w:r>
    </w:p>
    <w:p w14:paraId="660C397B">
      <w:pPr>
        <w:keepNext w:val="0"/>
        <w:keepLines w:val="0"/>
        <w:pageBreakBefore w:val="0"/>
        <w:widowControl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jc w:val="left"/>
        <w:textAlignment w:val="baseline"/>
        <w:rPr>
          <w:rFonts w:hint="eastAsia" w:ascii="宋体" w:hAnsi="宋体" w:eastAsia="宋体" w:cs="宋体"/>
          <w:snapToGrid w:val="0"/>
          <w:color w:val="auto"/>
          <w:spacing w:val="0"/>
          <w:kern w:val="0"/>
          <w:sz w:val="24"/>
          <w:szCs w:val="24"/>
          <w:highlight w:val="none"/>
          <w:lang w:eastAsia="zh-CN"/>
        </w:rPr>
      </w:pPr>
      <w:r>
        <w:rPr>
          <w:rFonts w:hint="eastAsia" w:ascii="宋体" w:hAnsi="宋体" w:eastAsia="宋体" w:cs="宋体"/>
          <w:snapToGrid w:val="0"/>
          <w:color w:val="auto"/>
          <w:spacing w:val="0"/>
          <w:kern w:val="0"/>
          <w:sz w:val="24"/>
          <w:szCs w:val="24"/>
          <w:highlight w:val="none"/>
          <w:lang w:val="en-US" w:eastAsia="zh-CN"/>
        </w:rPr>
        <w:t>2</w:t>
      </w:r>
      <w:r>
        <w:rPr>
          <w:rFonts w:hint="eastAsia" w:ascii="宋体" w:hAnsi="宋体" w:eastAsia="宋体" w:cs="宋体"/>
          <w:snapToGrid w:val="0"/>
          <w:color w:val="auto"/>
          <w:spacing w:val="0"/>
          <w:kern w:val="0"/>
          <w:sz w:val="24"/>
          <w:szCs w:val="24"/>
          <w:highlight w:val="none"/>
          <w:lang w:eastAsia="zh-CN"/>
        </w:rPr>
        <w:t>、投标报价：</w:t>
      </w:r>
    </w:p>
    <w:p w14:paraId="58D8CC90">
      <w:pPr>
        <w:keepNext w:val="0"/>
        <w:keepLines w:val="0"/>
        <w:pageBreakBefore w:val="0"/>
        <w:widowControl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jc w:val="left"/>
        <w:textAlignment w:val="baseline"/>
        <w:rPr>
          <w:rFonts w:hint="eastAsia" w:ascii="宋体" w:hAnsi="宋体" w:eastAsia="宋体" w:cs="宋体"/>
          <w:snapToGrid w:val="0"/>
          <w:color w:val="auto"/>
          <w:spacing w:val="0"/>
          <w:kern w:val="0"/>
          <w:sz w:val="24"/>
          <w:szCs w:val="24"/>
          <w:highlight w:val="none"/>
          <w:lang w:eastAsia="zh-CN"/>
        </w:rPr>
      </w:pPr>
      <w:r>
        <w:rPr>
          <w:rFonts w:hint="eastAsia" w:ascii="宋体" w:hAnsi="宋体" w:eastAsia="宋体" w:cs="宋体"/>
          <w:snapToGrid w:val="0"/>
          <w:color w:val="auto"/>
          <w:spacing w:val="0"/>
          <w:kern w:val="0"/>
          <w:sz w:val="24"/>
          <w:szCs w:val="24"/>
          <w:highlight w:val="none"/>
          <w:lang w:eastAsia="zh-CN"/>
        </w:rPr>
        <w:t>（1）报价包含完成本项目全部服务的一切费用，招标人不再另行支付任何费用。</w:t>
      </w:r>
    </w:p>
    <w:p w14:paraId="42BCCE85">
      <w:pPr>
        <w:keepNext w:val="0"/>
        <w:keepLines w:val="0"/>
        <w:pageBreakBefore w:val="0"/>
        <w:widowControl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jc w:val="left"/>
        <w:textAlignment w:val="baseline"/>
        <w:rPr>
          <w:rFonts w:hint="eastAsia" w:ascii="宋体" w:hAnsi="宋体" w:eastAsia="宋体" w:cs="宋体"/>
          <w:snapToGrid w:val="0"/>
          <w:color w:val="auto"/>
          <w:spacing w:val="0"/>
          <w:kern w:val="0"/>
          <w:sz w:val="24"/>
          <w:szCs w:val="24"/>
          <w:highlight w:val="none"/>
          <w:lang w:eastAsia="zh-CN"/>
        </w:rPr>
      </w:pPr>
      <w:r>
        <w:rPr>
          <w:rFonts w:hint="eastAsia" w:ascii="宋体" w:hAnsi="宋体" w:eastAsia="宋体" w:cs="宋体"/>
          <w:snapToGrid w:val="0"/>
          <w:color w:val="auto"/>
          <w:spacing w:val="0"/>
          <w:kern w:val="0"/>
          <w:sz w:val="24"/>
          <w:szCs w:val="24"/>
          <w:highlight w:val="none"/>
          <w:lang w:eastAsia="zh-CN"/>
        </w:rPr>
        <w:t>（2）供应商自行编制响应报价，响应报价总价不能超过本项目的最高限价（预算价），否则按无效响应处理。</w:t>
      </w:r>
    </w:p>
    <w:p w14:paraId="18831BCB">
      <w:pPr>
        <w:keepNext w:val="0"/>
        <w:keepLines w:val="0"/>
        <w:pageBreakBefore w:val="0"/>
        <w:widowControl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jc w:val="left"/>
        <w:textAlignment w:val="baseline"/>
        <w:rPr>
          <w:rFonts w:hint="eastAsia" w:ascii="宋体" w:hAnsi="宋体" w:eastAsia="宋体" w:cs="宋体"/>
          <w:snapToGrid w:val="0"/>
          <w:color w:val="auto"/>
          <w:spacing w:val="0"/>
          <w:kern w:val="0"/>
          <w:sz w:val="24"/>
          <w:szCs w:val="24"/>
          <w:highlight w:val="none"/>
          <w:lang w:eastAsia="zh-CN"/>
        </w:rPr>
      </w:pPr>
      <w:r>
        <w:rPr>
          <w:rFonts w:hint="eastAsia" w:ascii="宋体" w:hAnsi="宋体" w:eastAsia="宋体" w:cs="宋体"/>
          <w:snapToGrid w:val="0"/>
          <w:color w:val="auto"/>
          <w:spacing w:val="0"/>
          <w:kern w:val="0"/>
          <w:sz w:val="24"/>
          <w:szCs w:val="24"/>
          <w:highlight w:val="none"/>
          <w:lang w:val="en-US" w:eastAsia="zh-CN"/>
        </w:rPr>
        <w:t>4</w:t>
      </w:r>
      <w:r>
        <w:rPr>
          <w:rFonts w:hint="eastAsia" w:ascii="宋体" w:hAnsi="宋体" w:eastAsia="宋体" w:cs="宋体"/>
          <w:snapToGrid w:val="0"/>
          <w:color w:val="auto"/>
          <w:spacing w:val="0"/>
          <w:kern w:val="0"/>
          <w:sz w:val="24"/>
          <w:szCs w:val="24"/>
          <w:highlight w:val="none"/>
          <w:lang w:eastAsia="zh-CN"/>
        </w:rPr>
        <w:t>、质量标准：符合国家及地方林业工程相关法律法规、政策和技术规范</w:t>
      </w:r>
      <w:r>
        <w:rPr>
          <w:rFonts w:hint="eastAsia" w:ascii="宋体" w:hAnsi="宋体" w:eastAsia="宋体" w:cs="宋体"/>
          <w:snapToGrid w:val="0"/>
          <w:color w:val="auto"/>
          <w:spacing w:val="0"/>
          <w:kern w:val="0"/>
          <w:sz w:val="24"/>
          <w:szCs w:val="24"/>
          <w:highlight w:val="none"/>
          <w:lang w:val="en-US" w:eastAsia="zh-CN"/>
        </w:rPr>
        <w:t>标准</w:t>
      </w:r>
      <w:r>
        <w:rPr>
          <w:rFonts w:hint="eastAsia" w:ascii="宋体" w:hAnsi="宋体" w:eastAsia="宋体" w:cs="宋体"/>
          <w:snapToGrid w:val="0"/>
          <w:color w:val="auto"/>
          <w:spacing w:val="0"/>
          <w:kern w:val="0"/>
          <w:sz w:val="24"/>
          <w:szCs w:val="24"/>
          <w:highlight w:val="none"/>
          <w:lang w:eastAsia="zh-CN"/>
        </w:rPr>
        <w:t>。</w:t>
      </w:r>
    </w:p>
    <w:p w14:paraId="64812655">
      <w:pPr>
        <w:keepNext w:val="0"/>
        <w:keepLines w:val="0"/>
        <w:pageBreakBefore w:val="0"/>
        <w:widowControl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jc w:val="left"/>
        <w:textAlignment w:val="baseline"/>
        <w:rPr>
          <w:rFonts w:hint="eastAsia" w:ascii="宋体" w:hAnsi="宋体" w:eastAsia="宋体" w:cs="宋体"/>
          <w:snapToGrid w:val="0"/>
          <w:color w:val="auto"/>
          <w:spacing w:val="0"/>
          <w:kern w:val="0"/>
          <w:sz w:val="24"/>
          <w:szCs w:val="24"/>
          <w:highlight w:val="none"/>
          <w:lang w:eastAsia="zh-CN"/>
        </w:rPr>
      </w:pPr>
      <w:r>
        <w:rPr>
          <w:rFonts w:hint="eastAsia" w:ascii="宋体" w:hAnsi="宋体" w:eastAsia="宋体" w:cs="宋体"/>
          <w:snapToGrid w:val="0"/>
          <w:color w:val="auto"/>
          <w:spacing w:val="0"/>
          <w:kern w:val="0"/>
          <w:sz w:val="24"/>
          <w:szCs w:val="24"/>
          <w:highlight w:val="none"/>
          <w:lang w:val="en-US" w:eastAsia="zh-CN"/>
        </w:rPr>
        <w:t>5、</w:t>
      </w:r>
      <w:r>
        <w:rPr>
          <w:rFonts w:hint="eastAsia" w:ascii="宋体" w:hAnsi="宋体" w:eastAsia="宋体" w:cs="宋体"/>
          <w:snapToGrid w:val="0"/>
          <w:color w:val="auto"/>
          <w:spacing w:val="0"/>
          <w:kern w:val="0"/>
          <w:sz w:val="24"/>
          <w:szCs w:val="24"/>
          <w:highlight w:val="none"/>
          <w:lang w:eastAsia="zh-CN"/>
        </w:rPr>
        <w:t>验收：</w:t>
      </w:r>
    </w:p>
    <w:p w14:paraId="6754A3BB">
      <w:pPr>
        <w:keepNext w:val="0"/>
        <w:keepLines w:val="0"/>
        <w:pageBreakBefore w:val="0"/>
        <w:widowControl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jc w:val="left"/>
        <w:textAlignment w:val="baseline"/>
        <w:rPr>
          <w:rFonts w:hint="eastAsia" w:ascii="宋体" w:hAnsi="宋体" w:eastAsia="宋体" w:cs="宋体"/>
          <w:snapToGrid w:val="0"/>
          <w:color w:val="auto"/>
          <w:spacing w:val="0"/>
          <w:kern w:val="0"/>
          <w:sz w:val="24"/>
          <w:szCs w:val="24"/>
          <w:highlight w:val="none"/>
          <w:lang w:eastAsia="zh-CN"/>
        </w:rPr>
      </w:pPr>
      <w:r>
        <w:rPr>
          <w:rFonts w:hint="eastAsia" w:ascii="宋体" w:hAnsi="宋体" w:eastAsia="宋体" w:cs="宋体"/>
          <w:snapToGrid w:val="0"/>
          <w:color w:val="auto"/>
          <w:spacing w:val="0"/>
          <w:kern w:val="0"/>
          <w:sz w:val="24"/>
          <w:szCs w:val="24"/>
          <w:highlight w:val="none"/>
          <w:lang w:eastAsia="zh-CN"/>
        </w:rPr>
        <w:t>（1）按小班逐块验收苗木规格、栽植密度、整地质量、抚育成效、成活率，提供完整施工档案、影像资料、绩效资料</w:t>
      </w:r>
    </w:p>
    <w:p w14:paraId="2855488F">
      <w:pPr>
        <w:keepNext w:val="0"/>
        <w:keepLines w:val="0"/>
        <w:pageBreakBefore w:val="0"/>
        <w:widowControl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jc w:val="left"/>
        <w:textAlignment w:val="baseline"/>
        <w:rPr>
          <w:rFonts w:hint="eastAsia" w:ascii="宋体" w:hAnsi="宋体" w:eastAsia="宋体" w:cs="宋体"/>
          <w:snapToGrid w:val="0"/>
          <w:color w:val="auto"/>
          <w:spacing w:val="0"/>
          <w:kern w:val="0"/>
          <w:sz w:val="24"/>
          <w:szCs w:val="24"/>
          <w:highlight w:val="none"/>
          <w:lang w:eastAsia="zh-CN"/>
        </w:rPr>
      </w:pPr>
      <w:r>
        <w:rPr>
          <w:rFonts w:hint="eastAsia" w:ascii="宋体" w:hAnsi="宋体" w:eastAsia="宋体" w:cs="宋体"/>
          <w:snapToGrid w:val="0"/>
          <w:color w:val="auto"/>
          <w:spacing w:val="0"/>
          <w:kern w:val="0"/>
          <w:sz w:val="24"/>
          <w:szCs w:val="24"/>
          <w:highlight w:val="none"/>
          <w:lang w:eastAsia="zh-CN"/>
        </w:rPr>
        <w:t>（</w:t>
      </w:r>
      <w:r>
        <w:rPr>
          <w:rFonts w:hint="eastAsia" w:ascii="宋体" w:hAnsi="宋体" w:eastAsia="宋体" w:cs="宋体"/>
          <w:snapToGrid w:val="0"/>
          <w:color w:val="auto"/>
          <w:spacing w:val="0"/>
          <w:kern w:val="0"/>
          <w:sz w:val="24"/>
          <w:szCs w:val="24"/>
          <w:highlight w:val="none"/>
          <w:lang w:val="en-US" w:eastAsia="zh-CN"/>
        </w:rPr>
        <w:t>2</w:t>
      </w:r>
      <w:r>
        <w:rPr>
          <w:rFonts w:hint="eastAsia" w:ascii="宋体" w:hAnsi="宋体" w:eastAsia="宋体" w:cs="宋体"/>
          <w:snapToGrid w:val="0"/>
          <w:color w:val="auto"/>
          <w:spacing w:val="0"/>
          <w:kern w:val="0"/>
          <w:sz w:val="24"/>
          <w:szCs w:val="24"/>
          <w:highlight w:val="none"/>
          <w:lang w:eastAsia="zh-CN"/>
        </w:rPr>
        <w:t>）验收产生的全部费用由成交供应商承担。</w:t>
      </w:r>
    </w:p>
    <w:p w14:paraId="3E9EA32F">
      <w:pPr>
        <w:keepNext w:val="0"/>
        <w:keepLines w:val="0"/>
        <w:pageBreakBefore w:val="0"/>
        <w:widowControl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jc w:val="left"/>
        <w:textAlignment w:val="baseline"/>
        <w:rPr>
          <w:rFonts w:hint="eastAsia" w:ascii="宋体" w:hAnsi="宋体" w:eastAsia="宋体" w:cs="宋体"/>
          <w:snapToGrid w:val="0"/>
          <w:color w:val="auto"/>
          <w:spacing w:val="0"/>
          <w:kern w:val="0"/>
          <w:sz w:val="24"/>
          <w:szCs w:val="24"/>
          <w:highlight w:val="none"/>
          <w:lang w:eastAsia="zh-CN"/>
        </w:rPr>
      </w:pPr>
      <w:r>
        <w:rPr>
          <w:rFonts w:hint="eastAsia" w:ascii="宋体" w:hAnsi="宋体" w:eastAsia="宋体" w:cs="宋体"/>
          <w:snapToGrid w:val="0"/>
          <w:color w:val="auto"/>
          <w:spacing w:val="0"/>
          <w:kern w:val="0"/>
          <w:sz w:val="24"/>
          <w:szCs w:val="24"/>
          <w:highlight w:val="none"/>
          <w:lang w:val="en-US" w:eastAsia="zh-CN"/>
        </w:rPr>
        <w:t>6</w:t>
      </w:r>
      <w:r>
        <w:rPr>
          <w:rFonts w:hint="eastAsia" w:ascii="宋体" w:hAnsi="宋体" w:eastAsia="宋体" w:cs="宋体"/>
          <w:snapToGrid w:val="0"/>
          <w:color w:val="auto"/>
          <w:spacing w:val="0"/>
          <w:kern w:val="0"/>
          <w:sz w:val="24"/>
          <w:szCs w:val="24"/>
          <w:highlight w:val="none"/>
          <w:lang w:eastAsia="zh-CN"/>
        </w:rPr>
        <w:t>、其他要求：</w:t>
      </w:r>
    </w:p>
    <w:p w14:paraId="490C7194">
      <w:pPr>
        <w:keepNext w:val="0"/>
        <w:keepLines w:val="0"/>
        <w:pageBreakBefore w:val="0"/>
        <w:widowControl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jc w:val="left"/>
        <w:textAlignment w:val="baseline"/>
        <w:rPr>
          <w:rFonts w:hint="eastAsia" w:ascii="宋体" w:hAnsi="宋体" w:eastAsia="宋体" w:cs="宋体"/>
          <w:snapToGrid w:val="0"/>
          <w:color w:val="auto"/>
          <w:spacing w:val="0"/>
          <w:kern w:val="0"/>
          <w:sz w:val="24"/>
          <w:szCs w:val="24"/>
          <w:highlight w:val="none"/>
          <w:lang w:eastAsia="zh-CN"/>
        </w:rPr>
      </w:pPr>
      <w:r>
        <w:rPr>
          <w:rFonts w:hint="eastAsia" w:ascii="宋体" w:hAnsi="宋体" w:eastAsia="宋体" w:cs="宋体"/>
          <w:snapToGrid w:val="0"/>
          <w:color w:val="auto"/>
          <w:spacing w:val="0"/>
          <w:kern w:val="0"/>
          <w:sz w:val="24"/>
          <w:szCs w:val="24"/>
          <w:highlight w:val="none"/>
          <w:lang w:eastAsia="zh-CN"/>
        </w:rPr>
        <w:t>（1）成交供应商应严格遵守国家和地方的安全生产法律法规，在施工中应加强安全生产，落实防火、防洪、防虫等自然灾害的巡查及处理措施，如若在施工中发生任何安全事故均由供应商自行承担，采购人概不负责，成交供应商在施工中负责处理纠纷问题，甲方协助。</w:t>
      </w:r>
    </w:p>
    <w:p w14:paraId="40178317">
      <w:pPr>
        <w:keepNext w:val="0"/>
        <w:keepLines w:val="0"/>
        <w:pageBreakBefore w:val="0"/>
        <w:widowControl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jc w:val="left"/>
        <w:textAlignment w:val="baseline"/>
        <w:rPr>
          <w:rFonts w:hint="eastAsia" w:ascii="宋体" w:hAnsi="宋体" w:eastAsia="宋体" w:cs="宋体"/>
          <w:snapToGrid w:val="0"/>
          <w:color w:val="auto"/>
          <w:spacing w:val="0"/>
          <w:kern w:val="0"/>
          <w:sz w:val="24"/>
          <w:szCs w:val="24"/>
          <w:highlight w:val="none"/>
          <w:lang w:eastAsia="zh-CN"/>
        </w:rPr>
      </w:pPr>
      <w:r>
        <w:rPr>
          <w:rFonts w:hint="eastAsia" w:ascii="宋体" w:hAnsi="宋体" w:eastAsia="宋体" w:cs="宋体"/>
          <w:snapToGrid w:val="0"/>
          <w:color w:val="auto"/>
          <w:spacing w:val="0"/>
          <w:kern w:val="0"/>
          <w:sz w:val="24"/>
          <w:szCs w:val="24"/>
          <w:highlight w:val="none"/>
          <w:lang w:eastAsia="zh-CN"/>
        </w:rPr>
        <w:t>（2）成交供应商应加强现场的安全管理，对人员进行安全教育和技术培训，确保施工安全</w:t>
      </w:r>
    </w:p>
    <w:p w14:paraId="2AC9EE6D">
      <w:pPr>
        <w:keepNext w:val="0"/>
        <w:keepLines w:val="0"/>
        <w:pageBreakBefore w:val="0"/>
        <w:widowControl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jc w:val="left"/>
        <w:textAlignment w:val="baseline"/>
        <w:rPr>
          <w:rFonts w:hint="eastAsia" w:ascii="宋体" w:hAnsi="宋体" w:eastAsia="宋体" w:cs="宋体"/>
          <w:snapToGrid w:val="0"/>
          <w:color w:val="auto"/>
          <w:spacing w:val="0"/>
          <w:kern w:val="0"/>
          <w:sz w:val="24"/>
          <w:szCs w:val="24"/>
          <w:highlight w:val="none"/>
          <w:lang w:eastAsia="zh-CN"/>
        </w:rPr>
      </w:pPr>
      <w:r>
        <w:rPr>
          <w:rFonts w:hint="eastAsia" w:ascii="宋体" w:hAnsi="宋体" w:eastAsia="宋体" w:cs="宋体"/>
          <w:snapToGrid w:val="0"/>
          <w:color w:val="auto"/>
          <w:spacing w:val="0"/>
          <w:kern w:val="0"/>
          <w:sz w:val="24"/>
          <w:szCs w:val="24"/>
          <w:highlight w:val="none"/>
          <w:lang w:val="en-US" w:eastAsia="zh-CN"/>
        </w:rPr>
        <w:t>7、</w:t>
      </w:r>
      <w:r>
        <w:rPr>
          <w:rFonts w:hint="eastAsia" w:ascii="宋体" w:hAnsi="宋体" w:eastAsia="宋体" w:cs="宋体"/>
          <w:snapToGrid w:val="0"/>
          <w:color w:val="auto"/>
          <w:spacing w:val="0"/>
          <w:kern w:val="0"/>
          <w:sz w:val="24"/>
          <w:szCs w:val="24"/>
          <w:highlight w:val="none"/>
          <w:lang w:eastAsia="zh-CN"/>
        </w:rPr>
        <w:t>违约责任：若成交供应商未按合同约定完成本项目服务或违反安全、环保等相关规定，应承担相应的违约责任，并赔偿由此给采购人造成的损失</w:t>
      </w:r>
    </w:p>
    <w:p w14:paraId="2828F7C5">
      <w:pPr>
        <w:keepNext w:val="0"/>
        <w:keepLines w:val="0"/>
        <w:pageBreakBefore w:val="0"/>
        <w:widowControl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jc w:val="left"/>
        <w:textAlignment w:val="baseline"/>
        <w:rPr>
          <w:rFonts w:hint="eastAsia" w:ascii="宋体" w:hAnsi="宋体" w:eastAsia="宋体" w:cs="宋体"/>
          <w:snapToGrid w:val="0"/>
          <w:color w:val="auto"/>
          <w:spacing w:val="0"/>
          <w:kern w:val="0"/>
          <w:sz w:val="24"/>
          <w:szCs w:val="24"/>
          <w:highlight w:val="none"/>
          <w:lang w:eastAsia="zh-CN"/>
        </w:rPr>
      </w:pPr>
      <w:r>
        <w:rPr>
          <w:rFonts w:hint="eastAsia" w:ascii="宋体" w:hAnsi="宋体" w:eastAsia="宋体" w:cs="宋体"/>
          <w:snapToGrid w:val="0"/>
          <w:color w:val="auto"/>
          <w:spacing w:val="0"/>
          <w:kern w:val="0"/>
          <w:sz w:val="24"/>
          <w:szCs w:val="24"/>
          <w:highlight w:val="none"/>
          <w:lang w:val="en-US" w:eastAsia="zh-CN"/>
        </w:rPr>
        <w:t>8、</w:t>
      </w:r>
      <w:r>
        <w:rPr>
          <w:rFonts w:hint="eastAsia" w:ascii="宋体" w:hAnsi="宋体" w:eastAsia="宋体" w:cs="宋体"/>
          <w:snapToGrid w:val="0"/>
          <w:color w:val="auto"/>
          <w:spacing w:val="0"/>
          <w:kern w:val="0"/>
          <w:sz w:val="24"/>
          <w:szCs w:val="24"/>
          <w:highlight w:val="none"/>
          <w:lang w:eastAsia="zh-CN"/>
        </w:rPr>
        <w:t>采购人不组织踏勘现场：供应商应自行安排时间进行实地考察。供应商踏勘现场的费用自理，为响应报价取得依据。一旦成交，不得以不了解现场情况为理由而提出额外费用，采购人将不予考虑。在现场考察过程中，供应商如果发生人身伤亡、财务或其它损失，不论何种原因造成，均由供应商自负。</w:t>
      </w:r>
    </w:p>
    <w:p w14:paraId="00FD72F7">
      <w:pPr>
        <w:keepNext w:val="0"/>
        <w:keepLines w:val="0"/>
        <w:pageBreakBefore w:val="0"/>
        <w:widowControl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jc w:val="left"/>
        <w:textAlignment w:val="baseline"/>
        <w:rPr>
          <w:rFonts w:hint="eastAsia" w:ascii="宋体" w:hAnsi="宋体" w:eastAsia="宋体" w:cs="宋体"/>
          <w:b/>
          <w:bCs/>
          <w:snapToGrid w:val="0"/>
          <w:color w:val="auto"/>
          <w:spacing w:val="0"/>
          <w:kern w:val="0"/>
          <w:sz w:val="22"/>
          <w:szCs w:val="22"/>
          <w:highlight w:val="none"/>
          <w:lang w:eastAsia="zh-CN"/>
        </w:rPr>
      </w:pPr>
    </w:p>
    <w:p w14:paraId="28BC4145">
      <w:pPr>
        <w:keepNext w:val="0"/>
        <w:keepLines w:val="0"/>
        <w:pageBreakBefore w:val="0"/>
        <w:widowControl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jc w:val="left"/>
        <w:textAlignment w:val="baseline"/>
        <w:rPr>
          <w:rFonts w:hint="eastAsia" w:ascii="宋体" w:hAnsi="宋体" w:eastAsia="宋体" w:cs="宋体"/>
          <w:b/>
          <w:bCs/>
          <w:snapToGrid w:val="0"/>
          <w:color w:val="auto"/>
          <w:spacing w:val="0"/>
          <w:kern w:val="0"/>
          <w:sz w:val="22"/>
          <w:szCs w:val="22"/>
          <w:highlight w:val="none"/>
          <w:lang w:eastAsia="zh-CN"/>
        </w:rPr>
      </w:pPr>
    </w:p>
    <w:p w14:paraId="09645555">
      <w:pPr>
        <w:keepNext w:val="0"/>
        <w:keepLines w:val="0"/>
        <w:pageBreakBefore w:val="0"/>
        <w:widowControl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jc w:val="left"/>
        <w:textAlignment w:val="baseline"/>
        <w:rPr>
          <w:rFonts w:hint="eastAsia" w:ascii="宋体" w:hAnsi="宋体" w:eastAsia="宋体" w:cs="宋体"/>
          <w:b/>
          <w:bCs/>
          <w:snapToGrid w:val="0"/>
          <w:color w:val="auto"/>
          <w:spacing w:val="0"/>
          <w:kern w:val="0"/>
          <w:sz w:val="22"/>
          <w:szCs w:val="22"/>
          <w:highlight w:val="none"/>
          <w:lang w:eastAsia="zh-CN"/>
        </w:rPr>
      </w:pPr>
    </w:p>
    <w:p w14:paraId="36FEF836">
      <w:pPr>
        <w:keepNext w:val="0"/>
        <w:keepLines w:val="0"/>
        <w:pageBreakBefore w:val="0"/>
        <w:widowControl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jc w:val="left"/>
        <w:textAlignment w:val="baseline"/>
        <w:rPr>
          <w:rFonts w:hint="eastAsia" w:ascii="宋体" w:hAnsi="宋体" w:eastAsia="宋体" w:cs="宋体"/>
          <w:snapToGrid w:val="0"/>
          <w:color w:val="auto"/>
          <w:spacing w:val="0"/>
          <w:kern w:val="0"/>
          <w:sz w:val="22"/>
          <w:szCs w:val="22"/>
          <w:highlight w:val="none"/>
          <w:lang w:eastAsia="zh-CN"/>
        </w:rPr>
      </w:pPr>
      <w:r>
        <w:rPr>
          <w:rFonts w:hint="eastAsia" w:ascii="宋体" w:hAnsi="宋体" w:eastAsia="宋体" w:cs="宋体"/>
          <w:b/>
          <w:bCs/>
          <w:snapToGrid w:val="0"/>
          <w:color w:val="auto"/>
          <w:spacing w:val="0"/>
          <w:kern w:val="0"/>
          <w:sz w:val="22"/>
          <w:szCs w:val="22"/>
          <w:highlight w:val="none"/>
          <w:lang w:eastAsia="zh-CN"/>
        </w:rPr>
        <w:t>备注：以上</w:t>
      </w:r>
      <w:r>
        <w:rPr>
          <w:rFonts w:hint="eastAsia" w:ascii="宋体" w:hAnsi="宋体" w:eastAsia="宋体" w:cs="宋体"/>
          <w:b/>
          <w:bCs/>
          <w:snapToGrid w:val="0"/>
          <w:color w:val="auto"/>
          <w:spacing w:val="0"/>
          <w:kern w:val="0"/>
          <w:sz w:val="22"/>
          <w:szCs w:val="22"/>
          <w:highlight w:val="none"/>
          <w:lang w:val="en-US" w:eastAsia="zh-CN"/>
        </w:rPr>
        <w:t>服务</w:t>
      </w:r>
      <w:r>
        <w:rPr>
          <w:rFonts w:hint="eastAsia" w:ascii="宋体" w:hAnsi="宋体" w:eastAsia="宋体" w:cs="宋体"/>
          <w:b/>
          <w:bCs/>
          <w:snapToGrid w:val="0"/>
          <w:color w:val="auto"/>
          <w:spacing w:val="0"/>
          <w:kern w:val="0"/>
          <w:sz w:val="22"/>
          <w:szCs w:val="22"/>
          <w:highlight w:val="none"/>
          <w:lang w:eastAsia="zh-CN"/>
        </w:rPr>
        <w:t>需求</w:t>
      </w:r>
      <w:r>
        <w:rPr>
          <w:rFonts w:hint="eastAsia" w:ascii="宋体" w:hAnsi="宋体" w:eastAsia="宋体" w:cs="宋体"/>
          <w:b/>
          <w:bCs/>
          <w:snapToGrid w:val="0"/>
          <w:color w:val="auto"/>
          <w:spacing w:val="0"/>
          <w:kern w:val="0"/>
          <w:sz w:val="22"/>
          <w:szCs w:val="22"/>
          <w:highlight w:val="none"/>
          <w:lang w:val="en-US" w:eastAsia="zh-CN"/>
        </w:rPr>
        <w:t>及</w:t>
      </w:r>
      <w:r>
        <w:rPr>
          <w:rFonts w:hint="eastAsia" w:ascii="宋体" w:hAnsi="宋体" w:eastAsia="宋体" w:cs="宋体"/>
          <w:b/>
          <w:bCs/>
          <w:snapToGrid w:val="0"/>
          <w:color w:val="auto"/>
          <w:spacing w:val="0"/>
          <w:kern w:val="0"/>
          <w:sz w:val="22"/>
          <w:szCs w:val="22"/>
          <w:highlight w:val="none"/>
          <w:lang w:eastAsia="zh-CN"/>
        </w:rPr>
        <w:t>商务要求为基本技术要求必须全部响应（即满足或优于商务要求），否则其响应无效。</w:t>
      </w:r>
    </w:p>
    <w:p w14:paraId="6C1E5B1C"/>
    <w:sectPr>
      <w:footerReference r:id="rId4" w:type="default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7A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D6D4980">
    <w:pPr>
      <w:tabs>
        <w:tab w:val="center" w:pos="4153"/>
        <w:tab w:val="right" w:pos="8306"/>
      </w:tabs>
      <w:kinsoku w:val="0"/>
      <w:autoSpaceDE w:val="0"/>
      <w:autoSpaceDN w:val="0"/>
      <w:adjustRightInd w:val="0"/>
      <w:snapToGrid w:val="0"/>
      <w:textAlignment w:val="baseline"/>
      <w:rPr>
        <w:rFonts w:ascii="Arial" w:hAnsi="Arial" w:eastAsia="Arial" w:cs="Arial"/>
        <w:snapToGrid w:val="0"/>
        <w:color w:val="000000"/>
        <w:sz w:val="18"/>
        <w:szCs w:val="21"/>
        <w:lang w:val="en-US" w:eastAsia="zh-CN" w:bidi="ar-SA"/>
      </w:rPr>
    </w:pPr>
    <w:r>
      <w:rPr>
        <w:rFonts w:ascii="Arial" w:hAnsi="Arial" w:eastAsia="Arial" w:cs="Arial"/>
        <w:snapToGrid w:val="0"/>
        <w:color w:val="000000"/>
        <w:sz w:val="18"/>
        <w:szCs w:val="21"/>
        <w:lang w:val="en-US" w:eastAsia="en-US" w:bidi="ar-SA"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2" name="文本框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5AC2E7C0">
                          <w:pPr>
                            <w:tabs>
                              <w:tab w:val="center" w:pos="4153"/>
                              <w:tab w:val="right" w:pos="8306"/>
                            </w:tabs>
                            <w:kinsoku w:val="0"/>
                            <w:autoSpaceDE w:val="0"/>
                            <w:autoSpaceDN w:val="0"/>
                            <w:adjustRightInd w:val="0"/>
                            <w:snapToGrid w:val="0"/>
                            <w:textAlignment w:val="baseline"/>
                            <w:rPr>
                              <w:rFonts w:ascii="Arial" w:hAnsi="Arial" w:eastAsia="Arial" w:cs="Arial"/>
                              <w:snapToGrid w:val="0"/>
                              <w:color w:val="000000"/>
                              <w:sz w:val="18"/>
                              <w:szCs w:val="21"/>
                              <w:lang w:val="en-US" w:eastAsia="en-US" w:bidi="ar-SA"/>
                            </w:rPr>
                          </w:pPr>
                          <w:r>
                            <w:rPr>
                              <w:rFonts w:ascii="Arial" w:hAnsi="Arial" w:eastAsia="Arial" w:cs="Arial"/>
                              <w:snapToGrid w:val="0"/>
                              <w:color w:val="000000"/>
                              <w:sz w:val="18"/>
                              <w:szCs w:val="21"/>
                              <w:lang w:val="en-US" w:eastAsia="en-US" w:bidi="ar-SA"/>
                            </w:rPr>
                            <w:fldChar w:fldCharType="begin"/>
                          </w:r>
                          <w:r>
                            <w:rPr>
                              <w:rFonts w:ascii="Arial" w:hAnsi="Arial" w:eastAsia="Arial" w:cs="Arial"/>
                              <w:snapToGrid w:val="0"/>
                              <w:color w:val="000000"/>
                              <w:sz w:val="18"/>
                              <w:szCs w:val="21"/>
                              <w:lang w:val="en-US" w:eastAsia="en-US" w:bidi="ar-SA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ascii="Arial" w:hAnsi="Arial" w:eastAsia="Arial" w:cs="Arial"/>
                              <w:snapToGrid w:val="0"/>
                              <w:color w:val="000000"/>
                              <w:sz w:val="18"/>
                              <w:szCs w:val="21"/>
                              <w:lang w:val="en-US" w:eastAsia="en-US" w:bidi="ar-SA"/>
                            </w:rPr>
                            <w:fldChar w:fldCharType="separate"/>
                          </w:r>
                          <w:r>
                            <w:rPr>
                              <w:rFonts w:ascii="Arial" w:hAnsi="Arial" w:eastAsia="Arial" w:cs="Arial"/>
                              <w:snapToGrid w:val="0"/>
                              <w:color w:val="000000"/>
                              <w:sz w:val="18"/>
                              <w:szCs w:val="21"/>
                              <w:lang w:val="en-US" w:eastAsia="en-US" w:bidi="ar-SA"/>
                            </w:rPr>
                            <w:t>63</w:t>
                          </w:r>
                          <w:r>
                            <w:rPr>
                              <w:rFonts w:ascii="Arial" w:hAnsi="Arial" w:eastAsia="Arial" w:cs="Arial"/>
                              <w:snapToGrid w:val="0"/>
                              <w:color w:val="000000"/>
                              <w:sz w:val="18"/>
                              <w:szCs w:val="21"/>
                              <w:lang w:val="en-US" w:eastAsia="en-US" w:bidi="ar-SA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60288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5AC2E7C0">
                    <w:pPr>
                      <w:tabs>
                        <w:tab w:val="center" w:pos="4153"/>
                        <w:tab w:val="right" w:pos="8306"/>
                      </w:tabs>
                      <w:kinsoku w:val="0"/>
                      <w:autoSpaceDE w:val="0"/>
                      <w:autoSpaceDN w:val="0"/>
                      <w:adjustRightInd w:val="0"/>
                      <w:snapToGrid w:val="0"/>
                      <w:textAlignment w:val="baseline"/>
                      <w:rPr>
                        <w:rFonts w:ascii="Arial" w:hAnsi="Arial" w:eastAsia="Arial" w:cs="Arial"/>
                        <w:snapToGrid w:val="0"/>
                        <w:color w:val="000000"/>
                        <w:sz w:val="18"/>
                        <w:szCs w:val="21"/>
                        <w:lang w:val="en-US" w:eastAsia="en-US" w:bidi="ar-SA"/>
                      </w:rPr>
                    </w:pPr>
                    <w:r>
                      <w:rPr>
                        <w:rFonts w:ascii="Arial" w:hAnsi="Arial" w:eastAsia="Arial" w:cs="Arial"/>
                        <w:snapToGrid w:val="0"/>
                        <w:color w:val="000000"/>
                        <w:sz w:val="18"/>
                        <w:szCs w:val="21"/>
                        <w:lang w:val="en-US" w:eastAsia="en-US" w:bidi="ar-SA"/>
                      </w:rPr>
                      <w:fldChar w:fldCharType="begin"/>
                    </w:r>
                    <w:r>
                      <w:rPr>
                        <w:rFonts w:ascii="Arial" w:hAnsi="Arial" w:eastAsia="Arial" w:cs="Arial"/>
                        <w:snapToGrid w:val="0"/>
                        <w:color w:val="000000"/>
                        <w:sz w:val="18"/>
                        <w:szCs w:val="21"/>
                        <w:lang w:val="en-US" w:eastAsia="en-US" w:bidi="ar-SA"/>
                      </w:rPr>
                      <w:instrText xml:space="preserve"> PAGE  \* MERGEFORMAT </w:instrText>
                    </w:r>
                    <w:r>
                      <w:rPr>
                        <w:rFonts w:ascii="Arial" w:hAnsi="Arial" w:eastAsia="Arial" w:cs="Arial"/>
                        <w:snapToGrid w:val="0"/>
                        <w:color w:val="000000"/>
                        <w:sz w:val="18"/>
                        <w:szCs w:val="21"/>
                        <w:lang w:val="en-US" w:eastAsia="en-US" w:bidi="ar-SA"/>
                      </w:rPr>
                      <w:fldChar w:fldCharType="separate"/>
                    </w:r>
                    <w:r>
                      <w:rPr>
                        <w:rFonts w:ascii="Arial" w:hAnsi="Arial" w:eastAsia="Arial" w:cs="Arial"/>
                        <w:snapToGrid w:val="0"/>
                        <w:color w:val="000000"/>
                        <w:sz w:val="18"/>
                        <w:szCs w:val="21"/>
                        <w:lang w:val="en-US" w:eastAsia="en-US" w:bidi="ar-SA"/>
                      </w:rPr>
                      <w:t>63</w:t>
                    </w:r>
                    <w:r>
                      <w:rPr>
                        <w:rFonts w:ascii="Arial" w:hAnsi="Arial" w:eastAsia="Arial" w:cs="Arial"/>
                        <w:snapToGrid w:val="0"/>
                        <w:color w:val="000000"/>
                        <w:sz w:val="18"/>
                        <w:szCs w:val="21"/>
                        <w:lang w:val="en-US" w:eastAsia="en-US" w:bidi="ar-SA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8E63F08">
    <w:pPr>
      <w:tabs>
        <w:tab w:val="center" w:pos="4153"/>
        <w:tab w:val="right" w:pos="8306"/>
      </w:tabs>
      <w:kinsoku w:val="0"/>
      <w:autoSpaceDE w:val="0"/>
      <w:autoSpaceDN w:val="0"/>
      <w:adjustRightInd w:val="0"/>
      <w:snapToGrid w:val="0"/>
      <w:textAlignment w:val="baseline"/>
      <w:rPr>
        <w:rFonts w:ascii="Arial" w:hAnsi="Arial" w:eastAsia="Arial" w:cs="Arial"/>
        <w:snapToGrid w:val="0"/>
        <w:color w:val="000000"/>
        <w:sz w:val="18"/>
        <w:szCs w:val="21"/>
        <w:lang w:val="en-US" w:eastAsia="zh-CN" w:bidi="ar-SA"/>
      </w:rPr>
    </w:pPr>
    <w:r>
      <w:rPr>
        <w:rFonts w:ascii="Arial" w:hAnsi="Arial" w:eastAsia="Arial" w:cs="Arial"/>
        <w:snapToGrid w:val="0"/>
        <w:color w:val="000000"/>
        <w:sz w:val="18"/>
        <w:szCs w:val="21"/>
        <w:lang w:val="en-US" w:eastAsia="en-US" w:bidi="ar-SA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23" name="文本框 2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0818B818">
                          <w:pPr>
                            <w:tabs>
                              <w:tab w:val="center" w:pos="4153"/>
                              <w:tab w:val="right" w:pos="8306"/>
                            </w:tabs>
                            <w:kinsoku w:val="0"/>
                            <w:autoSpaceDE w:val="0"/>
                            <w:autoSpaceDN w:val="0"/>
                            <w:adjustRightInd w:val="0"/>
                            <w:snapToGrid w:val="0"/>
                            <w:textAlignment w:val="baseline"/>
                            <w:rPr>
                              <w:rFonts w:ascii="Arial" w:hAnsi="Arial" w:eastAsia="Arial" w:cs="Arial"/>
                              <w:snapToGrid w:val="0"/>
                              <w:color w:val="000000"/>
                              <w:sz w:val="18"/>
                              <w:szCs w:val="21"/>
                              <w:lang w:val="en-US" w:eastAsia="en-US" w:bidi="ar-SA"/>
                            </w:rPr>
                          </w:pPr>
                          <w:r>
                            <w:rPr>
                              <w:rFonts w:ascii="Arial" w:hAnsi="Arial" w:eastAsia="Arial" w:cs="Arial"/>
                              <w:snapToGrid w:val="0"/>
                              <w:color w:val="000000"/>
                              <w:sz w:val="18"/>
                              <w:szCs w:val="21"/>
                              <w:lang w:val="en-US" w:eastAsia="en-US" w:bidi="ar-SA"/>
                            </w:rPr>
                            <w:fldChar w:fldCharType="begin"/>
                          </w:r>
                          <w:r>
                            <w:rPr>
                              <w:rFonts w:ascii="Arial" w:hAnsi="Arial" w:eastAsia="Arial" w:cs="Arial"/>
                              <w:snapToGrid w:val="0"/>
                              <w:color w:val="000000"/>
                              <w:sz w:val="18"/>
                              <w:szCs w:val="21"/>
                              <w:lang w:val="en-US" w:eastAsia="en-US" w:bidi="ar-SA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ascii="Arial" w:hAnsi="Arial" w:eastAsia="Arial" w:cs="Arial"/>
                              <w:snapToGrid w:val="0"/>
                              <w:color w:val="000000"/>
                              <w:sz w:val="18"/>
                              <w:szCs w:val="21"/>
                              <w:lang w:val="en-US" w:eastAsia="en-US" w:bidi="ar-SA"/>
                            </w:rPr>
                            <w:fldChar w:fldCharType="separate"/>
                          </w:r>
                          <w:r>
                            <w:rPr>
                              <w:rFonts w:ascii="Arial" w:hAnsi="Arial" w:eastAsia="Arial" w:cs="Arial"/>
                              <w:snapToGrid w:val="0"/>
                              <w:color w:val="000000"/>
                              <w:sz w:val="18"/>
                              <w:szCs w:val="21"/>
                              <w:lang w:val="en-US" w:eastAsia="en-US" w:bidi="ar-SA"/>
                            </w:rPr>
                            <w:t>63</w:t>
                          </w:r>
                          <w:r>
                            <w:rPr>
                              <w:rFonts w:ascii="Arial" w:hAnsi="Arial" w:eastAsia="Arial" w:cs="Arial"/>
                              <w:snapToGrid w:val="0"/>
                              <w:color w:val="000000"/>
                              <w:sz w:val="18"/>
                              <w:szCs w:val="21"/>
                              <w:lang w:val="en-US" w:eastAsia="en-US" w:bidi="ar-SA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0818B818">
                    <w:pPr>
                      <w:tabs>
                        <w:tab w:val="center" w:pos="4153"/>
                        <w:tab w:val="right" w:pos="8306"/>
                      </w:tabs>
                      <w:kinsoku w:val="0"/>
                      <w:autoSpaceDE w:val="0"/>
                      <w:autoSpaceDN w:val="0"/>
                      <w:adjustRightInd w:val="0"/>
                      <w:snapToGrid w:val="0"/>
                      <w:textAlignment w:val="baseline"/>
                      <w:rPr>
                        <w:rFonts w:ascii="Arial" w:hAnsi="Arial" w:eastAsia="Arial" w:cs="Arial"/>
                        <w:snapToGrid w:val="0"/>
                        <w:color w:val="000000"/>
                        <w:sz w:val="18"/>
                        <w:szCs w:val="21"/>
                        <w:lang w:val="en-US" w:eastAsia="en-US" w:bidi="ar-SA"/>
                      </w:rPr>
                    </w:pPr>
                    <w:r>
                      <w:rPr>
                        <w:rFonts w:ascii="Arial" w:hAnsi="Arial" w:eastAsia="Arial" w:cs="Arial"/>
                        <w:snapToGrid w:val="0"/>
                        <w:color w:val="000000"/>
                        <w:sz w:val="18"/>
                        <w:szCs w:val="21"/>
                        <w:lang w:val="en-US" w:eastAsia="en-US" w:bidi="ar-SA"/>
                      </w:rPr>
                      <w:fldChar w:fldCharType="begin"/>
                    </w:r>
                    <w:r>
                      <w:rPr>
                        <w:rFonts w:ascii="Arial" w:hAnsi="Arial" w:eastAsia="Arial" w:cs="Arial"/>
                        <w:snapToGrid w:val="0"/>
                        <w:color w:val="000000"/>
                        <w:sz w:val="18"/>
                        <w:szCs w:val="21"/>
                        <w:lang w:val="en-US" w:eastAsia="en-US" w:bidi="ar-SA"/>
                      </w:rPr>
                      <w:instrText xml:space="preserve"> PAGE  \* MERGEFORMAT </w:instrText>
                    </w:r>
                    <w:r>
                      <w:rPr>
                        <w:rFonts w:ascii="Arial" w:hAnsi="Arial" w:eastAsia="Arial" w:cs="Arial"/>
                        <w:snapToGrid w:val="0"/>
                        <w:color w:val="000000"/>
                        <w:sz w:val="18"/>
                        <w:szCs w:val="21"/>
                        <w:lang w:val="en-US" w:eastAsia="en-US" w:bidi="ar-SA"/>
                      </w:rPr>
                      <w:fldChar w:fldCharType="separate"/>
                    </w:r>
                    <w:r>
                      <w:rPr>
                        <w:rFonts w:ascii="Arial" w:hAnsi="Arial" w:eastAsia="Arial" w:cs="Arial"/>
                        <w:snapToGrid w:val="0"/>
                        <w:color w:val="000000"/>
                        <w:sz w:val="18"/>
                        <w:szCs w:val="21"/>
                        <w:lang w:val="en-US" w:eastAsia="en-US" w:bidi="ar-SA"/>
                      </w:rPr>
                      <w:t>63</w:t>
                    </w:r>
                    <w:r>
                      <w:rPr>
                        <w:rFonts w:ascii="Arial" w:hAnsi="Arial" w:eastAsia="Arial" w:cs="Arial"/>
                        <w:snapToGrid w:val="0"/>
                        <w:color w:val="000000"/>
                        <w:sz w:val="18"/>
                        <w:szCs w:val="21"/>
                        <w:lang w:val="en-US" w:eastAsia="en-US" w:bidi="ar-SA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6479F9B0"/>
    <w:multiLevelType w:val="singleLevel"/>
    <w:tmpl w:val="6479F9B0"/>
    <w:lvl w:ilvl="0" w:tentative="0">
      <w:start w:val="4"/>
      <w:numFmt w:val="decimal"/>
      <w:suff w:val="nothing"/>
      <w:lvlText w:val="%1、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10EF7C90"/>
    <w:rsid w:val="12522F0D"/>
    <w:rsid w:val="4B2A0430"/>
    <w:rsid w:val="591C4219"/>
    <w:rsid w:val="5C6B779F"/>
    <w:rsid w:val="6FB504F7"/>
    <w:rsid w:val="7C0D34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2"/>
    <w:basedOn w:val="1"/>
    <w:next w:val="1"/>
    <w:qFormat/>
    <w:uiPriority w:val="0"/>
    <w:pPr>
      <w:keepNext/>
      <w:keepLines/>
      <w:spacing w:before="260" w:after="260" w:line="413" w:lineRule="auto"/>
      <w:outlineLvl w:val="1"/>
    </w:pPr>
    <w:rPr>
      <w:rFonts w:ascii="Arial" w:hAnsi="Arial" w:eastAsia="黑体"/>
      <w:b/>
      <w:bCs/>
      <w:sz w:val="32"/>
      <w:szCs w:val="32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5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numbering" Target="numbering.xml"/><Relationship Id="rId7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1487</Words>
  <Characters>1570</Characters>
  <Lines>0</Lines>
  <Paragraphs>0</Paragraphs>
  <TotalTime>0</TotalTime>
  <ScaleCrop>false</ScaleCrop>
  <LinksUpToDate>false</LinksUpToDate>
  <CharactersWithSpaces>1574</CharactersWithSpaces>
  <Application>WPS Office_12.1.0.26375_F1E327BC-269C-435d-A152-05C5408002CA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2026-04-29T09:13:00Z</dcterms:created>
  <dc:creator>345yuqq</dc:creator>
  <cp:lastModifiedBy>admin</cp:lastModifiedBy>
  <dcterms:modified xsi:type="dcterms:W3CDTF">2026-06-01T10:29:53Z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2052-12.1.0.26375</vt:lpwstr>
  </property>
  <property fmtid="{D5CDD505-2E9C-101B-9397-08002B2CF9AE}" pid="3" name="KSOTemplateDocerSaveRecord">
    <vt:lpwstr>eyJoZGlkIjoiMjI4NzczNjg5ZWE2Y2ZmMDU1MzE2YjNjYTQ1NjVmN2MiLCJ1c2VySWQiOiIxNDg1NjAxMDA5In0=</vt:lpwstr>
  </property>
  <property fmtid="{D5CDD505-2E9C-101B-9397-08002B2CF9AE}" pid="4" name="ICV">
    <vt:lpwstr>FC97DCE3DBBF47B193740B9128E16465_12</vt:lpwstr>
  </property>
</Properties>
</file>