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763DD2">
      <w:pPr>
        <w:pStyle w:val="2"/>
        <w:ind w:left="3476"/>
        <w:jc w:val="both"/>
        <w:rPr>
          <w:rFonts w:hint="eastAsia"/>
          <w:b/>
          <w:bCs/>
          <w:color w:val="C00000"/>
          <w:lang w:eastAsia="zh-CN"/>
        </w:rPr>
      </w:pPr>
      <w:bookmarkStart w:id="0" w:name="_TOC_300076"/>
      <w:r>
        <w:rPr>
          <w:rFonts w:hint="eastAsia"/>
          <w:b/>
          <w:bCs/>
          <w:sz w:val="28"/>
          <w:szCs w:val="28"/>
          <w:highlight w:val="white"/>
          <w:lang w:eastAsia="zh-CN"/>
        </w:rPr>
        <w:t>一、</w:t>
      </w:r>
      <w:bookmarkEnd w:id="0"/>
      <w:r>
        <w:rPr>
          <w:rFonts w:hint="eastAsia"/>
          <w:b/>
          <w:bCs/>
          <w:spacing w:val="-1"/>
          <w:sz w:val="28"/>
          <w:szCs w:val="28"/>
          <w:highlight w:val="white"/>
          <w:lang w:eastAsia="zh-CN"/>
        </w:rPr>
        <w:t>采购</w:t>
      </w:r>
      <w:r>
        <w:rPr>
          <w:rFonts w:hint="eastAsia"/>
          <w:b/>
          <w:bCs/>
          <w:sz w:val="28"/>
          <w:szCs w:val="28"/>
          <w:highlight w:val="white"/>
          <w:lang w:eastAsia="zh-CN"/>
        </w:rPr>
        <w:t>需求</w:t>
      </w:r>
      <w:bookmarkStart w:id="1" w:name="_bookmark18"/>
      <w:bookmarkEnd w:id="1"/>
    </w:p>
    <w:p w14:paraId="596CC007">
      <w:pPr>
        <w:pStyle w:val="9"/>
        <w:widowControl/>
        <w:numPr>
          <w:ilvl w:val="0"/>
          <w:numId w:val="0"/>
        </w:numPr>
        <w:spacing w:line="360" w:lineRule="auto"/>
        <w:ind w:leftChars="0" w:right="0" w:rightChars="0"/>
        <w:jc w:val="both"/>
        <w:rPr>
          <w:rFonts w:hint="eastAsia" w:ascii="宋体" w:hAnsi="宋体" w:eastAsia="宋体" w:cs="宋体"/>
          <w:b/>
          <w:sz w:val="28"/>
          <w:szCs w:val="28"/>
        </w:rPr>
      </w:pPr>
      <w:r>
        <w:rPr>
          <w:rFonts w:hint="eastAsia" w:ascii="宋体" w:hAnsi="宋体" w:eastAsia="宋体" w:cs="宋体"/>
          <w:b/>
          <w:sz w:val="28"/>
          <w:szCs w:val="28"/>
        </w:rPr>
        <w:t>采购清单</w:t>
      </w:r>
    </w:p>
    <w:tbl>
      <w:tblPr>
        <w:tblStyle w:val="12"/>
        <w:tblW w:w="8427" w:type="dxa"/>
        <w:jc w:val="center"/>
        <w:tblLayout w:type="autofit"/>
        <w:tblCellMar>
          <w:top w:w="0" w:type="dxa"/>
          <w:left w:w="108" w:type="dxa"/>
          <w:bottom w:w="0" w:type="dxa"/>
          <w:right w:w="108" w:type="dxa"/>
        </w:tblCellMar>
      </w:tblPr>
      <w:tblGrid>
        <w:gridCol w:w="3059"/>
        <w:gridCol w:w="1127"/>
        <w:gridCol w:w="1145"/>
        <w:gridCol w:w="1411"/>
        <w:gridCol w:w="1685"/>
      </w:tblGrid>
      <w:tr w14:paraId="1834AC2E">
        <w:tblPrEx>
          <w:tblCellMar>
            <w:top w:w="0" w:type="dxa"/>
            <w:left w:w="108" w:type="dxa"/>
            <w:bottom w:w="0" w:type="dxa"/>
            <w:right w:w="108" w:type="dxa"/>
          </w:tblCellMar>
        </w:tblPrEx>
        <w:trPr>
          <w:trHeight w:val="567" w:hRule="exact"/>
          <w:jc w:val="center"/>
        </w:trPr>
        <w:tc>
          <w:tcPr>
            <w:tcW w:w="3059" w:type="dxa"/>
            <w:tcBorders>
              <w:top w:val="single" w:color="auto" w:sz="4" w:space="0"/>
              <w:left w:val="single" w:color="auto" w:sz="4" w:space="0"/>
              <w:bottom w:val="single" w:color="auto" w:sz="4" w:space="0"/>
              <w:right w:val="single" w:color="auto" w:sz="4" w:space="0"/>
            </w:tcBorders>
            <w:noWrap w:val="0"/>
            <w:vAlign w:val="center"/>
          </w:tcPr>
          <w:p w14:paraId="1646EF54">
            <w:pPr>
              <w:widowControl/>
              <w:spacing w:line="360" w:lineRule="auto"/>
              <w:jc w:val="center"/>
              <w:rPr>
                <w:rFonts w:hint="eastAsia" w:ascii="宋体" w:hAnsi="宋体" w:eastAsia="宋体" w:cs="宋体"/>
                <w:b/>
                <w:bCs/>
                <w:kern w:val="0"/>
                <w:sz w:val="28"/>
                <w:szCs w:val="28"/>
              </w:rPr>
            </w:pPr>
            <w:r>
              <w:rPr>
                <w:rFonts w:hint="eastAsia" w:ascii="宋体" w:hAnsi="宋体" w:eastAsia="宋体" w:cs="宋体"/>
                <w:b/>
                <w:bCs/>
                <w:kern w:val="0"/>
                <w:sz w:val="28"/>
                <w:szCs w:val="28"/>
                <w:lang w:bidi="ar"/>
              </w:rPr>
              <w:t>项目名称</w:t>
            </w:r>
          </w:p>
        </w:tc>
        <w:tc>
          <w:tcPr>
            <w:tcW w:w="1127" w:type="dxa"/>
            <w:tcBorders>
              <w:top w:val="single" w:color="auto" w:sz="4" w:space="0"/>
              <w:left w:val="nil"/>
              <w:bottom w:val="single" w:color="auto" w:sz="4" w:space="0"/>
              <w:right w:val="single" w:color="auto" w:sz="4" w:space="0"/>
            </w:tcBorders>
            <w:noWrap/>
            <w:vAlign w:val="center"/>
          </w:tcPr>
          <w:p w14:paraId="725F152F">
            <w:pPr>
              <w:widowControl/>
              <w:spacing w:line="360" w:lineRule="auto"/>
              <w:jc w:val="center"/>
              <w:rPr>
                <w:rFonts w:hint="eastAsia" w:ascii="宋体" w:hAnsi="宋体" w:eastAsia="宋体" w:cs="宋体"/>
                <w:b/>
                <w:kern w:val="0"/>
                <w:sz w:val="28"/>
                <w:szCs w:val="28"/>
              </w:rPr>
            </w:pPr>
            <w:r>
              <w:rPr>
                <w:rFonts w:hint="eastAsia" w:ascii="宋体" w:hAnsi="宋体" w:eastAsia="宋体" w:cs="宋体"/>
                <w:b/>
                <w:kern w:val="0"/>
                <w:sz w:val="28"/>
                <w:szCs w:val="28"/>
                <w:lang w:bidi="ar"/>
              </w:rPr>
              <w:t>单位</w:t>
            </w:r>
          </w:p>
        </w:tc>
        <w:tc>
          <w:tcPr>
            <w:tcW w:w="1145" w:type="dxa"/>
            <w:tcBorders>
              <w:top w:val="single" w:color="auto" w:sz="4" w:space="0"/>
              <w:left w:val="nil"/>
              <w:bottom w:val="single" w:color="auto" w:sz="4" w:space="0"/>
              <w:right w:val="single" w:color="auto" w:sz="4" w:space="0"/>
            </w:tcBorders>
            <w:noWrap/>
            <w:vAlign w:val="center"/>
          </w:tcPr>
          <w:p w14:paraId="221E3565">
            <w:pPr>
              <w:widowControl/>
              <w:spacing w:line="360" w:lineRule="auto"/>
              <w:jc w:val="center"/>
              <w:rPr>
                <w:rFonts w:hint="eastAsia" w:ascii="宋体" w:hAnsi="宋体" w:eastAsia="宋体" w:cs="宋体"/>
                <w:b/>
                <w:kern w:val="0"/>
                <w:sz w:val="28"/>
                <w:szCs w:val="28"/>
              </w:rPr>
            </w:pPr>
            <w:r>
              <w:rPr>
                <w:rFonts w:hint="eastAsia" w:ascii="宋体" w:hAnsi="宋体" w:eastAsia="宋体" w:cs="宋体"/>
                <w:b/>
                <w:kern w:val="0"/>
                <w:sz w:val="28"/>
                <w:szCs w:val="28"/>
                <w:lang w:bidi="ar"/>
              </w:rPr>
              <w:t>数量</w:t>
            </w:r>
          </w:p>
        </w:tc>
        <w:tc>
          <w:tcPr>
            <w:tcW w:w="1411" w:type="dxa"/>
            <w:tcBorders>
              <w:top w:val="single" w:color="auto" w:sz="4" w:space="0"/>
              <w:left w:val="nil"/>
              <w:bottom w:val="single" w:color="auto" w:sz="4" w:space="0"/>
              <w:right w:val="single" w:color="auto" w:sz="4" w:space="0"/>
            </w:tcBorders>
            <w:noWrap/>
            <w:vAlign w:val="center"/>
          </w:tcPr>
          <w:p w14:paraId="25967AEC">
            <w:pPr>
              <w:widowControl/>
              <w:spacing w:line="360" w:lineRule="auto"/>
              <w:jc w:val="center"/>
              <w:rPr>
                <w:rFonts w:hint="eastAsia" w:ascii="宋体" w:hAnsi="宋体" w:eastAsia="宋体" w:cs="宋体"/>
                <w:b/>
                <w:kern w:val="0"/>
                <w:sz w:val="28"/>
                <w:szCs w:val="28"/>
              </w:rPr>
            </w:pPr>
            <w:r>
              <w:rPr>
                <w:rFonts w:hint="eastAsia" w:ascii="宋体" w:hAnsi="宋体" w:eastAsia="宋体" w:cs="宋体"/>
                <w:b/>
                <w:bCs/>
                <w:kern w:val="0"/>
                <w:sz w:val="28"/>
                <w:szCs w:val="28"/>
                <w:lang w:bidi="ar"/>
              </w:rPr>
              <w:t>参数</w:t>
            </w:r>
          </w:p>
        </w:tc>
        <w:tc>
          <w:tcPr>
            <w:tcW w:w="1685" w:type="dxa"/>
            <w:tcBorders>
              <w:top w:val="single" w:color="auto" w:sz="4" w:space="0"/>
              <w:left w:val="nil"/>
              <w:bottom w:val="single" w:color="auto" w:sz="4" w:space="0"/>
              <w:right w:val="single" w:color="auto" w:sz="4" w:space="0"/>
            </w:tcBorders>
            <w:noWrap/>
            <w:vAlign w:val="center"/>
          </w:tcPr>
          <w:p w14:paraId="2B5681AB">
            <w:pPr>
              <w:widowControl/>
              <w:spacing w:line="360" w:lineRule="auto"/>
              <w:jc w:val="center"/>
              <w:rPr>
                <w:rFonts w:hint="eastAsia" w:ascii="宋体" w:hAnsi="宋体" w:eastAsia="宋体" w:cs="宋体"/>
                <w:b/>
                <w:kern w:val="0"/>
                <w:sz w:val="28"/>
                <w:szCs w:val="28"/>
              </w:rPr>
            </w:pPr>
            <w:r>
              <w:rPr>
                <w:rFonts w:hint="eastAsia" w:ascii="宋体" w:hAnsi="宋体" w:eastAsia="宋体" w:cs="宋体"/>
                <w:b/>
                <w:kern w:val="0"/>
                <w:sz w:val="28"/>
                <w:szCs w:val="28"/>
                <w:lang w:bidi="ar"/>
              </w:rPr>
              <w:t>备注</w:t>
            </w:r>
          </w:p>
        </w:tc>
      </w:tr>
      <w:tr w14:paraId="04C08C42">
        <w:tblPrEx>
          <w:tblCellMar>
            <w:top w:w="0" w:type="dxa"/>
            <w:left w:w="108" w:type="dxa"/>
            <w:bottom w:w="0" w:type="dxa"/>
            <w:right w:w="108" w:type="dxa"/>
          </w:tblCellMar>
        </w:tblPrEx>
        <w:trPr>
          <w:trHeight w:val="567" w:hRule="exact"/>
          <w:jc w:val="center"/>
        </w:trPr>
        <w:tc>
          <w:tcPr>
            <w:tcW w:w="3059" w:type="dxa"/>
            <w:tcBorders>
              <w:top w:val="nil"/>
              <w:left w:val="single" w:color="auto" w:sz="4" w:space="0"/>
              <w:bottom w:val="single" w:color="auto" w:sz="4" w:space="0"/>
              <w:right w:val="single" w:color="auto" w:sz="4" w:space="0"/>
            </w:tcBorders>
            <w:noWrap w:val="0"/>
            <w:vAlign w:val="center"/>
          </w:tcPr>
          <w:p w14:paraId="5387A664">
            <w:pPr>
              <w:widowControl/>
              <w:spacing w:line="360" w:lineRule="auto"/>
              <w:jc w:val="center"/>
              <w:rPr>
                <w:rFonts w:hint="eastAsia" w:ascii="宋体" w:hAnsi="宋体" w:eastAsia="宋体" w:cs="宋体"/>
                <w:kern w:val="0"/>
                <w:sz w:val="28"/>
                <w:szCs w:val="28"/>
              </w:rPr>
            </w:pPr>
            <w:r>
              <w:rPr>
                <w:rFonts w:hint="eastAsia" w:ascii="宋体" w:hAnsi="宋体" w:eastAsia="宋体" w:cs="宋体"/>
                <w:sz w:val="28"/>
                <w:szCs w:val="28"/>
              </w:rPr>
              <w:t>国产分体台式电脑</w:t>
            </w:r>
          </w:p>
        </w:tc>
        <w:tc>
          <w:tcPr>
            <w:tcW w:w="1127" w:type="dxa"/>
            <w:tcBorders>
              <w:top w:val="nil"/>
              <w:left w:val="nil"/>
              <w:bottom w:val="single" w:color="auto" w:sz="4" w:space="0"/>
              <w:right w:val="single" w:color="auto" w:sz="4" w:space="0"/>
            </w:tcBorders>
            <w:noWrap/>
            <w:vAlign w:val="center"/>
          </w:tcPr>
          <w:p w14:paraId="405C463C">
            <w:pPr>
              <w:widowControl/>
              <w:spacing w:line="360" w:lineRule="auto"/>
              <w:jc w:val="center"/>
              <w:rPr>
                <w:rFonts w:hint="eastAsia" w:ascii="宋体" w:hAnsi="宋体" w:eastAsia="宋体" w:cs="宋体"/>
                <w:sz w:val="28"/>
                <w:szCs w:val="28"/>
              </w:rPr>
            </w:pPr>
            <w:r>
              <w:rPr>
                <w:rFonts w:hint="eastAsia" w:ascii="宋体" w:hAnsi="宋体" w:eastAsia="宋体" w:cs="宋体"/>
                <w:sz w:val="28"/>
                <w:szCs w:val="28"/>
              </w:rPr>
              <w:t>台</w:t>
            </w:r>
          </w:p>
        </w:tc>
        <w:tc>
          <w:tcPr>
            <w:tcW w:w="1145" w:type="dxa"/>
            <w:tcBorders>
              <w:top w:val="nil"/>
              <w:left w:val="nil"/>
              <w:bottom w:val="single" w:color="auto" w:sz="4" w:space="0"/>
              <w:right w:val="single" w:color="auto" w:sz="4" w:space="0"/>
            </w:tcBorders>
            <w:noWrap/>
            <w:vAlign w:val="center"/>
          </w:tcPr>
          <w:p w14:paraId="1408E0B2">
            <w:pPr>
              <w:widowControl/>
              <w:spacing w:line="360" w:lineRule="auto"/>
              <w:jc w:val="center"/>
              <w:rPr>
                <w:rFonts w:hint="eastAsia" w:ascii="宋体" w:hAnsi="宋体" w:eastAsia="宋体" w:cs="宋体"/>
                <w:sz w:val="28"/>
                <w:szCs w:val="28"/>
              </w:rPr>
            </w:pPr>
            <w:r>
              <w:rPr>
                <w:rFonts w:hint="eastAsia" w:ascii="宋体" w:hAnsi="宋体" w:eastAsia="宋体" w:cs="宋体"/>
                <w:sz w:val="28"/>
                <w:szCs w:val="28"/>
                <w:lang w:val="en-US" w:eastAsia="zh-CN"/>
              </w:rPr>
              <w:t>180</w:t>
            </w:r>
          </w:p>
        </w:tc>
        <w:tc>
          <w:tcPr>
            <w:tcW w:w="1411" w:type="dxa"/>
            <w:tcBorders>
              <w:top w:val="nil"/>
              <w:left w:val="nil"/>
              <w:bottom w:val="single" w:color="auto" w:sz="4" w:space="0"/>
              <w:right w:val="single" w:color="auto" w:sz="4" w:space="0"/>
            </w:tcBorders>
            <w:noWrap/>
            <w:vAlign w:val="center"/>
          </w:tcPr>
          <w:p w14:paraId="52C08565">
            <w:pPr>
              <w:widowControl/>
              <w:spacing w:line="360" w:lineRule="auto"/>
              <w:jc w:val="center"/>
              <w:rPr>
                <w:rFonts w:hint="eastAsia" w:ascii="宋体" w:hAnsi="宋体" w:eastAsia="宋体" w:cs="宋体"/>
                <w:sz w:val="28"/>
                <w:szCs w:val="28"/>
              </w:rPr>
            </w:pPr>
            <w:r>
              <w:rPr>
                <w:rFonts w:hint="eastAsia" w:ascii="宋体" w:hAnsi="宋体" w:eastAsia="宋体" w:cs="宋体"/>
                <w:sz w:val="28"/>
                <w:szCs w:val="28"/>
              </w:rPr>
              <w:t>见附件</w:t>
            </w:r>
          </w:p>
        </w:tc>
        <w:tc>
          <w:tcPr>
            <w:tcW w:w="1685" w:type="dxa"/>
            <w:tcBorders>
              <w:top w:val="nil"/>
              <w:left w:val="nil"/>
              <w:bottom w:val="single" w:color="auto" w:sz="4" w:space="0"/>
              <w:right w:val="single" w:color="auto" w:sz="4" w:space="0"/>
            </w:tcBorders>
            <w:noWrap/>
            <w:vAlign w:val="center"/>
          </w:tcPr>
          <w:p w14:paraId="6AE503A1">
            <w:pPr>
              <w:widowControl/>
              <w:spacing w:line="360" w:lineRule="auto"/>
              <w:jc w:val="center"/>
              <w:rPr>
                <w:rFonts w:hint="eastAsia" w:ascii="宋体" w:hAnsi="宋体" w:eastAsia="宋体" w:cs="宋体"/>
                <w:kern w:val="0"/>
                <w:sz w:val="28"/>
                <w:szCs w:val="28"/>
              </w:rPr>
            </w:pPr>
          </w:p>
        </w:tc>
      </w:tr>
    </w:tbl>
    <w:p w14:paraId="694E5157">
      <w:pPr>
        <w:pStyle w:val="9"/>
        <w:widowControl/>
        <w:spacing w:line="360" w:lineRule="auto"/>
        <w:ind w:left="0" w:leftChars="0" w:firstLine="0" w:firstLineChars="0"/>
        <w:jc w:val="both"/>
        <w:rPr>
          <w:rFonts w:hint="eastAsia" w:ascii="宋体" w:hAnsi="宋体" w:cs="宋体"/>
          <w:b/>
          <w:sz w:val="32"/>
          <w:szCs w:val="32"/>
          <w:lang w:val="en-US" w:eastAsia="zh-CN"/>
        </w:rPr>
      </w:pPr>
    </w:p>
    <w:p w14:paraId="526D2B7A">
      <w:pPr>
        <w:pStyle w:val="9"/>
        <w:widowControl/>
        <w:numPr>
          <w:ilvl w:val="0"/>
          <w:numId w:val="0"/>
        </w:numPr>
        <w:spacing w:line="360" w:lineRule="auto"/>
        <w:ind w:left="0" w:leftChars="0" w:right="0" w:rightChars="0" w:firstLine="0" w:firstLineChars="0"/>
        <w:jc w:val="both"/>
        <w:rPr>
          <w:rFonts w:hint="eastAsia" w:ascii="宋体" w:hAnsi="宋体" w:eastAsia="宋体" w:cs="宋体"/>
          <w:color w:val="auto"/>
          <w:sz w:val="28"/>
          <w:szCs w:val="28"/>
        </w:rPr>
      </w:pPr>
      <w:r>
        <w:rPr>
          <w:rFonts w:hint="eastAsia" w:ascii="宋体" w:hAnsi="宋体" w:eastAsia="宋体" w:cs="宋体"/>
          <w:snapToGrid w:val="0"/>
          <w:color w:val="auto"/>
          <w:kern w:val="2"/>
          <w:sz w:val="28"/>
          <w:szCs w:val="28"/>
          <w:lang w:val="en-US" w:eastAsia="zh-CN" w:bidi="ar"/>
        </w:rPr>
        <w:t>一）</w:t>
      </w:r>
      <w:r>
        <w:rPr>
          <w:rFonts w:hint="eastAsia" w:ascii="宋体" w:hAnsi="宋体" w:cs="宋体"/>
          <w:b/>
          <w:sz w:val="32"/>
          <w:szCs w:val="32"/>
        </w:rPr>
        <w:t>技术参数</w:t>
      </w:r>
    </w:p>
    <w:p w14:paraId="2058AF65">
      <w:pPr>
        <w:pStyle w:val="9"/>
        <w:widowControl/>
        <w:numPr>
          <w:ilvl w:val="0"/>
          <w:numId w:val="0"/>
        </w:numPr>
        <w:spacing w:line="360" w:lineRule="auto"/>
        <w:ind w:left="0" w:leftChars="0" w:right="0" w:rightChars="0" w:firstLine="0" w:firstLineChars="0"/>
        <w:jc w:val="both"/>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1、处理器：配置1颗国产X86架构CPU，≥主频3.0GHz，≥</w:t>
      </w:r>
      <w:bookmarkStart w:id="2" w:name="_GoBack"/>
      <w:bookmarkEnd w:id="2"/>
      <w:r>
        <w:rPr>
          <w:rFonts w:hint="eastAsia" w:ascii="仿宋" w:hAnsi="仿宋" w:eastAsia="仿宋" w:cs="仿宋"/>
          <w:snapToGrid w:val="0"/>
          <w:color w:val="000000"/>
          <w:spacing w:val="4"/>
          <w:kern w:val="0"/>
          <w:sz w:val="31"/>
          <w:szCs w:val="31"/>
          <w:lang w:val="en-US" w:eastAsia="zh-CN" w:bidi="ar-SA"/>
        </w:rPr>
        <w:t>8 核16线程，末级缓存≥16MB；</w:t>
      </w:r>
    </w:p>
    <w:p w14:paraId="3E2DCD2E">
      <w:pPr>
        <w:pStyle w:val="9"/>
        <w:widowControl/>
        <w:numPr>
          <w:ilvl w:val="0"/>
          <w:numId w:val="0"/>
        </w:numPr>
        <w:spacing w:line="360" w:lineRule="auto"/>
        <w:ind w:left="0" w:leftChars="0" w:right="0" w:rightChars="0" w:firstLine="0" w:firstLineChars="0"/>
        <w:jc w:val="both"/>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2、内存：配置内存≥8GB DDR4，≥2个内存插槽；</w:t>
      </w:r>
    </w:p>
    <w:p w14:paraId="46A2EB3A">
      <w:pPr>
        <w:pStyle w:val="9"/>
        <w:widowControl/>
        <w:numPr>
          <w:ilvl w:val="0"/>
          <w:numId w:val="0"/>
        </w:numPr>
        <w:spacing w:line="360" w:lineRule="auto"/>
        <w:ind w:left="0" w:leftChars="0" w:right="0" w:rightChars="0" w:firstLine="0" w:firstLineChars="0"/>
        <w:jc w:val="both"/>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3、显卡：≥2GB独显；支持VGA+HDMI视频输出显示；</w:t>
      </w:r>
    </w:p>
    <w:p w14:paraId="5904AA49">
      <w:pPr>
        <w:pStyle w:val="9"/>
        <w:widowControl/>
        <w:numPr>
          <w:ilvl w:val="0"/>
          <w:numId w:val="0"/>
        </w:numPr>
        <w:spacing w:line="360" w:lineRule="auto"/>
        <w:ind w:left="0" w:leftChars="0" w:right="0" w:rightChars="0" w:firstLine="0" w:firstLineChars="0"/>
        <w:jc w:val="both"/>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4、硬盘：≥512GB M.2 NVME SSD硬盘；≥2个硬盘位拓展；</w:t>
      </w:r>
    </w:p>
    <w:p w14:paraId="54F97C6B">
      <w:pPr>
        <w:pStyle w:val="9"/>
        <w:widowControl/>
        <w:numPr>
          <w:ilvl w:val="0"/>
          <w:numId w:val="0"/>
        </w:numPr>
        <w:spacing w:line="360" w:lineRule="auto"/>
        <w:ind w:left="0" w:leftChars="0" w:right="0" w:rightChars="0" w:firstLine="0" w:firstLineChars="0"/>
        <w:jc w:val="both"/>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5、网卡：集成千兆网卡（应安全等级要求,不可配置无线网卡）；</w:t>
      </w:r>
    </w:p>
    <w:p w14:paraId="7C843C7B">
      <w:pPr>
        <w:pStyle w:val="9"/>
        <w:widowControl/>
        <w:numPr>
          <w:ilvl w:val="0"/>
          <w:numId w:val="0"/>
        </w:numPr>
        <w:spacing w:line="360" w:lineRule="auto"/>
        <w:ind w:left="0" w:leftChars="0" w:right="0" w:rightChars="0" w:firstLine="0" w:firstLineChars="0"/>
        <w:jc w:val="both"/>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6、接口：前置USB3.0接口≥4个；后置USB3.0接口≥4个；PCIe 1x≥1个；</w:t>
      </w:r>
    </w:p>
    <w:p w14:paraId="0B82BA93">
      <w:pPr>
        <w:pStyle w:val="9"/>
        <w:widowControl/>
        <w:numPr>
          <w:ilvl w:val="0"/>
          <w:numId w:val="0"/>
        </w:numPr>
        <w:spacing w:line="360" w:lineRule="auto"/>
        <w:ind w:left="0" w:leftChars="0" w:right="0" w:rightChars="0" w:firstLine="0" w:firstLineChars="0"/>
        <w:jc w:val="both"/>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7、音频接口：集成5.1声道声卡，具有5个音频接口（提供前2后3共5个音频接口）；</w:t>
      </w:r>
    </w:p>
    <w:p w14:paraId="508D6100">
      <w:pPr>
        <w:pStyle w:val="9"/>
        <w:widowControl/>
        <w:numPr>
          <w:ilvl w:val="0"/>
          <w:numId w:val="0"/>
        </w:numPr>
        <w:spacing w:line="360" w:lineRule="auto"/>
        <w:ind w:left="0" w:leftChars="0" w:right="0" w:rightChars="0" w:firstLine="0" w:firstLineChars="0"/>
        <w:jc w:val="both"/>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8、机箱：立式机箱，顶置提手，≥13L；</w:t>
      </w:r>
    </w:p>
    <w:p w14:paraId="3B628F64">
      <w:pPr>
        <w:pStyle w:val="9"/>
        <w:widowControl/>
        <w:numPr>
          <w:ilvl w:val="0"/>
          <w:numId w:val="0"/>
        </w:numPr>
        <w:spacing w:line="360" w:lineRule="auto"/>
        <w:ind w:left="0" w:leftChars="0" w:right="0" w:rightChars="0" w:firstLine="0" w:firstLineChars="0"/>
        <w:jc w:val="both"/>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9、电源:功率≥180W；</w:t>
      </w:r>
    </w:p>
    <w:p w14:paraId="6B514B73">
      <w:pPr>
        <w:pStyle w:val="9"/>
        <w:widowControl/>
        <w:numPr>
          <w:ilvl w:val="0"/>
          <w:numId w:val="0"/>
        </w:numPr>
        <w:spacing w:line="360" w:lineRule="auto"/>
        <w:ind w:left="0" w:leftChars="0" w:right="0" w:rightChars="0" w:firstLine="0" w:firstLineChars="0"/>
        <w:jc w:val="both"/>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 xml:space="preserve">10、操作系统：支持银河麒麟、统信等操作系统； </w:t>
      </w:r>
    </w:p>
    <w:p w14:paraId="78703FC2">
      <w:pPr>
        <w:pStyle w:val="9"/>
        <w:widowControl/>
        <w:numPr>
          <w:ilvl w:val="0"/>
          <w:numId w:val="0"/>
        </w:numPr>
        <w:spacing w:line="360" w:lineRule="auto"/>
        <w:ind w:left="0" w:leftChars="0" w:right="0" w:rightChars="0" w:firstLine="0" w:firstLineChars="0"/>
        <w:jc w:val="both"/>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11、键鼠：防水键盘及抗菌鼠标；</w:t>
      </w:r>
    </w:p>
    <w:p w14:paraId="103BA01E">
      <w:pPr>
        <w:pStyle w:val="9"/>
        <w:widowControl/>
        <w:numPr>
          <w:ilvl w:val="0"/>
          <w:numId w:val="0"/>
        </w:numPr>
        <w:spacing w:line="360" w:lineRule="auto"/>
        <w:ind w:left="0" w:leftChars="0" w:right="0" w:rightChars="0" w:firstLine="0" w:firstLineChars="0"/>
        <w:jc w:val="both"/>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12、显示器：≥23.8寸LED示器，分辨率≥1920×1080,刷新率≥100Hz，对比度≥3000:1，HDMI和VGA双接口，配HDMI高清线直连，与主机同品牌；</w:t>
      </w:r>
    </w:p>
    <w:p w14:paraId="78FFE07E">
      <w:pPr>
        <w:pStyle w:val="9"/>
        <w:widowControl/>
        <w:numPr>
          <w:ilvl w:val="0"/>
          <w:numId w:val="0"/>
        </w:numPr>
        <w:spacing w:line="360" w:lineRule="auto"/>
        <w:ind w:left="0" w:leftChars="0" w:right="0" w:rightChars="0" w:firstLine="0" w:firstLineChars="0"/>
        <w:jc w:val="both"/>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13、应用功能: 所投台式计算机均可配备管理软件且具有以下功能，以满足采购人设备统一管理与临床应用的要求；</w:t>
      </w:r>
    </w:p>
    <w:p w14:paraId="298AC3B8">
      <w:pPr>
        <w:pStyle w:val="9"/>
        <w:widowControl/>
        <w:numPr>
          <w:ilvl w:val="0"/>
          <w:numId w:val="0"/>
        </w:numPr>
        <w:spacing w:line="360" w:lineRule="auto"/>
        <w:ind w:left="0" w:leftChars="0" w:right="0" w:rightChars="0" w:firstLine="0" w:firstLineChars="0"/>
        <w:jc w:val="both"/>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b/>
          <w:bCs/>
          <w:snapToGrid w:val="0"/>
          <w:color w:val="000000"/>
          <w:spacing w:val="4"/>
          <w:kern w:val="0"/>
          <w:sz w:val="31"/>
          <w:szCs w:val="31"/>
          <w:lang w:val="en-US" w:eastAsia="zh-CN" w:bidi="ar-SA"/>
        </w:rPr>
        <w:t>*</w:t>
      </w:r>
      <w:r>
        <w:rPr>
          <w:rFonts w:hint="eastAsia" w:ascii="仿宋" w:hAnsi="仿宋" w:eastAsia="仿宋" w:cs="仿宋"/>
          <w:snapToGrid w:val="0"/>
          <w:color w:val="000000"/>
          <w:spacing w:val="4"/>
          <w:kern w:val="0"/>
          <w:sz w:val="31"/>
          <w:szCs w:val="31"/>
          <w:lang w:val="en-US" w:eastAsia="zh-CN" w:bidi="ar-SA"/>
        </w:rPr>
        <w:t>（1）能够实时检测 CPU 温度、内存使用情况、网速使用情况、并且能够实时查看到主机编号以及保修信息；</w:t>
      </w:r>
    </w:p>
    <w:p w14:paraId="7CB8DC4B">
      <w:pPr>
        <w:pStyle w:val="9"/>
        <w:widowControl/>
        <w:numPr>
          <w:ilvl w:val="0"/>
          <w:numId w:val="0"/>
        </w:numPr>
        <w:spacing w:line="360" w:lineRule="auto"/>
        <w:ind w:left="0" w:leftChars="0" w:right="0" w:rightChars="0" w:firstLine="0" w:firstLineChars="0"/>
        <w:jc w:val="both"/>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b/>
          <w:bCs/>
          <w:snapToGrid w:val="0"/>
          <w:color w:val="000000"/>
          <w:spacing w:val="4"/>
          <w:kern w:val="0"/>
          <w:sz w:val="31"/>
          <w:szCs w:val="31"/>
          <w:lang w:val="en-US" w:eastAsia="zh-CN" w:bidi="ar-SA"/>
        </w:rPr>
        <w:t>*</w:t>
      </w:r>
      <w:r>
        <w:rPr>
          <w:rFonts w:hint="eastAsia" w:ascii="仿宋" w:hAnsi="仿宋" w:eastAsia="仿宋" w:cs="仿宋"/>
          <w:snapToGrid w:val="0"/>
          <w:color w:val="000000"/>
          <w:spacing w:val="4"/>
          <w:kern w:val="0"/>
          <w:sz w:val="31"/>
          <w:szCs w:val="31"/>
          <w:lang w:val="en-US" w:eastAsia="zh-CN" w:bidi="ar-SA"/>
        </w:rPr>
        <w:t>（2）能够对计算机进行软硬件一体化综合体检，主动发现电脑中存在的问题，并提供一键的自动化解决方案；</w:t>
      </w:r>
    </w:p>
    <w:p w14:paraId="6AB042C2">
      <w:pPr>
        <w:pStyle w:val="9"/>
        <w:widowControl/>
        <w:numPr>
          <w:ilvl w:val="0"/>
          <w:numId w:val="0"/>
        </w:numPr>
        <w:spacing w:line="360" w:lineRule="auto"/>
        <w:ind w:left="0" w:leftChars="0" w:right="0" w:rightChars="0" w:firstLine="0" w:firstLineChars="0"/>
        <w:jc w:val="both"/>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b/>
          <w:bCs/>
          <w:snapToGrid w:val="0"/>
          <w:color w:val="000000"/>
          <w:spacing w:val="4"/>
          <w:kern w:val="0"/>
          <w:sz w:val="31"/>
          <w:szCs w:val="31"/>
          <w:lang w:val="en-US" w:eastAsia="zh-CN" w:bidi="ar-SA"/>
        </w:rPr>
        <w:t>*</w:t>
      </w:r>
      <w:r>
        <w:rPr>
          <w:rFonts w:hint="eastAsia" w:ascii="仿宋" w:hAnsi="仿宋" w:eastAsia="仿宋" w:cs="仿宋"/>
          <w:snapToGrid w:val="0"/>
          <w:color w:val="000000"/>
          <w:spacing w:val="4"/>
          <w:kern w:val="0"/>
          <w:sz w:val="31"/>
          <w:szCs w:val="31"/>
          <w:lang w:val="en-US" w:eastAsia="zh-CN" w:bidi="ar-SA"/>
        </w:rPr>
        <w:t>（3）能够在线对计算机提供自动解决、人工服务等多种解决方案，可快捷方便解决在电脑使用过程中遇到的常见问题；</w:t>
      </w:r>
    </w:p>
    <w:p w14:paraId="4D5F6BEF">
      <w:pPr>
        <w:pStyle w:val="9"/>
        <w:widowControl/>
        <w:numPr>
          <w:ilvl w:val="0"/>
          <w:numId w:val="0"/>
        </w:numPr>
        <w:spacing w:line="360" w:lineRule="auto"/>
        <w:ind w:left="0" w:leftChars="0" w:right="0" w:rightChars="0" w:firstLine="0" w:firstLineChars="0"/>
        <w:jc w:val="both"/>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b/>
          <w:bCs/>
          <w:snapToGrid w:val="0"/>
          <w:color w:val="000000"/>
          <w:spacing w:val="4"/>
          <w:kern w:val="0"/>
          <w:sz w:val="31"/>
          <w:szCs w:val="31"/>
          <w:lang w:val="en-US" w:eastAsia="zh-CN" w:bidi="ar-SA"/>
        </w:rPr>
        <w:t>*</w:t>
      </w:r>
      <w:r>
        <w:rPr>
          <w:rFonts w:hint="eastAsia" w:ascii="仿宋" w:hAnsi="仿宋" w:eastAsia="仿宋" w:cs="仿宋"/>
          <w:snapToGrid w:val="0"/>
          <w:color w:val="000000"/>
          <w:spacing w:val="4"/>
          <w:kern w:val="0"/>
          <w:sz w:val="31"/>
          <w:szCs w:val="31"/>
          <w:lang w:val="en-US" w:eastAsia="zh-CN" w:bidi="ar-SA"/>
        </w:rPr>
        <w:t>（4）能够智能驱动功能，快捷完成驱动程序的检测、下载、安装全流程。</w:t>
      </w:r>
    </w:p>
    <w:p w14:paraId="6DAB2355">
      <w:pPr>
        <w:pStyle w:val="9"/>
        <w:widowControl/>
        <w:numPr>
          <w:ilvl w:val="0"/>
          <w:numId w:val="0"/>
        </w:numPr>
        <w:spacing w:line="360" w:lineRule="auto"/>
        <w:ind w:left="0" w:leftChars="0" w:right="0" w:rightChars="0" w:firstLine="0" w:firstLineChars="0"/>
        <w:jc w:val="both"/>
        <w:rPr>
          <w:rFonts w:hint="eastAsia" w:ascii="仿宋" w:hAnsi="仿宋" w:eastAsia="仿宋" w:cs="仿宋"/>
          <w:b/>
          <w:bCs/>
          <w:snapToGrid w:val="0"/>
          <w:color w:val="000000"/>
          <w:spacing w:val="4"/>
          <w:kern w:val="0"/>
          <w:sz w:val="31"/>
          <w:szCs w:val="31"/>
          <w:lang w:val="en-US" w:eastAsia="zh-CN" w:bidi="ar-SA"/>
        </w:rPr>
      </w:pPr>
      <w:r>
        <w:rPr>
          <w:rFonts w:hint="eastAsia" w:ascii="仿宋" w:hAnsi="仿宋" w:eastAsia="仿宋" w:cs="仿宋"/>
          <w:b/>
          <w:bCs/>
          <w:snapToGrid w:val="0"/>
          <w:color w:val="000000"/>
          <w:spacing w:val="4"/>
          <w:kern w:val="0"/>
          <w:sz w:val="31"/>
          <w:szCs w:val="31"/>
          <w:lang w:val="en-US" w:eastAsia="zh-CN" w:bidi="ar-SA"/>
        </w:rPr>
        <w:t>注：投标人应在中标后5个工作日内，向采购人提供所投产品满足带“*”号技术参数要求的功能演示截图及相关佐证材料并加盖制造商公章佐证。</w:t>
      </w:r>
    </w:p>
    <w:p w14:paraId="56F8F734">
      <w:pPr>
        <w:pStyle w:val="9"/>
        <w:widowControl/>
        <w:numPr>
          <w:ilvl w:val="0"/>
          <w:numId w:val="0"/>
        </w:numPr>
        <w:spacing w:line="360" w:lineRule="auto"/>
        <w:ind w:left="0" w:leftChars="0" w:right="0" w:rightChars="0" w:firstLine="0" w:firstLineChars="0"/>
        <w:jc w:val="both"/>
        <w:rPr>
          <w:rFonts w:hint="default" w:ascii="宋体" w:hAnsi="宋体" w:eastAsia="宋体" w:cs="宋体"/>
          <w:color w:val="auto"/>
          <w:sz w:val="28"/>
          <w:szCs w:val="28"/>
          <w:lang w:val="en-US" w:eastAsia="zh-CN"/>
        </w:rPr>
      </w:pPr>
      <w:r>
        <w:rPr>
          <w:rFonts w:hint="eastAsia" w:ascii="宋体" w:hAnsi="宋体" w:cs="宋体"/>
          <w:snapToGrid w:val="0"/>
          <w:color w:val="auto"/>
          <w:kern w:val="2"/>
          <w:sz w:val="28"/>
          <w:szCs w:val="28"/>
          <w:lang w:val="en-US" w:eastAsia="zh-CN" w:bidi="ar"/>
        </w:rPr>
        <w:t>二</w:t>
      </w:r>
      <w:r>
        <w:rPr>
          <w:rFonts w:hint="eastAsia" w:ascii="宋体" w:hAnsi="宋体" w:eastAsia="宋体" w:cs="宋体"/>
          <w:snapToGrid w:val="0"/>
          <w:color w:val="auto"/>
          <w:kern w:val="2"/>
          <w:sz w:val="28"/>
          <w:szCs w:val="28"/>
          <w:lang w:val="en-US" w:eastAsia="zh-CN" w:bidi="ar"/>
        </w:rPr>
        <w:t>）</w:t>
      </w:r>
      <w:r>
        <w:rPr>
          <w:rFonts w:hint="eastAsia" w:ascii="宋体" w:hAnsi="宋体" w:cs="宋体"/>
          <w:b/>
          <w:sz w:val="32"/>
          <w:szCs w:val="32"/>
          <w:lang w:val="en-US" w:eastAsia="zh-CN"/>
        </w:rPr>
        <w:t>商务条款</w:t>
      </w:r>
    </w:p>
    <w:p w14:paraId="79CA386A">
      <w:pPr>
        <w:pageBreakBefore w:val="0"/>
        <w:widowControl w:val="0"/>
        <w:wordWrap/>
        <w:overflowPunct/>
        <w:topLinePunct w:val="0"/>
        <w:bidi w:val="0"/>
        <w:spacing w:before="185" w:line="360" w:lineRule="auto"/>
        <w:outlineLvl w:val="0"/>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1、验收交付后质保期内，中标方必须及时免费维修、更换有缺陷的产品或部件。如果中标方收到采购人通知后，在24小时内做出响应，确需工作人员现场指导或维修的按约定时间到位，48小时内解决故障。若在48小时内仍未能有效解决，中标方须免费提供同档次的设备予采购人临时使用。若中标方不能按时到场解决故障或者提供备用设备，采购人有权采取请人维修、使用同类替代产品等必要的措施，但由此产生的相关费用全部由中标方承担。如经中标方两次维修或更换，货物仍不能达到质量标准，采购人有权退货，中标方应退回相应货款、自行运回货物；</w:t>
      </w:r>
    </w:p>
    <w:p w14:paraId="285DC759">
      <w:pPr>
        <w:pageBreakBefore w:val="0"/>
        <w:widowControl w:val="0"/>
        <w:wordWrap/>
        <w:overflowPunct/>
        <w:topLinePunct w:val="0"/>
        <w:bidi w:val="0"/>
        <w:spacing w:before="185" w:line="360" w:lineRule="auto"/>
        <w:outlineLvl w:val="0"/>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2、中标方应与制造商签订所提供的产品享有制造商完全质量保证及要求产品保修和维修的权利的合同，并向采购人提供书面文件副本。当制造商不完全履行义务时，中标方有责任与义务要求制造商履行义务，必要时，采购人支持中标方提起法律诉讼，否则，由中标方承担制造商应承担的全部责任；</w:t>
      </w:r>
    </w:p>
    <w:p w14:paraId="161686A1">
      <w:pPr>
        <w:pageBreakBefore w:val="0"/>
        <w:widowControl w:val="0"/>
        <w:wordWrap/>
        <w:overflowPunct/>
        <w:topLinePunct w:val="0"/>
        <w:bidi w:val="0"/>
        <w:spacing w:before="185" w:line="360" w:lineRule="auto"/>
        <w:outlineLvl w:val="0"/>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3、中标方承诺所提供的货物应是全新的、原装的和未使用过的，并符合国家有关制造标准和环保要求。中标方按国家及生产厂家提供的质保期和质保内容提供质保，并负责终身有偿维修，自验收合格后免费保修3年。质保期内正常使用中出现故障，由中标方提供免费维修并更换损坏的配件，保修期外的维修收费双方协商收费；</w:t>
      </w:r>
    </w:p>
    <w:p w14:paraId="3562A9BD">
      <w:pPr>
        <w:pageBreakBefore w:val="0"/>
        <w:widowControl w:val="0"/>
        <w:wordWrap/>
        <w:overflowPunct/>
        <w:topLinePunct w:val="0"/>
        <w:bidi w:val="0"/>
        <w:spacing w:before="185" w:line="360" w:lineRule="auto"/>
        <w:outlineLvl w:val="0"/>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4、交货地点及货物风险转移：送货上门，并根据采购人的交货批次要求送货到位。税金、保险、途中货物包装、运输、验收、保管等一切费用中标方全部承担，货物一切风险在验收合格之前由中标方承担。交货地点为：采购人指定地点。</w:t>
      </w:r>
    </w:p>
    <w:p w14:paraId="25A8B4AB">
      <w:pPr>
        <w:pageBreakBefore w:val="0"/>
        <w:widowControl w:val="0"/>
        <w:wordWrap/>
        <w:overflowPunct/>
        <w:topLinePunct w:val="0"/>
        <w:bidi w:val="0"/>
        <w:spacing w:before="185" w:line="360" w:lineRule="auto"/>
        <w:outlineLvl w:val="0"/>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5、验收方式</w:t>
      </w:r>
    </w:p>
    <w:p w14:paraId="40D75CA8">
      <w:pPr>
        <w:pageBreakBefore w:val="0"/>
        <w:widowControl w:val="0"/>
        <w:wordWrap/>
        <w:overflowPunct/>
        <w:topLinePunct w:val="0"/>
        <w:bidi w:val="0"/>
        <w:spacing w:before="185" w:line="360" w:lineRule="auto"/>
        <w:outlineLvl w:val="0"/>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由采购单位和中标方双方负责人共同验收，验收要求按招标文件要求执行；验收时中标方应将产品合格证、公司经营许可证、中文使用说明书证件一并交付，否则视同为验收不合格，按延期交货处理。</w:t>
      </w:r>
    </w:p>
    <w:p w14:paraId="07997020">
      <w:pPr>
        <w:pageBreakBefore w:val="0"/>
        <w:widowControl w:val="0"/>
        <w:wordWrap/>
        <w:overflowPunct/>
        <w:topLinePunct w:val="0"/>
        <w:bidi w:val="0"/>
        <w:spacing w:before="185" w:line="360" w:lineRule="auto"/>
        <w:outlineLvl w:val="0"/>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6、中标方必须配合采购单位要求安装好相关系统再予以交付。</w:t>
      </w:r>
    </w:p>
    <w:p w14:paraId="7C3A6DAB">
      <w:pPr>
        <w:pageBreakBefore w:val="0"/>
        <w:widowControl w:val="0"/>
        <w:wordWrap/>
        <w:overflowPunct/>
        <w:topLinePunct w:val="0"/>
        <w:bidi w:val="0"/>
        <w:spacing w:before="185" w:line="360" w:lineRule="auto"/>
        <w:outlineLvl w:val="0"/>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7、免费维保服务：原厂三年整机免费保修,三年上门服务。</w:t>
      </w:r>
    </w:p>
    <w:p w14:paraId="000CA72A">
      <w:pPr>
        <w:pageBreakBefore w:val="0"/>
        <w:widowControl w:val="0"/>
        <w:wordWrap/>
        <w:overflowPunct/>
        <w:topLinePunct w:val="0"/>
        <w:bidi w:val="0"/>
        <w:spacing w:before="185" w:line="360" w:lineRule="auto"/>
        <w:outlineLvl w:val="0"/>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8、售后服务要求：售后服务时间承诺7*8小时服务。</w:t>
      </w:r>
    </w:p>
    <w:p w14:paraId="2E3CE017">
      <w:pPr>
        <w:pageBreakBefore w:val="0"/>
        <w:widowControl w:val="0"/>
        <w:wordWrap/>
        <w:overflowPunct/>
        <w:topLinePunct w:val="0"/>
        <w:bidi w:val="0"/>
        <w:spacing w:before="185" w:line="360" w:lineRule="auto"/>
        <w:outlineLvl w:val="0"/>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9、履行期限：中标方应在本合同签订后30天内负责将合同内中标商品货物设备供货到甲方指定地点安装、调试完毕并交付使用。</w:t>
      </w:r>
    </w:p>
    <w:p w14:paraId="6EB9CFD3">
      <w:pPr>
        <w:pageBreakBefore w:val="0"/>
        <w:widowControl w:val="0"/>
        <w:wordWrap/>
        <w:overflowPunct/>
        <w:topLinePunct w:val="0"/>
        <w:bidi w:val="0"/>
        <w:spacing w:before="185" w:line="360" w:lineRule="auto"/>
        <w:outlineLvl w:val="0"/>
        <w:rPr>
          <w:rFonts w:hint="eastAsia" w:ascii="仿宋" w:hAnsi="仿宋" w:eastAsia="仿宋" w:cs="仿宋"/>
          <w:snapToGrid w:val="0"/>
          <w:color w:val="000000"/>
          <w:spacing w:val="4"/>
          <w:kern w:val="0"/>
          <w:sz w:val="31"/>
          <w:szCs w:val="31"/>
          <w:lang w:val="en-US" w:eastAsia="zh-CN" w:bidi="ar-SA"/>
        </w:rPr>
      </w:pPr>
      <w:r>
        <w:rPr>
          <w:rFonts w:hint="eastAsia" w:ascii="仿宋" w:hAnsi="仿宋" w:eastAsia="仿宋" w:cs="仿宋"/>
          <w:snapToGrid w:val="0"/>
          <w:color w:val="000000"/>
          <w:spacing w:val="4"/>
          <w:kern w:val="0"/>
          <w:sz w:val="31"/>
          <w:szCs w:val="31"/>
          <w:lang w:val="en-US" w:eastAsia="zh-CN" w:bidi="ar-SA"/>
        </w:rPr>
        <w:t>10、付款方式：设备到货验收合格并按采购单位要求达到验收要求后安装相关系统后支付合同金额90%，剩余10%在验收合格满1年后无息付清。</w:t>
      </w:r>
    </w:p>
    <w:p w14:paraId="5FE951AA">
      <w:pPr>
        <w:pageBreakBefore w:val="0"/>
        <w:widowControl w:val="0"/>
        <w:wordWrap/>
        <w:overflowPunct/>
        <w:topLinePunct w:val="0"/>
        <w:bidi w:val="0"/>
        <w:spacing w:before="185" w:line="360" w:lineRule="auto"/>
        <w:ind w:left="480"/>
        <w:outlineLvl w:val="0"/>
        <w:rPr>
          <w:rFonts w:hint="eastAsia" w:ascii="仿宋" w:hAnsi="仿宋" w:eastAsia="仿宋" w:cs="仿宋"/>
          <w:snapToGrid w:val="0"/>
          <w:color w:val="000000"/>
          <w:spacing w:val="4"/>
          <w:kern w:val="0"/>
          <w:sz w:val="31"/>
          <w:szCs w:val="31"/>
          <w:lang w:val="en-US" w:eastAsia="zh-CN" w:bidi="ar-SA"/>
        </w:rPr>
      </w:pPr>
    </w:p>
    <w:p w14:paraId="57BC091F">
      <w:pPr>
        <w:pageBreakBefore w:val="0"/>
        <w:widowControl w:val="0"/>
        <w:wordWrap/>
        <w:overflowPunct/>
        <w:topLinePunct w:val="0"/>
        <w:bidi w:val="0"/>
        <w:spacing w:before="185" w:line="360" w:lineRule="auto"/>
        <w:outlineLvl w:val="0"/>
        <w:rPr>
          <w:color w:val="auto"/>
          <w:highlight w:val="none"/>
          <w:lang w:eastAsia="zh-CN"/>
        </w:rPr>
      </w:pPr>
      <w:r>
        <w:rPr>
          <w:rFonts w:hint="eastAsia" w:ascii="仿宋" w:hAnsi="仿宋" w:eastAsia="仿宋" w:cs="仿宋"/>
          <w:b/>
          <w:bCs/>
          <w:snapToGrid w:val="0"/>
          <w:color w:val="000000"/>
          <w:spacing w:val="4"/>
          <w:kern w:val="0"/>
          <w:sz w:val="31"/>
          <w:szCs w:val="31"/>
          <w:lang w:val="en-US" w:eastAsia="zh-CN" w:bidi="ar-SA"/>
        </w:rPr>
        <w:t>备注：以上技术与商务条款必须全部作出实质性响应，否则视为无效投标。</w:t>
      </w:r>
    </w:p>
    <w:p w14:paraId="516A9A2B"/>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方正大黑简体">
    <w:altName w:val="黑体"/>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A9D00D">
    <w:pPr>
      <w:pStyle w:val="8"/>
      <w:rPr>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1FA98A15">
                          <w:pPr>
                            <w:pStyle w:val="8"/>
                            <w:rPr>
                              <w:rFonts w:ascii="宋体" w:hAnsi="宋体" w:eastAsia="宋体"/>
                              <w:sz w:val="22"/>
                              <w:szCs w:val="18"/>
                            </w:rPr>
                          </w:pPr>
                          <w:r>
                            <w:rPr>
                              <w:sz w:val="22"/>
                              <w:szCs w:val="18"/>
                            </w:rPr>
                            <w:fldChar w:fldCharType="begin"/>
                          </w:r>
                          <w:r>
                            <w:rPr>
                              <w:sz w:val="22"/>
                              <w:szCs w:val="18"/>
                            </w:rPr>
                            <w:instrText xml:space="preserve"> PAGE  \* MERGEFORMAT </w:instrText>
                          </w:r>
                          <w:r>
                            <w:rPr>
                              <w:sz w:val="22"/>
                              <w:szCs w:val="18"/>
                            </w:rPr>
                            <w:fldChar w:fldCharType="separate"/>
                          </w:r>
                          <w:r>
                            <w:rPr>
                              <w:sz w:val="22"/>
                              <w:szCs w:val="18"/>
                            </w:rPr>
                            <w:t>- 58 -</w:t>
                          </w:r>
                          <w:r>
                            <w:rPr>
                              <w:sz w:val="22"/>
                              <w:szCs w:val="1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LNJWO7QAAAABQEAAA8AAAAAAAAAAQAgAAAAIgAAAGRycy9kb3ducmV2Lnht&#10;bFBLAQIUABQAAAAIAIdO4kBuYpJVOgIAAHEEAAAOAAAAAAAAAAEAIAAAAB8BAABkcnMvZTJvRG9j&#10;LnhtbFBLBQYAAAAABgAGAFkBAADLBQAAAAA=&#10;">
              <v:fill on="f" focussize="0,0"/>
              <v:stroke on="f" weight="0.5pt"/>
              <v:imagedata o:title=""/>
              <o:lock v:ext="edit" aspectratio="f"/>
              <v:textbox inset="0mm,0mm,0mm,0mm" style="mso-fit-shape-to-text:t;">
                <w:txbxContent>
                  <w:p w14:paraId="1FA98A15">
                    <w:pPr>
                      <w:pStyle w:val="8"/>
                      <w:rPr>
                        <w:rFonts w:ascii="宋体" w:hAnsi="宋体" w:eastAsia="宋体"/>
                        <w:sz w:val="22"/>
                        <w:szCs w:val="18"/>
                      </w:rPr>
                    </w:pPr>
                    <w:r>
                      <w:rPr>
                        <w:sz w:val="22"/>
                        <w:szCs w:val="18"/>
                      </w:rPr>
                      <w:fldChar w:fldCharType="begin"/>
                    </w:r>
                    <w:r>
                      <w:rPr>
                        <w:sz w:val="22"/>
                        <w:szCs w:val="18"/>
                      </w:rPr>
                      <w:instrText xml:space="preserve"> PAGE  \* MERGEFORMAT </w:instrText>
                    </w:r>
                    <w:r>
                      <w:rPr>
                        <w:sz w:val="22"/>
                        <w:szCs w:val="18"/>
                      </w:rPr>
                      <w:fldChar w:fldCharType="separate"/>
                    </w:r>
                    <w:r>
                      <w:rPr>
                        <w:sz w:val="22"/>
                        <w:szCs w:val="18"/>
                      </w:rPr>
                      <w:t>- 58 -</w:t>
                    </w:r>
                    <w:r>
                      <w:rPr>
                        <w:sz w:val="22"/>
                        <w:szCs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175427"/>
    <w:multiLevelType w:val="multilevel"/>
    <w:tmpl w:val="23175427"/>
    <w:lvl w:ilvl="0" w:tentative="0">
      <w:start w:val="1"/>
      <w:numFmt w:val="decimal"/>
      <w:isLgl/>
      <w:suff w:val="space"/>
      <w:lvlText w:val="第%1章"/>
      <w:lvlJc w:val="left"/>
      <w:pPr>
        <w:ind w:left="0" w:firstLine="0"/>
      </w:pPr>
      <w:rPr>
        <w:rFonts w:hint="default" w:cs="Times New Roman" w:asciiTheme="majorHAnsi" w:hAnsiTheme="majorHAnsi" w:eastAsiaTheme="majorEastAsia"/>
        <w:b/>
        <w:bCs w:val="0"/>
        <w:i w:val="0"/>
        <w:iCs w:val="0"/>
        <w:caps w:val="0"/>
        <w:strike w:val="0"/>
        <w:dstrike w:val="0"/>
        <w:vanish w:val="0"/>
        <w:color w:val="000000"/>
        <w:spacing w:val="0"/>
        <w:position w:val="0"/>
        <w:sz w:val="32"/>
        <w:szCs w:val="32"/>
        <w:u w:val="none"/>
        <w:vertAlign w:val="baseline"/>
      </w:rPr>
    </w:lvl>
    <w:lvl w:ilvl="1" w:tentative="0">
      <w:start w:val="1"/>
      <w:numFmt w:val="decimal"/>
      <w:isLgl/>
      <w:suff w:val="space"/>
      <w:lvlText w:val="%1.%2"/>
      <w:lvlJc w:val="left"/>
      <w:pPr>
        <w:ind w:left="0" w:firstLine="0"/>
      </w:pPr>
      <w:rPr>
        <w:rFonts w:hint="default" w:asciiTheme="majorHAnsi" w:hAnsiTheme="majorHAnsi" w:eastAsiaTheme="majorEastAsia"/>
        <w:b/>
        <w:bCs w:val="0"/>
        <w:i w:val="0"/>
        <w:iCs w:val="0"/>
        <w:caps w:val="0"/>
        <w:smallCaps w:val="0"/>
        <w:strike w:val="0"/>
        <w:dstrike w:val="0"/>
        <w:vanish w:val="0"/>
        <w:color w:val="000000"/>
        <w:spacing w:val="0"/>
        <w:position w:val="0"/>
        <w:sz w:val="30"/>
        <w:szCs w:val="28"/>
        <w:u w:val="none"/>
        <w:vertAlign w:val="baseline"/>
        <w:lang w:val="en-US"/>
      </w:rPr>
    </w:lvl>
    <w:lvl w:ilvl="2" w:tentative="0">
      <w:start w:val="1"/>
      <w:numFmt w:val="decimal"/>
      <w:pStyle w:val="4"/>
      <w:isLgl/>
      <w:suff w:val="space"/>
      <w:lvlText w:val="%1.%2.%3"/>
      <w:lvlJc w:val="left"/>
      <w:pPr>
        <w:ind w:left="0" w:firstLine="0"/>
      </w:pPr>
      <w:rPr>
        <w:rFonts w:hint="default" w:cs="Times New Roman" w:asciiTheme="majorHAnsi" w:hAnsiTheme="majorHAnsi" w:eastAsiaTheme="majorEastAsia"/>
        <w:b/>
        <w:bCs w:val="0"/>
        <w:i w:val="0"/>
        <w:iCs w:val="0"/>
        <w:caps w:val="0"/>
        <w:smallCaps w:val="0"/>
        <w:strike w:val="0"/>
        <w:dstrike w:val="0"/>
        <w:vanish w:val="0"/>
        <w:color w:val="000000"/>
        <w:spacing w:val="0"/>
        <w:position w:val="0"/>
        <w:sz w:val="30"/>
        <w:szCs w:val="30"/>
        <w:u w:val="none"/>
        <w:vertAlign w:val="baseline"/>
      </w:rPr>
    </w:lvl>
    <w:lvl w:ilvl="3" w:tentative="0">
      <w:start w:val="1"/>
      <w:numFmt w:val="decimal"/>
      <w:isLgl/>
      <w:suff w:val="space"/>
      <w:lvlText w:val="%1.%2.%3.%4"/>
      <w:lvlJc w:val="left"/>
      <w:pPr>
        <w:ind w:left="0" w:firstLine="0"/>
      </w:pPr>
      <w:rPr>
        <w:rFonts w:hint="default" w:cs="Times New Roman" w:asciiTheme="majorHAnsi" w:hAnsiTheme="majorHAnsi" w:eastAsiaTheme="majorEastAsia"/>
        <w:b/>
        <w:bCs w:val="0"/>
        <w:i w:val="0"/>
        <w:iCs w:val="0"/>
        <w:caps w:val="0"/>
        <w:smallCaps w:val="0"/>
        <w:strike w:val="0"/>
        <w:dstrike w:val="0"/>
        <w:vanish w:val="0"/>
        <w:color w:val="auto"/>
        <w:spacing w:val="0"/>
        <w:position w:val="0"/>
        <w:sz w:val="28"/>
        <w:szCs w:val="28"/>
        <w:u w:val="none"/>
        <w:vertAlign w:val="baseline"/>
      </w:rPr>
    </w:lvl>
    <w:lvl w:ilvl="4" w:tentative="0">
      <w:start w:val="1"/>
      <w:numFmt w:val="decimal"/>
      <w:isLgl/>
      <w:suff w:val="space"/>
      <w:lvlText w:val="%1.%2.%3.%4.%5"/>
      <w:lvlJc w:val="left"/>
      <w:pPr>
        <w:ind w:left="0" w:firstLine="0"/>
      </w:pPr>
      <w:rPr>
        <w:rFonts w:hint="eastAsia" w:cs="Times New Roman"/>
        <w:b/>
        <w:bCs w:val="0"/>
        <w:i w:val="0"/>
        <w:iCs w:val="0"/>
        <w:caps w:val="0"/>
        <w:smallCaps w:val="0"/>
        <w:strike w:val="0"/>
        <w:dstrike w:val="0"/>
        <w:vanish w:val="0"/>
        <w:color w:val="000000"/>
        <w:spacing w:val="0"/>
        <w:position w:val="0"/>
        <w:u w:val="none"/>
        <w:vertAlign w:val="baseline"/>
      </w:rPr>
    </w:lvl>
    <w:lvl w:ilvl="5" w:tentative="0">
      <w:start w:val="1"/>
      <w:numFmt w:val="decimal"/>
      <w:isLgl/>
      <w:suff w:val="space"/>
      <w:lvlText w:val="%1.%2.%3.%4.%5.%6"/>
      <w:lvlJc w:val="left"/>
      <w:pPr>
        <w:ind w:left="0" w:firstLine="0"/>
      </w:pPr>
      <w:rPr>
        <w:rFonts w:hint="default" w:asciiTheme="majorHAnsi" w:hAnsiTheme="majorHAnsi" w:eastAsiaTheme="majorEastAsia"/>
        <w:b/>
        <w:i w:val="0"/>
        <w:sz w:val="24"/>
        <w:szCs w:val="24"/>
      </w:rPr>
    </w:lvl>
    <w:lvl w:ilvl="6" w:tentative="0">
      <w:start w:val="1"/>
      <w:numFmt w:val="decimal"/>
      <w:isLgl/>
      <w:lvlText w:val="%1.%2.%3.%4.%5.%6.%7"/>
      <w:lvlJc w:val="left"/>
      <w:pPr>
        <w:tabs>
          <w:tab w:val="left" w:pos="1134"/>
        </w:tabs>
        <w:ind w:left="0" w:firstLine="0"/>
      </w:pPr>
      <w:rPr>
        <w:rFonts w:hint="eastAsia" w:ascii="Times New Roman" w:hAnsi="Times New Roman" w:cs="Times New Roman"/>
        <w:b/>
        <w:bCs w:val="0"/>
        <w:i w:val="0"/>
        <w:iCs w:val="0"/>
        <w:caps w:val="0"/>
        <w:smallCaps w:val="0"/>
        <w:strike w:val="0"/>
        <w:dstrike w:val="0"/>
        <w:vanish w:val="0"/>
        <w:color w:val="000000"/>
        <w:spacing w:val="0"/>
        <w:position w:val="0"/>
        <w:sz w:val="24"/>
        <w:szCs w:val="24"/>
        <w:u w:val="none"/>
        <w:vertAlign w:val="baseline"/>
      </w:rPr>
    </w:lvl>
    <w:lvl w:ilvl="7" w:tentative="0">
      <w:start w:val="1"/>
      <w:numFmt w:val="lowerLetter"/>
      <w:lvlText w:val="%8)"/>
      <w:lvlJc w:val="left"/>
      <w:pPr>
        <w:ind w:left="0" w:firstLine="0"/>
      </w:pPr>
      <w:rPr>
        <w:rFonts w:hint="eastAsia"/>
      </w:rPr>
    </w:lvl>
    <w:lvl w:ilvl="8" w:tentative="0">
      <w:start w:val="1"/>
      <w:numFmt w:val="lowerRoman"/>
      <w:lvlText w:val="%9."/>
      <w:lvlJc w:val="right"/>
      <w:pPr>
        <w:ind w:left="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0N2ZjMGVmNjM2ZmIzYWQ4ZjU0OTcyNmI0YWFmM2MifQ=="/>
  </w:docVars>
  <w:rsids>
    <w:rsidRoot w:val="43617DD0"/>
    <w:rsid w:val="057A07B8"/>
    <w:rsid w:val="05842F58"/>
    <w:rsid w:val="26290CEF"/>
    <w:rsid w:val="2A76095E"/>
    <w:rsid w:val="325E6F98"/>
    <w:rsid w:val="358E2903"/>
    <w:rsid w:val="3AE96BE3"/>
    <w:rsid w:val="3D486C28"/>
    <w:rsid w:val="3E35547E"/>
    <w:rsid w:val="416F3582"/>
    <w:rsid w:val="43617DD0"/>
    <w:rsid w:val="5684380C"/>
    <w:rsid w:val="631141F6"/>
    <w:rsid w:val="6ADA6EA4"/>
    <w:rsid w:val="75BE4D68"/>
    <w:rsid w:val="799F43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2"/>
    <w:basedOn w:val="1"/>
    <w:next w:val="1"/>
    <w:qFormat/>
    <w:uiPriority w:val="9"/>
    <w:pPr>
      <w:keepNext/>
      <w:keepLines/>
      <w:spacing w:before="260" w:beforeLines="0" w:after="260" w:afterLines="0" w:line="416" w:lineRule="auto"/>
      <w:outlineLvl w:val="1"/>
    </w:pPr>
    <w:rPr>
      <w:rFonts w:ascii="Calibri Light" w:hAnsi="Calibri Light" w:eastAsia="宋体" w:cs="Times New Roman"/>
      <w:b/>
      <w:bCs/>
      <w:sz w:val="32"/>
      <w:szCs w:val="32"/>
    </w:rPr>
  </w:style>
  <w:style w:type="paragraph" w:styleId="4">
    <w:name w:val="heading 3"/>
    <w:basedOn w:val="1"/>
    <w:next w:val="1"/>
    <w:autoRedefine/>
    <w:qFormat/>
    <w:uiPriority w:val="0"/>
    <w:pPr>
      <w:keepNext/>
      <w:numPr>
        <w:ilvl w:val="2"/>
        <w:numId w:val="1"/>
      </w:numPr>
      <w:outlineLvl w:val="2"/>
    </w:pPr>
    <w:rPr>
      <w:rFonts w:asciiTheme="majorHAnsi" w:hAnsiTheme="majorHAnsi" w:eastAsiaTheme="majorEastAsia"/>
      <w:b/>
      <w:bCs/>
      <w:sz w:val="30"/>
      <w:szCs w:val="32"/>
    </w:rPr>
  </w:style>
  <w:style w:type="character" w:default="1" w:styleId="14">
    <w:name w:val="Default Paragraph Font"/>
    <w:semiHidden/>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1"/>
    <w:pPr>
      <w:jc w:val="center"/>
    </w:pPr>
    <w:rPr>
      <w:rFonts w:ascii="方正大黑简体" w:eastAsia="方正大黑简体"/>
      <w:kern w:val="44"/>
      <w:position w:val="6"/>
      <w:sz w:val="30"/>
      <w:szCs w:val="20"/>
    </w:rPr>
  </w:style>
  <w:style w:type="paragraph" w:styleId="5">
    <w:name w:val="index 5"/>
    <w:basedOn w:val="1"/>
    <w:next w:val="1"/>
    <w:qFormat/>
    <w:uiPriority w:val="0"/>
    <w:pPr>
      <w:widowControl/>
      <w:spacing w:line="240" w:lineRule="atLeast"/>
      <w:ind w:left="800" w:leftChars="800"/>
    </w:pPr>
    <w:rPr>
      <w:rFonts w:ascii="Arial" w:hAnsi="Arial"/>
      <w:kern w:val="0"/>
      <w:szCs w:val="21"/>
    </w:rPr>
  </w:style>
  <w:style w:type="paragraph" w:styleId="6">
    <w:name w:val="Body Text Indent"/>
    <w:basedOn w:val="1"/>
    <w:next w:val="7"/>
    <w:autoRedefine/>
    <w:qFormat/>
    <w:uiPriority w:val="0"/>
    <w:pPr>
      <w:spacing w:after="120" w:afterLines="0"/>
      <w:ind w:left="420" w:leftChars="200"/>
    </w:pPr>
  </w:style>
  <w:style w:type="paragraph" w:styleId="7">
    <w:name w:val="envelope return"/>
    <w:basedOn w:val="1"/>
    <w:autoRedefine/>
    <w:qFormat/>
    <w:uiPriority w:val="0"/>
    <w:pPr>
      <w:widowControl/>
      <w:adjustRightInd w:val="0"/>
      <w:snapToGrid w:val="0"/>
      <w:spacing w:after="200" w:afterLines="0"/>
    </w:pPr>
    <w:rPr>
      <w:rFonts w:ascii="Arial" w:hAnsi="Arial" w:eastAsia="微软雅黑"/>
    </w:rPr>
  </w:style>
  <w:style w:type="paragraph" w:styleId="8">
    <w:name w:val="footer"/>
    <w:basedOn w:val="1"/>
    <w:autoRedefine/>
    <w:qFormat/>
    <w:uiPriority w:val="0"/>
    <w:pPr>
      <w:tabs>
        <w:tab w:val="center" w:pos="4153"/>
        <w:tab w:val="right" w:pos="8306"/>
      </w:tabs>
    </w:pPr>
    <w:rPr>
      <w:sz w:val="18"/>
    </w:rPr>
  </w:style>
  <w:style w:type="paragraph" w:styleId="9">
    <w:name w:val="toc 1"/>
    <w:basedOn w:val="1"/>
    <w:next w:val="1"/>
    <w:autoRedefine/>
    <w:unhideWhenUsed/>
    <w:qFormat/>
    <w:uiPriority w:val="39"/>
    <w:pPr>
      <w:tabs>
        <w:tab w:val="right" w:leader="dot" w:pos="8296"/>
      </w:tabs>
    </w:pPr>
    <w:rPr>
      <w:rFonts w:ascii="宋体" w:hAnsi="宋体" w:cs="宋体"/>
    </w:rPr>
  </w:style>
  <w:style w:type="paragraph" w:styleId="10">
    <w:name w:val="Body Text First Indent"/>
    <w:basedOn w:val="2"/>
    <w:autoRedefine/>
    <w:qFormat/>
    <w:uiPriority w:val="0"/>
    <w:pPr>
      <w:ind w:firstLine="420" w:firstLineChars="100"/>
    </w:pPr>
  </w:style>
  <w:style w:type="paragraph" w:styleId="11">
    <w:name w:val="Body Text First Indent 2"/>
    <w:basedOn w:val="6"/>
    <w:next w:val="1"/>
    <w:autoRedefine/>
    <w:qFormat/>
    <w:uiPriority w:val="0"/>
    <w:pPr>
      <w:ind w:firstLine="420" w:firstLineChars="200"/>
    </w:pPr>
    <w:rPr>
      <w:rFonts w:ascii="Calibri" w:hAnsi="Calibri"/>
    </w:rPr>
  </w:style>
  <w:style w:type="table" w:styleId="13">
    <w:name w:val="Table Grid"/>
    <w:basedOn w:val="1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autoRedefine/>
    <w:qFormat/>
    <w:uiPriority w:val="0"/>
    <w:rPr>
      <w:b/>
      <w:bCs/>
    </w:rPr>
  </w:style>
  <w:style w:type="paragraph" w:customStyle="1" w:styleId="16">
    <w:name w:val="标准段落正文"/>
    <w:basedOn w:val="17"/>
    <w:autoRedefine/>
    <w:qFormat/>
    <w:uiPriority w:val="0"/>
    <w:pPr>
      <w:ind w:firstLine="480"/>
    </w:pPr>
  </w:style>
  <w:style w:type="paragraph" w:customStyle="1" w:styleId="17">
    <w:name w:val="单括号小标题"/>
    <w:basedOn w:val="1"/>
    <w:autoRedefine/>
    <w:qFormat/>
    <w:uiPriority w:val="0"/>
    <w:pPr>
      <w:spacing w:before="156" w:beforeLines="50" w:after="312" w:afterLines="100" w:line="360" w:lineRule="auto"/>
      <w:ind w:left="567"/>
      <w:jc w:val="left"/>
    </w:pPr>
    <w:rPr>
      <w:rFonts w:eastAsia="黑体"/>
      <w:sz w:val="24"/>
    </w:rPr>
  </w:style>
  <w:style w:type="table" w:customStyle="1" w:styleId="18">
    <w:name w:val="Table Normal"/>
    <w:autoRedefine/>
    <w:semiHidden/>
    <w:unhideWhenUsed/>
    <w:qFormat/>
    <w:uiPriority w:val="0"/>
    <w:tblPr>
      <w:tblCellMar>
        <w:top w:w="0" w:type="dxa"/>
        <w:left w:w="0" w:type="dxa"/>
        <w:bottom w:w="0" w:type="dxa"/>
        <w:right w:w="0" w:type="dxa"/>
      </w:tblCellMar>
    </w:tblPr>
  </w:style>
  <w:style w:type="paragraph" w:customStyle="1" w:styleId="19">
    <w:name w:val="Table Text"/>
    <w:basedOn w:val="1"/>
    <w:autoRedefine/>
    <w:semiHidden/>
    <w:qFormat/>
    <w:uiPriority w:val="0"/>
  </w:style>
  <w:style w:type="character" w:customStyle="1" w:styleId="20">
    <w:name w:val="font21"/>
    <w:basedOn w:val="14"/>
    <w:autoRedefine/>
    <w:qFormat/>
    <w:uiPriority w:val="0"/>
    <w:rPr>
      <w:rFonts w:hint="eastAsia" w:ascii="仿宋" w:hAnsi="仿宋" w:eastAsia="仿宋" w:cs="仿宋"/>
      <w:b/>
      <w:bCs/>
      <w:color w:val="000000"/>
      <w:sz w:val="22"/>
      <w:szCs w:val="22"/>
      <w:u w:val="none"/>
    </w:rPr>
  </w:style>
  <w:style w:type="character" w:customStyle="1" w:styleId="21">
    <w:name w:val="font81"/>
    <w:basedOn w:val="14"/>
    <w:autoRedefine/>
    <w:qFormat/>
    <w:uiPriority w:val="0"/>
    <w:rPr>
      <w:rFonts w:hint="eastAsia" w:ascii="仿宋" w:hAnsi="仿宋" w:eastAsia="仿宋" w:cs="仿宋"/>
      <w:b/>
      <w:bCs/>
      <w:color w:val="FF0000"/>
      <w:sz w:val="22"/>
      <w:szCs w:val="22"/>
      <w:u w:val="none"/>
    </w:rPr>
  </w:style>
  <w:style w:type="paragraph" w:customStyle="1" w:styleId="22">
    <w:name w:val="Table Paragraph"/>
    <w:basedOn w:val="1"/>
    <w:autoRedefine/>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12215</Words>
  <Characters>12631</Characters>
  <Lines>0</Lines>
  <Paragraphs>0</Paragraphs>
  <TotalTime>0</TotalTime>
  <ScaleCrop>false</ScaleCrop>
  <LinksUpToDate>false</LinksUpToDate>
  <CharactersWithSpaces>12901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2022-07-06T09:09:00Z</dcterms:created>
  <dc:creator>lenovo</dc:creator>
  <cp:lastModifiedBy>lenovo</cp:lastModifiedBy>
  <dcterms:modified xsi:type="dcterms:W3CDTF">2026-06-01T06:55:55Z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11198F7CA7FD438D80656C1298717D05</vt:lpwstr>
  </property>
  <property fmtid="{D5CDD505-2E9C-101B-9397-08002B2CF9AE}" pid="4" name="KSOTemplateDocerSaveRecord">
    <vt:lpwstr>eyJoZGlkIjoiMmQ0N2ZjMGVmNjM2ZmIzYWQ4ZjU0OTcyNmI0YWFmM2MiLCJ1c2VySWQiOiIxMjY3MjA3ODAyIn0=</vt:lpwstr>
  </property>
</Properties>
</file>