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92A890">
      <w:pPr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20" w:lineRule="auto"/>
        <w:jc w:val="center"/>
        <w:textAlignment w:val="baseline"/>
        <w:outlineLvl w:val="0"/>
        <w:rPr>
          <w:rFonts w:hint="eastAsia" w:ascii="宋体" w:hAnsi="宋体" w:eastAsia="宋体" w:cs="宋体"/>
          <w:color w:val="000000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Toc3720"/>
      <w:r>
        <w:rPr>
          <w:rFonts w:hint="eastAsia" w:ascii="宋体" w:hAnsi="宋体" w:eastAsia="宋体" w:cs="宋体"/>
          <w:color w:val="000000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2F8F8E6C">
      <w:pPr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20" w:lineRule="auto"/>
        <w:jc w:val="center"/>
        <w:textAlignment w:val="baseline"/>
        <w:outlineLvl w:val="0"/>
        <w:rPr>
          <w:rFonts w:hint="eastAsia" w:ascii="宋体" w:hAnsi="宋体" w:eastAsia="宋体" w:cs="宋体"/>
          <w:color w:val="000000"/>
          <w:spacing w:val="9"/>
          <w:sz w:val="31"/>
          <w:szCs w:val="31"/>
          <w:highlight w:val="none"/>
          <w:lang w:val="en-US" w:eastAsia="en-US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3" w:name="_GoBack"/>
      <w:bookmarkEnd w:id="3"/>
    </w:p>
    <w:p w14:paraId="0F2A714C">
      <w:pPr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20" w:lineRule="auto"/>
        <w:jc w:val="both"/>
        <w:textAlignment w:val="baseline"/>
        <w:outlineLvl w:val="0"/>
        <w:rPr>
          <w:rFonts w:ascii="宋体" w:hAnsi="宋体" w:eastAsia="宋体" w:cs="宋体"/>
          <w:snapToGrid w:val="0"/>
          <w:color w:val="000000"/>
          <w:spacing w:val="-2"/>
          <w:kern w:val="0"/>
          <w:sz w:val="24"/>
          <w:szCs w:val="24"/>
          <w:highlight w:val="none"/>
          <w:lang w:eastAsia="en-US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snapToGrid w:val="0"/>
          <w:color w:val="000000"/>
          <w:spacing w:val="-2"/>
          <w:kern w:val="0"/>
          <w:sz w:val="24"/>
          <w:szCs w:val="24"/>
          <w:lang w:val="en-US" w:eastAsia="en-US" w:bidi="ar-SA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snapToGrid w:val="0"/>
          <w:color w:val="000000"/>
          <w:spacing w:val="-2"/>
          <w:kern w:val="0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snapToGrid w:val="0"/>
          <w:color w:val="000000"/>
          <w:spacing w:val="-2"/>
          <w:kern w:val="0"/>
          <w:sz w:val="24"/>
          <w:szCs w:val="24"/>
          <w:highlight w:val="none"/>
          <w:lang w:eastAsia="en-US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End w:id="0"/>
    </w:p>
    <w:p w14:paraId="00D6E72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ascii="Arial" w:hAnsi="Arial" w:eastAsia="Arial" w:cs="Arial"/>
          <w:snapToGrid w:val="0"/>
          <w:color w:val="000000"/>
          <w:kern w:val="0"/>
          <w:szCs w:val="21"/>
          <w:highlight w:val="none"/>
          <w:lang w:eastAsia="en-US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1、项目基本情况: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/>
        </w:rPr>
        <w:t>萍乡市安源区生活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/>
        </w:rPr>
        <w:tab/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/>
        </w:rPr>
        <w:t>垃圾分类转运站，是安源区生活垃圾分类转运集中地，在分类转运过程会产生一定的垃圾渗滤液。本站建设有1套渗滤液污水处理站，处理分类中心和安源区其他垃圾中转站的渗滤液。设计处理渗滤液量为20m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vertAlign w:val="superscript"/>
          <w:lang w:val="en-US" w:eastAsia="zh-CN"/>
        </w:rPr>
        <w:t>3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/>
        </w:rPr>
        <w:t>/d。</w:t>
      </w:r>
    </w:p>
    <w:tbl>
      <w:tblPr>
        <w:tblStyle w:val="4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1C8660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27CEC85E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83" w:line="223" w:lineRule="auto"/>
              <w:ind w:left="1091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kern w:val="0"/>
                <w:szCs w:val="21"/>
                <w:highlight w:val="none"/>
                <w:lang w:eastAsia="en-US"/>
              </w:rPr>
              <w:drawing>
                <wp:anchor distT="0" distB="0" distL="0" distR="0" simplePos="0" relativeHeight="251660288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eastAsia="en-US"/>
              </w:rPr>
              <w:t>名</w:t>
            </w:r>
          </w:p>
          <w:p w14:paraId="6C82F925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5" w:lineRule="auto"/>
              <w:textAlignment w:val="baseline"/>
              <w:rPr>
                <w:rFonts w:ascii="Arial" w:hAnsi="Arial" w:eastAsia="Arial" w:cs="Arial"/>
                <w:snapToGrid w:val="0"/>
                <w:color w:val="000000"/>
                <w:sz w:val="21"/>
                <w:szCs w:val="21"/>
                <w:highlight w:val="none"/>
                <w:lang w:val="en-US" w:eastAsia="en-US" w:bidi="ar-SA"/>
              </w:rPr>
            </w:pPr>
          </w:p>
          <w:p w14:paraId="40F7ED8D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6" w:lineRule="auto"/>
              <w:textAlignment w:val="baseline"/>
              <w:rPr>
                <w:rFonts w:ascii="Arial" w:hAnsi="Arial" w:eastAsia="Arial" w:cs="Arial"/>
                <w:snapToGrid w:val="0"/>
                <w:color w:val="000000"/>
                <w:sz w:val="21"/>
                <w:szCs w:val="21"/>
                <w:highlight w:val="none"/>
                <w:lang w:val="en-US" w:eastAsia="en-US" w:bidi="ar-SA"/>
              </w:rPr>
            </w:pPr>
          </w:p>
          <w:p w14:paraId="22D0E8F0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219" w:lineRule="auto"/>
              <w:ind w:left="481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eastAsia="en-US"/>
              </w:rPr>
              <w:t>内</w:t>
            </w:r>
          </w:p>
          <w:p w14:paraId="2CCD6524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38" w:lineRule="auto"/>
              <w:textAlignment w:val="baseline"/>
              <w:rPr>
                <w:rFonts w:ascii="Arial" w:hAnsi="Arial" w:eastAsia="Arial" w:cs="Arial"/>
                <w:snapToGrid w:val="0"/>
                <w:color w:val="000000"/>
                <w:sz w:val="21"/>
                <w:szCs w:val="21"/>
                <w:highlight w:val="none"/>
                <w:lang w:val="en-US" w:eastAsia="en-US" w:bidi="ar-SA"/>
              </w:rPr>
            </w:pPr>
          </w:p>
          <w:p w14:paraId="56739E74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220" w:lineRule="auto"/>
              <w:ind w:left="1311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eastAsia="en-US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12B26195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63" w:lineRule="auto"/>
              <w:textAlignment w:val="baseline"/>
              <w:rPr>
                <w:rFonts w:ascii="Arial" w:hAnsi="Arial" w:eastAsia="Arial" w:cs="Arial"/>
                <w:snapToGrid w:val="0"/>
                <w:color w:val="000000"/>
                <w:sz w:val="21"/>
                <w:szCs w:val="21"/>
                <w:highlight w:val="none"/>
                <w:lang w:val="en-US" w:eastAsia="en-US" w:bidi="ar-SA"/>
              </w:rPr>
            </w:pPr>
          </w:p>
          <w:p w14:paraId="0743B18A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63" w:lineRule="auto"/>
              <w:textAlignment w:val="baseline"/>
              <w:rPr>
                <w:rFonts w:ascii="Arial" w:hAnsi="Arial" w:eastAsia="Arial" w:cs="Arial"/>
                <w:snapToGrid w:val="0"/>
                <w:color w:val="000000"/>
                <w:sz w:val="21"/>
                <w:szCs w:val="21"/>
                <w:highlight w:val="none"/>
                <w:lang w:val="en-US" w:eastAsia="en-US" w:bidi="ar-SA"/>
              </w:rPr>
            </w:pPr>
          </w:p>
          <w:p w14:paraId="144BF3D0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64" w:lineRule="auto"/>
              <w:textAlignment w:val="baseline"/>
              <w:rPr>
                <w:rFonts w:ascii="Arial" w:hAnsi="Arial" w:eastAsia="Arial" w:cs="Arial"/>
                <w:snapToGrid w:val="0"/>
                <w:color w:val="000000"/>
                <w:sz w:val="21"/>
                <w:szCs w:val="21"/>
                <w:highlight w:val="none"/>
                <w:lang w:val="en-US" w:eastAsia="en-US" w:bidi="ar-SA"/>
              </w:rPr>
            </w:pPr>
          </w:p>
          <w:p w14:paraId="537402C6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221" w:lineRule="auto"/>
              <w:ind w:left="192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eastAsia="en-US"/>
              </w:rPr>
              <w:t>称</w:t>
            </w:r>
          </w:p>
        </w:tc>
        <w:tc>
          <w:tcPr>
            <w:tcW w:w="6150" w:type="dxa"/>
            <w:vAlign w:val="center"/>
          </w:tcPr>
          <w:p w14:paraId="08CE9823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24"/>
                <w:highlight w:val="none"/>
                <w:lang w:val="en-US" w:eastAsia="en-US" w:bidi="ar-SA"/>
              </w:rPr>
              <w:t>安源区渗滤液处理站运维服务项目</w:t>
            </w:r>
          </w:p>
        </w:tc>
      </w:tr>
      <w:tr w14:paraId="23D2DF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  <w:vAlign w:val="center"/>
          </w:tcPr>
          <w:p w14:paraId="4F83765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1188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szCs w:val="24"/>
                <w:highlight w:val="none"/>
                <w:lang w:eastAsia="en-US"/>
              </w:rPr>
              <w:t>数量</w:t>
            </w:r>
          </w:p>
        </w:tc>
        <w:tc>
          <w:tcPr>
            <w:tcW w:w="6150" w:type="dxa"/>
            <w:vAlign w:val="center"/>
          </w:tcPr>
          <w:p w14:paraId="0E4CD573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24"/>
                <w:highlight w:val="none"/>
                <w:lang w:val="en-US" w:eastAsia="zh-CN" w:bidi="ar-SA"/>
              </w:rPr>
              <w:t>1项</w:t>
            </w:r>
          </w:p>
        </w:tc>
      </w:tr>
      <w:tr w14:paraId="612DA0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  <w:vAlign w:val="center"/>
          </w:tcPr>
          <w:p w14:paraId="74E7714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1071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-5"/>
                <w:kern w:val="0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24"/>
                <w:szCs w:val="24"/>
                <w:highlight w:val="none"/>
                <w:lang w:eastAsia="en-US"/>
              </w:rPr>
              <w:t>期</w:t>
            </w:r>
          </w:p>
        </w:tc>
        <w:tc>
          <w:tcPr>
            <w:tcW w:w="6150" w:type="dxa"/>
            <w:vAlign w:val="center"/>
          </w:tcPr>
          <w:p w14:paraId="2856DFA6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24"/>
                <w:highlight w:val="none"/>
                <w:lang w:val="en-US" w:eastAsia="zh-CN" w:bidi="ar-SA"/>
              </w:rPr>
              <w:t>3年</w:t>
            </w:r>
          </w:p>
        </w:tc>
      </w:tr>
      <w:tr w14:paraId="19CBEE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  <w:vAlign w:val="center"/>
          </w:tcPr>
          <w:p w14:paraId="69591CCF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951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-4"/>
                <w:kern w:val="0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24"/>
                <w:szCs w:val="24"/>
                <w:highlight w:val="none"/>
                <w:lang w:eastAsia="en-US"/>
              </w:rPr>
              <w:t>地点</w:t>
            </w:r>
          </w:p>
        </w:tc>
        <w:tc>
          <w:tcPr>
            <w:tcW w:w="6150" w:type="dxa"/>
            <w:vAlign w:val="center"/>
          </w:tcPr>
          <w:p w14:paraId="4BB6DCE7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24"/>
                <w:highlight w:val="none"/>
                <w:lang w:val="en-US" w:eastAsia="en-US" w:bidi="ar-SA"/>
              </w:rPr>
              <w:t>萍乡市安源区城乡环境综合治理中心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24"/>
                <w:highlight w:val="none"/>
                <w:lang w:val="en-US" w:eastAsia="zh-CN" w:bidi="ar-SA"/>
              </w:rPr>
              <w:t>指定地点</w:t>
            </w:r>
          </w:p>
        </w:tc>
      </w:tr>
      <w:tr w14:paraId="31E856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  <w:gridSpan w:val="2"/>
            <w:vAlign w:val="center"/>
          </w:tcPr>
          <w:p w14:paraId="62C91BD2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1189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7"/>
                <w:kern w:val="0"/>
                <w:sz w:val="24"/>
                <w:szCs w:val="24"/>
                <w:highlight w:val="none"/>
                <w:lang w:eastAsia="en-US"/>
              </w:rPr>
              <w:t>备注</w:t>
            </w:r>
          </w:p>
        </w:tc>
        <w:tc>
          <w:tcPr>
            <w:tcW w:w="6150" w:type="dxa"/>
            <w:vAlign w:val="center"/>
          </w:tcPr>
          <w:p w14:paraId="350793D5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24"/>
                <w:highlight w:val="none"/>
                <w:lang w:val="en-US" w:eastAsia="zh-CN" w:bidi="ar-SA"/>
              </w:rPr>
              <w:t>/</w:t>
            </w:r>
          </w:p>
        </w:tc>
      </w:tr>
    </w:tbl>
    <w:p w14:paraId="4F86D054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jc w:val="left"/>
        <w:textAlignment w:val="baseline"/>
        <w:rPr>
          <w:rFonts w:ascii="Arial" w:hAnsi="Arial" w:eastAsia="Arial" w:cs="Arial"/>
          <w:snapToGrid w:val="0"/>
          <w:color w:val="000000"/>
          <w:kern w:val="0"/>
          <w:szCs w:val="21"/>
          <w:highlight w:val="none"/>
          <w:lang w:eastAsia="en-US"/>
        </w:rPr>
      </w:pPr>
    </w:p>
    <w:p w14:paraId="6D7866AD">
      <w:pPr>
        <w:pageBreakBefore w:val="0"/>
        <w:widowControl w:val="0"/>
        <w:wordWrap/>
        <w:overflowPunct/>
        <w:topLinePunct w:val="0"/>
        <w:bidi w:val="0"/>
        <w:rPr>
          <w:b/>
          <w:bCs/>
          <w:color w:val="000000"/>
          <w:highlight w:val="none"/>
        </w:rPr>
        <w:sectPr>
          <w:footerReference r:id="rId3" w:type="default"/>
          <w:pgSz w:w="11906" w:h="16839"/>
          <w:pgMar w:top="1232" w:right="1786" w:bottom="1156" w:left="1786" w:header="0" w:footer="994" w:gutter="0"/>
          <w:pgNumType w:fmt="decimal"/>
          <w:cols w:space="720" w:num="1"/>
        </w:sectPr>
      </w:pPr>
    </w:p>
    <w:p w14:paraId="63C46ABF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47" w:line="219" w:lineRule="auto"/>
        <w:ind w:left="3805" w:leftChars="0"/>
        <w:jc w:val="left"/>
        <w:textAlignment w:val="baseline"/>
        <w:outlineLvl w:val="0"/>
        <w:rPr>
          <w:rFonts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eastAsia="en-US"/>
        </w:rPr>
      </w:pPr>
      <w:bookmarkStart w:id="1" w:name="bookmark81"/>
      <w:bookmarkEnd w:id="1"/>
      <w:bookmarkStart w:id="2" w:name="_Toc22924"/>
      <w:r>
        <w:rPr>
          <w:rFonts w:ascii="宋体" w:hAnsi="宋体" w:eastAsia="宋体" w:cs="宋体"/>
          <w:snapToGrid w:val="0"/>
          <w:color w:val="000000"/>
          <w:spacing w:val="-2"/>
          <w:kern w:val="0"/>
          <w:sz w:val="24"/>
          <w:szCs w:val="24"/>
          <w:highlight w:val="none"/>
          <w:lang w:eastAsia="en-US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snapToGrid w:val="0"/>
          <w:color w:val="000000"/>
          <w:spacing w:val="-2"/>
          <w:kern w:val="0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snapToGrid w:val="0"/>
          <w:color w:val="000000"/>
          <w:spacing w:val="-2"/>
          <w:kern w:val="0"/>
          <w:sz w:val="24"/>
          <w:szCs w:val="24"/>
          <w:highlight w:val="none"/>
          <w:lang w:eastAsia="en-US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  <w:bookmarkEnd w:id="2"/>
    </w:p>
    <w:p w14:paraId="5D258939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57" w:lineRule="auto"/>
        <w:jc w:val="left"/>
        <w:textAlignment w:val="baseline"/>
        <w:rPr>
          <w:rFonts w:ascii="Arial" w:hAnsi="Arial" w:eastAsia="Arial" w:cs="Arial"/>
          <w:snapToGrid w:val="0"/>
          <w:color w:val="000000"/>
          <w:kern w:val="0"/>
          <w:szCs w:val="21"/>
          <w:highlight w:val="none"/>
          <w:lang w:eastAsia="en-US"/>
        </w:rPr>
      </w:pPr>
    </w:p>
    <w:p w14:paraId="6EF4E5D2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58" w:lineRule="auto"/>
        <w:jc w:val="left"/>
        <w:textAlignment w:val="baseline"/>
        <w:rPr>
          <w:rFonts w:ascii="Arial" w:hAnsi="Arial" w:eastAsia="Arial" w:cs="Arial"/>
          <w:snapToGrid w:val="0"/>
          <w:color w:val="000000"/>
          <w:kern w:val="0"/>
          <w:szCs w:val="21"/>
          <w:highlight w:val="none"/>
          <w:lang w:eastAsia="en-US"/>
        </w:rPr>
      </w:pPr>
    </w:p>
    <w:p w14:paraId="0D9C0787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58" w:lineRule="auto"/>
        <w:jc w:val="left"/>
        <w:textAlignment w:val="baseline"/>
        <w:rPr>
          <w:rFonts w:ascii="Arial" w:hAnsi="Arial" w:eastAsia="Arial" w:cs="Arial"/>
          <w:snapToGrid w:val="0"/>
          <w:color w:val="000000"/>
          <w:kern w:val="0"/>
          <w:szCs w:val="21"/>
          <w:highlight w:val="none"/>
          <w:lang w:eastAsia="en-US"/>
        </w:rPr>
      </w:pPr>
    </w:p>
    <w:p w14:paraId="3607440E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4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4"/>
          <w:szCs w:val="24"/>
          <w:highlight w:val="none"/>
          <w:lang w:eastAsia="en-US"/>
        </w:rPr>
      </w:pPr>
      <w:r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4"/>
          <w:szCs w:val="24"/>
          <w:lang w:val="en-US" w:eastAsia="en-US" w:bidi="ar-SA"/>
        </w:rPr>
        <w:t>（一）</w:t>
      </w:r>
      <w:r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4"/>
          <w:szCs w:val="24"/>
          <w:highlight w:val="none"/>
          <w:lang w:val="en-US" w:eastAsia="zh-CN"/>
        </w:rPr>
        <w:t>服务</w:t>
      </w:r>
      <w:r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4"/>
          <w:szCs w:val="24"/>
          <w:highlight w:val="none"/>
          <w:lang w:eastAsia="en-US"/>
        </w:rPr>
        <w:t>需求</w:t>
      </w:r>
    </w:p>
    <w:p w14:paraId="2155C59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1、排放标准</w:t>
      </w:r>
    </w:p>
    <w:p w14:paraId="3596AEA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 xml:space="preserve">经处理后的渗滤液应达到国家颁布的《城镇污水处理厂污染物排放标准》(GB18918-2002含2006、2025年修改单）一级标准A标准。水质排放要求（日均值）如下: </w:t>
      </w:r>
    </w:p>
    <w:p w14:paraId="7E5D78E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default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COD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vertAlign w:val="subscript"/>
          <w:lang w:val="en-US" w:eastAsia="zh-CN" w:bidi="ar-SA"/>
        </w:rPr>
        <w:t>cr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≤50mg/L;BOD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vertAlign w:val="subscript"/>
          <w:lang w:val="en-US" w:eastAsia="zh-CN" w:bidi="ar-SA"/>
        </w:rPr>
        <w:t>5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≤10mg/L；SS≤10mg/L;NH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vertAlign w:val="subscript"/>
          <w:lang w:val="en-US" w:eastAsia="zh-CN" w:bidi="ar-SA"/>
        </w:rPr>
        <w:t>3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-N≤5（8）mg/L；TP≤0.5mg/L;TN≤15mg/L;pH：6-9等（一级标准A标准）。</w:t>
      </w:r>
    </w:p>
    <w:p w14:paraId="184E46D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（1）负责运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维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管理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渗滤液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处理站。</w:t>
      </w:r>
    </w:p>
    <w:p w14:paraId="16D1630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（2）负责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渗滤液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处理站日常维修、维护及运行管理，保证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渗滤液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处理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站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设备正常运行。</w:t>
      </w:r>
    </w:p>
    <w:p w14:paraId="356F1B1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（3）运行台账记录齐全。制定运行维护计划，落实专人管理，健全管理制度，做好管理维护记录。</w:t>
      </w:r>
    </w:p>
    <w:p w14:paraId="3D729E4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（4）负责配合生态环境局的抽检及水质检测工作（环保检查时要立即待命，随时待命，要随时关注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区域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内环保工作，并有义务开展好日常环保检查工作）。</w:t>
      </w:r>
    </w:p>
    <w:p w14:paraId="4FA4027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（5）负责日常水质监测分析及记录。按照国家或行业规定的检测项目、检测频次和有关标准、方法定期检测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渗滤液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处理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站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进水和出水等项目，做好各项检测分析资料和水质报表的汇总、归档。</w:t>
      </w:r>
    </w:p>
    <w:p w14:paraId="14945C5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（6）运行中出现的所有设备故障或损坏，均承担维修或更换费用。</w:t>
      </w:r>
    </w:p>
    <w:p w14:paraId="3D2294E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（7）负责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渗滤液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处理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站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设备的定期维保，以保证设备的正常运行，并按照规范要求填写《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渗滤液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设备保养记录》及保养内容。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渗滤液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设备保养记录及内容按照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渗滤液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处理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站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设备及厂家要求，结合国家规范制作，交采购人审核认可后使用。</w:t>
      </w:r>
    </w:p>
    <w:p w14:paraId="627E13D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（8）建立健全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渗滤液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处理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站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安全生产制度。</w:t>
      </w:r>
    </w:p>
    <w:p w14:paraId="40D2156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（9）工艺运行和管理：合理运行和管理各处理单元，连续进出水，杜绝调节池溢水现象。</w:t>
      </w:r>
    </w:p>
    <w:p w14:paraId="2A8683A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（10）遵守采购人的各项规章制度，服从采购人、采购人下属职能部门及采购人指定的第三方的管理及监督，严格要求自己，工作须着工服，并保持工服干净卫生，注意仪容仪表。对本职工作认真负责，积极主动配合采购人在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渗滤液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处理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站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的各项工作。</w:t>
      </w:r>
    </w:p>
    <w:p w14:paraId="16FD3E4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（11）卫生要求：及时打扫清理垃圾，时刻保持值班室内外卫生整洁，保持设备和机房卫生有序。</w:t>
      </w:r>
    </w:p>
    <w:p w14:paraId="5B19A1A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2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、日常工作要求</w:t>
      </w:r>
    </w:p>
    <w:p w14:paraId="32E67C8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（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1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）设备维修</w:t>
      </w:r>
    </w:p>
    <w:p w14:paraId="09EFC0B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①维护项目</w:t>
      </w:r>
    </w:p>
    <w:p w14:paraId="136EF7A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a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对所有设备，设施进行维修、保养，使之处于最佳运行状态。</w:t>
      </w:r>
    </w:p>
    <w:p w14:paraId="5A32EF5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b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对所有构筑物进行清理维修，使之能正常运转，发挥正常功效。</w:t>
      </w:r>
    </w:p>
    <w:p w14:paraId="36727AB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c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.在线监测设备校准，pH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计探头的定期校正及清洗</w:t>
      </w:r>
    </w:p>
    <w:p w14:paraId="2A867B6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②对设备的保养具体要求与实施</w:t>
      </w:r>
    </w:p>
    <w:p w14:paraId="33A0AC6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a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设备的初用阶段严格按照要求，在允许的时间范围内（100-300h）对润滑油或润滑脂进行更换。</w:t>
      </w:r>
    </w:p>
    <w:p w14:paraId="7CE45FC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b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保持设备的清洁与周围环境的清洁卫生。（定期、定时擦抹设备上的灰尘、紧固螺丝适当的涂抹润滑油或黄油、清理杂物以免吸入设备内）</w:t>
      </w:r>
    </w:p>
    <w:p w14:paraId="6140036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（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2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）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运维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操作</w:t>
      </w:r>
    </w:p>
    <w:p w14:paraId="5CEEDB7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①污水泵、加药泵、搅拌机、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pH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计等机器设备日常运作检修：包括机油添加、污染物清理、主要部件检查、密封性能检查等。</w:t>
      </w:r>
    </w:p>
    <w:p w14:paraId="63503B3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②构筑物检修：构筑物的完整、抗腐蚀性能、密封性能、各构筑物间的流畅性。</w:t>
      </w:r>
    </w:p>
    <w:p w14:paraId="5B8B8E0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③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日常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简单易损设备更换及维护：流量计、阀门、仪表、电控设备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、风机、水泵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等的维护及保养、更换。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水电费由中标单位自理。</w:t>
      </w:r>
    </w:p>
    <w:p w14:paraId="10AC4A3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ind w:firstLine="560" w:firstLineChars="200"/>
        <w:textAlignment w:val="baseline"/>
        <w:rPr>
          <w:rFonts w:hint="default" w:ascii="仿宋" w:hAnsi="仿宋" w:eastAsia="仿宋" w:cs="仿宋"/>
          <w:snapToGrid w:val="0"/>
          <w:color w:val="000000"/>
          <w:sz w:val="30"/>
          <w:szCs w:val="30"/>
          <w:lang w:val="en-US" w:eastAsia="zh-CN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④生产产生的污泥由中标人送至中节能萍乡市环保能源有限公司处置，转运费用由中标单位负责。</w:t>
      </w:r>
    </w:p>
    <w:p w14:paraId="5F349EC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（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3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）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运维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维护</w:t>
      </w:r>
    </w:p>
    <w:p w14:paraId="17E2BC3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①具有完善的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运维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作业流程</w:t>
      </w:r>
    </w:p>
    <w:p w14:paraId="1ED0A33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a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巡检、点检、维护、水处理过程中发现问题时，指派专人负责，可以及时解决的可以组织人员现场解决。不能及时解决的写于办公室白板上，并及时反应并跟踪处理。直到设备正常为止。</w:t>
      </w:r>
    </w:p>
    <w:p w14:paraId="797CBD8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b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除规定的点检外，每小时对各系统进行一次巡查，其中注意生化处理系统，格栅系统等。每小时填一次巡检记录。</w:t>
      </w:r>
    </w:p>
    <w:p w14:paraId="6AD4E8E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c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有其它工作时将所负责工作安排好方可离去。设备巡检时，随身携带好像胶手套及螺丝刀等工具。</w:t>
      </w:r>
    </w:p>
    <w:p w14:paraId="5CA5694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②运行前检查</w:t>
      </w:r>
    </w:p>
    <w:p w14:paraId="4C2B9DC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a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巡查废水站所有的设备是否处于正常待机状态，看各池液位，确认哪些需要开机处理。</w:t>
      </w:r>
    </w:p>
    <w:p w14:paraId="12123DD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b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检查配药中心地面附腐层是否完整，后来安装的设备是否补做了防腐层。</w:t>
      </w:r>
    </w:p>
    <w:p w14:paraId="5184B3D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c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检查各仪表（流量计）的设定范围是否合理。</w:t>
      </w:r>
    </w:p>
    <w:p w14:paraId="1BB2B97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d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检查栏杆、扶手、盖板是否安装齐全、牢固可靠，人易接触到的转动设备是否带有防护罩、防护网。</w:t>
      </w:r>
    </w:p>
    <w:p w14:paraId="1DE3CA2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e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检查设备、管道、电线安装完毕。</w:t>
      </w:r>
    </w:p>
    <w:p w14:paraId="20C10E4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f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检查设备类型、编号、就位状况与记录情况一致。</w:t>
      </w:r>
    </w:p>
    <w:p w14:paraId="4A66C3C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g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落实动力电源供应情况。</w:t>
      </w:r>
    </w:p>
    <w:p w14:paraId="3E996DF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h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检查各种所需药剂是否充足，检查设备是否加足了润滑剂及防锈剂。</w:t>
      </w:r>
    </w:p>
    <w:p w14:paraId="6B1EDFE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i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检查主要人行通道是否畅通，对横跨主要通道的管道是否做了保护措施。</w:t>
      </w:r>
    </w:p>
    <w:p w14:paraId="0E0EE61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j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检查安装施工产生的垃圾是否被清除。</w:t>
      </w:r>
    </w:p>
    <w:p w14:paraId="02A7656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③定期保养</w:t>
      </w:r>
    </w:p>
    <w:p w14:paraId="43AB7D5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一般情况下，设备连续运转一个月或停机一个月后重新开机应保养一次，润滑油首次使用运行 50-100 小时需要更换，以后第三个月更换一次，不得过满或欠缺。包括如下内容：</w:t>
      </w:r>
    </w:p>
    <w:p w14:paraId="4BCDA81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a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检查所有轴承以及电机润滑是否良好。</w:t>
      </w:r>
    </w:p>
    <w:p w14:paraId="25DF7D8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b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检查接头及管路是滞泄露和损坏。</w:t>
      </w:r>
    </w:p>
    <w:p w14:paraId="09BD40B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c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阀门仪表是否有损坏或其他缺陷，是否需要更换。</w:t>
      </w:r>
    </w:p>
    <w:p w14:paraId="69DA945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d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管道和阀门是否畅通、有无泄露。</w:t>
      </w:r>
    </w:p>
    <w:p w14:paraId="17DDBED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④取样分析</w:t>
      </w:r>
    </w:p>
    <w:p w14:paraId="59075A3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a.与生态环境局平行取样确保排放达标。</w:t>
      </w:r>
    </w:p>
    <w:p w14:paraId="75094A2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b.每天认真如实记录运行记录。</w:t>
      </w:r>
    </w:p>
    <w:p w14:paraId="72CDCDB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⑤档案管理</w:t>
      </w:r>
    </w:p>
    <w:p w14:paraId="6792379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a.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 xml:space="preserve">建立完备的档案管理制度，包括资料的收集、整理、鉴定、统计、归档、保管、借阅、检查、销毁等规定和工作流程； </w:t>
      </w:r>
    </w:p>
    <w:p w14:paraId="08204D4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b.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 xml:space="preserve">相关电子类动态数据文件应定期进行更新，保证电子档案的完整性、准确性，并加以备份； </w:t>
      </w:r>
    </w:p>
    <w:p w14:paraId="263E0F7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c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 xml:space="preserve">.技术档案应包括各级各类技术规范、标准和操作规程、设施设备台账、水质泥质检测报告、工程技术档案、巡查/维护/监控监测/人员出入记录以及技术状况分析报告、各类突发事件的应急预案等； </w:t>
      </w:r>
    </w:p>
    <w:p w14:paraId="7EAB213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en-US" w:bidi="ar-SA"/>
        </w:rPr>
        <w:t>d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.渗滤液处理站应根据环境监督管理的要求，按照《城镇污水处理厂运行监督管理技术规范》(HJ2038-2014)及相关技术规范,建立分类信息台账、并收集、整理和保存渗滤液处理设施建设及其运行的相关信息。</w:t>
      </w:r>
    </w:p>
    <w:p w14:paraId="390ADAC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移交</w:t>
      </w:r>
    </w:p>
    <w:p w14:paraId="29E34F6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2"/>
          <w:lang w:val="en-US" w:eastAsia="zh-CN" w:bidi="ar-SA"/>
        </w:rPr>
        <w:t>服务期结束后，中标单位需将本项目设施无偿、完好地移交给采购人或政府方指定机构所有，应保证本项目处于良好的管理和养护状况(正常损耗除外)、处于正常使用状态且符合适用法律、法规、技术规定的安全和环境等有关标准。</w:t>
      </w:r>
    </w:p>
    <w:p w14:paraId="622C7443">
      <w:pPr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default" w:ascii="宋体" w:hAnsi="宋体" w:eastAsia="宋体" w:cs="宋体"/>
          <w:snapToGrid/>
          <w:color w:val="000000"/>
          <w:kern w:val="2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8"/>
          <w:lang w:val="en-US" w:eastAsia="zh-CN"/>
        </w:rPr>
        <w:br w:type="page"/>
      </w:r>
    </w:p>
    <w:p w14:paraId="4ACF4F30"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8"/>
          <w:lang w:val="en-US" w:eastAsia="zh-CN"/>
        </w:rPr>
        <w:t>运维费用主要包括人工费、劳保费、部分维修费、公司管理费、不可控风险费和服务税金。(水、电费由中标单位负责)具体如下表：</w:t>
      </w:r>
    </w:p>
    <w:p w14:paraId="0E7D78CA"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宋体" w:hAnsi="宋体" w:eastAsia="宋体" w:cs="宋体"/>
          <w:snapToGrid/>
          <w:color w:val="000000"/>
          <w:kern w:val="2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8"/>
          <w:lang w:val="en-US" w:eastAsia="zh-CN"/>
        </w:rPr>
        <w:t>运维</w:t>
      </w:r>
      <w:r>
        <w:rPr>
          <w:rFonts w:hint="eastAsia" w:ascii="宋体" w:hAnsi="宋体" w:eastAsia="宋体" w:cs="宋体"/>
          <w:snapToGrid/>
          <w:color w:val="000000"/>
          <w:kern w:val="2"/>
          <w:sz w:val="28"/>
          <w:szCs w:val="28"/>
          <w:lang w:eastAsia="zh-CN"/>
        </w:rPr>
        <w:t>费用概算表</w:t>
      </w:r>
    </w:p>
    <w:tbl>
      <w:tblPr>
        <w:tblStyle w:val="2"/>
        <w:tblW w:w="103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4"/>
        <w:gridCol w:w="1675"/>
        <w:gridCol w:w="4586"/>
        <w:gridCol w:w="1115"/>
        <w:gridCol w:w="1110"/>
        <w:gridCol w:w="1216"/>
      </w:tblGrid>
      <w:tr w14:paraId="3985FB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684" w:type="dxa"/>
            <w:noWrap w:val="0"/>
            <w:vAlign w:val="center"/>
          </w:tcPr>
          <w:p w14:paraId="652030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1675" w:type="dxa"/>
            <w:noWrap w:val="0"/>
            <w:vAlign w:val="center"/>
          </w:tcPr>
          <w:p w14:paraId="5FD550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eastAsia="zh-CN"/>
              </w:rPr>
              <w:t>费用项目</w:t>
            </w:r>
          </w:p>
        </w:tc>
        <w:tc>
          <w:tcPr>
            <w:tcW w:w="4586" w:type="dxa"/>
            <w:noWrap w:val="0"/>
            <w:vAlign w:val="center"/>
          </w:tcPr>
          <w:p w14:paraId="506072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费用项目分类</w:t>
            </w:r>
          </w:p>
        </w:tc>
        <w:tc>
          <w:tcPr>
            <w:tcW w:w="1115" w:type="dxa"/>
            <w:noWrap w:val="0"/>
            <w:vAlign w:val="center"/>
          </w:tcPr>
          <w:p w14:paraId="55021F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eastAsia="zh-CN"/>
              </w:rPr>
              <w:t>数量</w:t>
            </w:r>
          </w:p>
        </w:tc>
        <w:tc>
          <w:tcPr>
            <w:tcW w:w="1110" w:type="dxa"/>
            <w:noWrap w:val="0"/>
            <w:vAlign w:val="center"/>
          </w:tcPr>
          <w:p w14:paraId="04324A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单位</w:t>
            </w:r>
          </w:p>
        </w:tc>
        <w:tc>
          <w:tcPr>
            <w:tcW w:w="1216" w:type="dxa"/>
            <w:noWrap w:val="0"/>
            <w:vAlign w:val="center"/>
          </w:tcPr>
          <w:p w14:paraId="708742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eastAsia="zh-CN"/>
              </w:rPr>
              <w:t>年费用（元）</w:t>
            </w:r>
          </w:p>
        </w:tc>
      </w:tr>
      <w:tr w14:paraId="6FDCD3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atLeast"/>
          <w:jc w:val="center"/>
        </w:trPr>
        <w:tc>
          <w:tcPr>
            <w:tcW w:w="684" w:type="dxa"/>
            <w:tcBorders>
              <w:tl2br w:val="nil"/>
              <w:tr2bl w:val="nil"/>
            </w:tcBorders>
            <w:noWrap w:val="0"/>
            <w:vAlign w:val="center"/>
          </w:tcPr>
          <w:p w14:paraId="273754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1675" w:type="dxa"/>
            <w:tcBorders>
              <w:tl2br w:val="nil"/>
              <w:tr2bl w:val="nil"/>
            </w:tcBorders>
            <w:noWrap w:val="0"/>
            <w:vAlign w:val="center"/>
          </w:tcPr>
          <w:p w14:paraId="216658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eastAsia="zh-CN"/>
              </w:rPr>
              <w:t>人工费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用</w:t>
            </w:r>
          </w:p>
        </w:tc>
        <w:tc>
          <w:tcPr>
            <w:tcW w:w="4586" w:type="dxa"/>
            <w:tcBorders>
              <w:tl2br w:val="nil"/>
              <w:tr2bl w:val="nil"/>
            </w:tcBorders>
            <w:noWrap w:val="0"/>
            <w:vAlign w:val="center"/>
          </w:tcPr>
          <w:p w14:paraId="1B606C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含整个运维团队人员的工资、福利、保险、管理等费用</w:t>
            </w:r>
          </w:p>
        </w:tc>
        <w:tc>
          <w:tcPr>
            <w:tcW w:w="1115" w:type="dxa"/>
            <w:tcBorders>
              <w:tl2br w:val="nil"/>
              <w:tr2bl w:val="nil"/>
            </w:tcBorders>
            <w:noWrap w:val="0"/>
            <w:vAlign w:val="center"/>
          </w:tcPr>
          <w:p w14:paraId="799AD6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noWrap w:val="0"/>
            <w:vAlign w:val="center"/>
          </w:tcPr>
          <w:p w14:paraId="283F59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项</w:t>
            </w:r>
          </w:p>
        </w:tc>
        <w:tc>
          <w:tcPr>
            <w:tcW w:w="1216" w:type="dxa"/>
            <w:tcBorders>
              <w:tl2br w:val="nil"/>
              <w:tr2bl w:val="nil"/>
            </w:tcBorders>
            <w:noWrap w:val="0"/>
            <w:vAlign w:val="center"/>
          </w:tcPr>
          <w:p w14:paraId="3FB1F8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526F0F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684" w:type="dxa"/>
            <w:tcBorders>
              <w:tl2br w:val="nil"/>
              <w:tr2bl w:val="nil"/>
            </w:tcBorders>
            <w:noWrap w:val="0"/>
            <w:vAlign w:val="center"/>
          </w:tcPr>
          <w:p w14:paraId="0C9922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675" w:type="dxa"/>
            <w:tcBorders>
              <w:tl2br w:val="nil"/>
              <w:tr2bl w:val="nil"/>
            </w:tcBorders>
            <w:noWrap w:val="0"/>
            <w:vAlign w:val="center"/>
          </w:tcPr>
          <w:p w14:paraId="54DB99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劳保用品费用</w:t>
            </w:r>
          </w:p>
        </w:tc>
        <w:tc>
          <w:tcPr>
            <w:tcW w:w="4586" w:type="dxa"/>
            <w:tcBorders>
              <w:tl2br w:val="nil"/>
              <w:tr2bl w:val="nil"/>
            </w:tcBorders>
            <w:noWrap w:val="0"/>
            <w:vAlign w:val="center"/>
          </w:tcPr>
          <w:p w14:paraId="12BE47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胶鞋、手套、护目镜、口罩、工作服、夏季防暑降温用品等</w:t>
            </w:r>
          </w:p>
        </w:tc>
        <w:tc>
          <w:tcPr>
            <w:tcW w:w="1115" w:type="dxa"/>
            <w:tcBorders>
              <w:tl2br w:val="nil"/>
              <w:tr2bl w:val="nil"/>
            </w:tcBorders>
            <w:noWrap w:val="0"/>
            <w:vAlign w:val="center"/>
          </w:tcPr>
          <w:p w14:paraId="231008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noWrap w:val="0"/>
            <w:vAlign w:val="center"/>
          </w:tcPr>
          <w:p w14:paraId="62C22F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年</w:t>
            </w:r>
          </w:p>
        </w:tc>
        <w:tc>
          <w:tcPr>
            <w:tcW w:w="1216" w:type="dxa"/>
            <w:tcBorders>
              <w:tl2br w:val="nil"/>
              <w:tr2bl w:val="nil"/>
            </w:tcBorders>
            <w:noWrap w:val="0"/>
            <w:vAlign w:val="center"/>
          </w:tcPr>
          <w:p w14:paraId="32CBD8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6863E7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684" w:type="dxa"/>
            <w:tcBorders>
              <w:tl2br w:val="nil"/>
              <w:tr2bl w:val="nil"/>
            </w:tcBorders>
            <w:noWrap w:val="0"/>
            <w:vAlign w:val="center"/>
          </w:tcPr>
          <w:p w14:paraId="2D1EB1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675" w:type="dxa"/>
            <w:tcBorders>
              <w:tl2br w:val="nil"/>
              <w:tr2bl w:val="nil"/>
            </w:tcBorders>
            <w:noWrap w:val="0"/>
            <w:vAlign w:val="center"/>
          </w:tcPr>
          <w:p w14:paraId="25CAC1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药剂费用</w:t>
            </w:r>
          </w:p>
        </w:tc>
        <w:tc>
          <w:tcPr>
            <w:tcW w:w="4586" w:type="dxa"/>
            <w:tcBorders>
              <w:tl2br w:val="nil"/>
              <w:tr2bl w:val="nil"/>
            </w:tcBorders>
            <w:noWrap w:val="0"/>
            <w:vAlign w:val="center"/>
          </w:tcPr>
          <w:p w14:paraId="589D8C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污水处理药剂（PAC、PAM、片碱、阳离子阻垢剂、碳源等)等药剂费用的采购及运输</w:t>
            </w:r>
          </w:p>
        </w:tc>
        <w:tc>
          <w:tcPr>
            <w:tcW w:w="1115" w:type="dxa"/>
            <w:tcBorders>
              <w:tl2br w:val="nil"/>
              <w:tr2bl w:val="nil"/>
            </w:tcBorders>
            <w:noWrap w:val="0"/>
            <w:vAlign w:val="center"/>
          </w:tcPr>
          <w:p w14:paraId="415BC8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noWrap w:val="0"/>
            <w:vAlign w:val="center"/>
          </w:tcPr>
          <w:p w14:paraId="0DC377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年</w:t>
            </w:r>
          </w:p>
        </w:tc>
        <w:tc>
          <w:tcPr>
            <w:tcW w:w="1216" w:type="dxa"/>
            <w:tcBorders>
              <w:tl2br w:val="nil"/>
              <w:tr2bl w:val="nil"/>
            </w:tcBorders>
            <w:noWrap w:val="0"/>
            <w:vAlign w:val="center"/>
          </w:tcPr>
          <w:p w14:paraId="78862B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4D4779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684" w:type="dxa"/>
            <w:tcBorders>
              <w:tl2br w:val="nil"/>
              <w:tr2bl w:val="nil"/>
            </w:tcBorders>
            <w:noWrap w:val="0"/>
            <w:vAlign w:val="center"/>
          </w:tcPr>
          <w:p w14:paraId="48C6BD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675" w:type="dxa"/>
            <w:tcBorders>
              <w:tl2br w:val="nil"/>
              <w:tr2bl w:val="nil"/>
            </w:tcBorders>
            <w:noWrap w:val="0"/>
            <w:vAlign w:val="center"/>
          </w:tcPr>
          <w:p w14:paraId="1AD705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设备维修费用</w:t>
            </w:r>
          </w:p>
        </w:tc>
        <w:tc>
          <w:tcPr>
            <w:tcW w:w="4586" w:type="dxa"/>
            <w:tcBorders>
              <w:tl2br w:val="nil"/>
              <w:tr2bl w:val="nil"/>
            </w:tcBorders>
            <w:noWrap w:val="0"/>
            <w:vAlign w:val="center"/>
          </w:tcPr>
          <w:p w14:paraId="5A8365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运维项目运行过程中设备维修产生的费用。</w:t>
            </w:r>
          </w:p>
        </w:tc>
        <w:tc>
          <w:tcPr>
            <w:tcW w:w="1115" w:type="dxa"/>
            <w:tcBorders>
              <w:tl2br w:val="nil"/>
              <w:tr2bl w:val="nil"/>
            </w:tcBorders>
            <w:noWrap w:val="0"/>
            <w:vAlign w:val="center"/>
          </w:tcPr>
          <w:p w14:paraId="5967B8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noWrap w:val="0"/>
            <w:vAlign w:val="center"/>
          </w:tcPr>
          <w:p w14:paraId="62DD95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年</w:t>
            </w:r>
          </w:p>
        </w:tc>
        <w:tc>
          <w:tcPr>
            <w:tcW w:w="1216" w:type="dxa"/>
            <w:tcBorders>
              <w:tl2br w:val="nil"/>
              <w:tr2bl w:val="nil"/>
            </w:tcBorders>
            <w:noWrap w:val="0"/>
            <w:vAlign w:val="center"/>
          </w:tcPr>
          <w:p w14:paraId="4C223B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16788A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684" w:type="dxa"/>
            <w:tcBorders>
              <w:tl2br w:val="nil"/>
              <w:tr2bl w:val="nil"/>
            </w:tcBorders>
            <w:noWrap w:val="0"/>
            <w:vAlign w:val="center"/>
          </w:tcPr>
          <w:p w14:paraId="798F61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675" w:type="dxa"/>
            <w:tcBorders>
              <w:tl2br w:val="nil"/>
              <w:tr2bl w:val="nil"/>
            </w:tcBorders>
            <w:noWrap w:val="0"/>
            <w:vAlign w:val="center"/>
          </w:tcPr>
          <w:p w14:paraId="0C131D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在线监测运维维护费用</w:t>
            </w:r>
          </w:p>
        </w:tc>
        <w:tc>
          <w:tcPr>
            <w:tcW w:w="4586" w:type="dxa"/>
            <w:tcBorders>
              <w:tl2br w:val="nil"/>
              <w:tr2bl w:val="nil"/>
            </w:tcBorders>
            <w:noWrap w:val="0"/>
            <w:vAlign w:val="center"/>
          </w:tcPr>
          <w:p w14:paraId="4B578C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对在线监测设备的运维。含COD、氨氮、pH、流量计的检测试剂更换、日常校准、pH、流量计的校准、校正，一周一次的维护，日常保养及更换易损易耗件。</w:t>
            </w:r>
          </w:p>
        </w:tc>
        <w:tc>
          <w:tcPr>
            <w:tcW w:w="1115" w:type="dxa"/>
            <w:tcBorders>
              <w:tl2br w:val="nil"/>
              <w:tr2bl w:val="nil"/>
            </w:tcBorders>
            <w:noWrap w:val="0"/>
            <w:vAlign w:val="center"/>
          </w:tcPr>
          <w:p w14:paraId="2BEB0A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noWrap w:val="0"/>
            <w:vAlign w:val="center"/>
          </w:tcPr>
          <w:p w14:paraId="59726F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年</w:t>
            </w:r>
          </w:p>
        </w:tc>
        <w:tc>
          <w:tcPr>
            <w:tcW w:w="1216" w:type="dxa"/>
            <w:tcBorders>
              <w:tl2br w:val="nil"/>
              <w:tr2bl w:val="nil"/>
            </w:tcBorders>
            <w:noWrap w:val="0"/>
            <w:vAlign w:val="center"/>
          </w:tcPr>
          <w:p w14:paraId="4522A5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24C671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684" w:type="dxa"/>
            <w:tcBorders>
              <w:tl2br w:val="nil"/>
              <w:tr2bl w:val="nil"/>
            </w:tcBorders>
            <w:noWrap w:val="0"/>
            <w:vAlign w:val="center"/>
          </w:tcPr>
          <w:p w14:paraId="71FDF7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675" w:type="dxa"/>
            <w:tcBorders>
              <w:tl2br w:val="nil"/>
              <w:tr2bl w:val="nil"/>
            </w:tcBorders>
            <w:noWrap w:val="0"/>
            <w:vAlign w:val="center"/>
          </w:tcPr>
          <w:p w14:paraId="2F046D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日常检测费用</w:t>
            </w:r>
          </w:p>
        </w:tc>
        <w:tc>
          <w:tcPr>
            <w:tcW w:w="4586" w:type="dxa"/>
            <w:tcBorders>
              <w:tl2br w:val="nil"/>
              <w:tr2bl w:val="nil"/>
            </w:tcBorders>
            <w:noWrap w:val="0"/>
            <w:vAlign w:val="center"/>
          </w:tcPr>
          <w:p w14:paraId="7013CA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不定期对各个工艺段出水的检测，含检测试剂、耗材等</w:t>
            </w:r>
          </w:p>
        </w:tc>
        <w:tc>
          <w:tcPr>
            <w:tcW w:w="1115" w:type="dxa"/>
            <w:tcBorders>
              <w:tl2br w:val="nil"/>
              <w:tr2bl w:val="nil"/>
            </w:tcBorders>
            <w:noWrap w:val="0"/>
            <w:vAlign w:val="center"/>
          </w:tcPr>
          <w:p w14:paraId="3AE345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noWrap w:val="0"/>
            <w:vAlign w:val="center"/>
          </w:tcPr>
          <w:p w14:paraId="66507F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年</w:t>
            </w:r>
          </w:p>
        </w:tc>
        <w:tc>
          <w:tcPr>
            <w:tcW w:w="1216" w:type="dxa"/>
            <w:tcBorders>
              <w:tl2br w:val="nil"/>
              <w:tr2bl w:val="nil"/>
            </w:tcBorders>
            <w:noWrap w:val="0"/>
            <w:vAlign w:val="center"/>
          </w:tcPr>
          <w:p w14:paraId="20CB6C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5F57D5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684" w:type="dxa"/>
            <w:tcBorders>
              <w:tl2br w:val="nil"/>
              <w:tr2bl w:val="nil"/>
            </w:tcBorders>
            <w:noWrap w:val="0"/>
            <w:vAlign w:val="center"/>
          </w:tcPr>
          <w:p w14:paraId="28F858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675" w:type="dxa"/>
            <w:tcBorders>
              <w:tl2br w:val="nil"/>
              <w:tr2bl w:val="nil"/>
            </w:tcBorders>
            <w:noWrap w:val="0"/>
            <w:vAlign w:val="center"/>
          </w:tcPr>
          <w:p w14:paraId="653F47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设备保养及更新</w:t>
            </w:r>
          </w:p>
        </w:tc>
        <w:tc>
          <w:tcPr>
            <w:tcW w:w="4586" w:type="dxa"/>
            <w:tcBorders>
              <w:tl2br w:val="nil"/>
              <w:tr2bl w:val="nil"/>
            </w:tcBorders>
            <w:noWrap w:val="0"/>
            <w:vAlign w:val="center"/>
          </w:tcPr>
          <w:p w14:paraId="1E9975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每月次清洗MBR膜;及更换费用</w:t>
            </w:r>
          </w:p>
        </w:tc>
        <w:tc>
          <w:tcPr>
            <w:tcW w:w="1115" w:type="dxa"/>
            <w:tcBorders>
              <w:tl2br w:val="nil"/>
              <w:tr2bl w:val="nil"/>
            </w:tcBorders>
            <w:noWrap w:val="0"/>
            <w:vAlign w:val="center"/>
          </w:tcPr>
          <w:p w14:paraId="1A5533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noWrap w:val="0"/>
            <w:vAlign w:val="center"/>
          </w:tcPr>
          <w:p w14:paraId="7381D2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年</w:t>
            </w:r>
          </w:p>
        </w:tc>
        <w:tc>
          <w:tcPr>
            <w:tcW w:w="1216" w:type="dxa"/>
            <w:tcBorders>
              <w:tl2br w:val="nil"/>
              <w:tr2bl w:val="nil"/>
            </w:tcBorders>
            <w:noWrap w:val="0"/>
            <w:vAlign w:val="center"/>
          </w:tcPr>
          <w:p w14:paraId="6F27F5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48DCBE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684" w:type="dxa"/>
            <w:tcBorders>
              <w:tl2br w:val="nil"/>
              <w:tr2bl w:val="nil"/>
            </w:tcBorders>
            <w:noWrap w:val="0"/>
            <w:vAlign w:val="center"/>
          </w:tcPr>
          <w:p w14:paraId="3218AF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675" w:type="dxa"/>
            <w:tcBorders>
              <w:tl2br w:val="nil"/>
              <w:tr2bl w:val="nil"/>
            </w:tcBorders>
            <w:noWrap w:val="0"/>
            <w:vAlign w:val="center"/>
          </w:tcPr>
          <w:p w14:paraId="3B8E54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技术团队支持</w:t>
            </w:r>
          </w:p>
        </w:tc>
        <w:tc>
          <w:tcPr>
            <w:tcW w:w="4586" w:type="dxa"/>
            <w:tcBorders>
              <w:tl2br w:val="nil"/>
              <w:tr2bl w:val="nil"/>
            </w:tcBorders>
            <w:noWrap w:val="0"/>
            <w:vAlign w:val="center"/>
          </w:tcPr>
          <w:p w14:paraId="3D2D99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为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8"/>
                <w:szCs w:val="22"/>
                <w:lang w:val="en-US" w:eastAsia="zh-CN" w:bidi="ar-SA"/>
              </w:rPr>
              <w:t>渗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滤液处理站的日常运行提供持续技术支撑</w:t>
            </w:r>
          </w:p>
        </w:tc>
        <w:tc>
          <w:tcPr>
            <w:tcW w:w="1115" w:type="dxa"/>
            <w:tcBorders>
              <w:tl2br w:val="nil"/>
              <w:tr2bl w:val="nil"/>
            </w:tcBorders>
            <w:noWrap w:val="0"/>
            <w:vAlign w:val="center"/>
          </w:tcPr>
          <w:p w14:paraId="0DF443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noWrap w:val="0"/>
            <w:vAlign w:val="center"/>
          </w:tcPr>
          <w:p w14:paraId="4D235B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年</w:t>
            </w:r>
          </w:p>
        </w:tc>
        <w:tc>
          <w:tcPr>
            <w:tcW w:w="1216" w:type="dxa"/>
            <w:tcBorders>
              <w:tl2br w:val="nil"/>
              <w:tr2bl w:val="nil"/>
            </w:tcBorders>
            <w:noWrap w:val="0"/>
            <w:vAlign w:val="center"/>
          </w:tcPr>
          <w:p w14:paraId="6E011C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66E53D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684" w:type="dxa"/>
            <w:tcBorders>
              <w:tl2br w:val="nil"/>
              <w:tr2bl w:val="nil"/>
            </w:tcBorders>
            <w:noWrap w:val="0"/>
            <w:vAlign w:val="center"/>
          </w:tcPr>
          <w:p w14:paraId="236980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675" w:type="dxa"/>
            <w:tcBorders>
              <w:tl2br w:val="nil"/>
              <w:tr2bl w:val="nil"/>
            </w:tcBorders>
            <w:noWrap w:val="0"/>
            <w:vAlign w:val="center"/>
          </w:tcPr>
          <w:p w14:paraId="1E751C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管理费</w:t>
            </w:r>
          </w:p>
        </w:tc>
        <w:tc>
          <w:tcPr>
            <w:tcW w:w="4586" w:type="dxa"/>
            <w:tcBorders>
              <w:tl2br w:val="nil"/>
              <w:tr2bl w:val="nil"/>
            </w:tcBorders>
            <w:noWrap w:val="0"/>
            <w:vAlign w:val="center"/>
          </w:tcPr>
          <w:p w14:paraId="56DBC2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维持项目的正常运维的资料，材料及利润</w:t>
            </w:r>
          </w:p>
        </w:tc>
        <w:tc>
          <w:tcPr>
            <w:tcW w:w="1115" w:type="dxa"/>
            <w:tcBorders>
              <w:tl2br w:val="nil"/>
              <w:tr2bl w:val="nil"/>
            </w:tcBorders>
            <w:noWrap w:val="0"/>
            <w:vAlign w:val="center"/>
          </w:tcPr>
          <w:p w14:paraId="441CFE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noWrap w:val="0"/>
            <w:vAlign w:val="center"/>
          </w:tcPr>
          <w:p w14:paraId="3AEF01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年</w:t>
            </w:r>
          </w:p>
        </w:tc>
        <w:tc>
          <w:tcPr>
            <w:tcW w:w="1216" w:type="dxa"/>
            <w:tcBorders>
              <w:tl2br w:val="nil"/>
              <w:tr2bl w:val="nil"/>
            </w:tcBorders>
            <w:noWrap w:val="0"/>
            <w:vAlign w:val="center"/>
          </w:tcPr>
          <w:p w14:paraId="139399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1F8DA4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684" w:type="dxa"/>
            <w:tcBorders>
              <w:tl2br w:val="nil"/>
              <w:tr2bl w:val="nil"/>
            </w:tcBorders>
            <w:noWrap w:val="0"/>
            <w:vAlign w:val="center"/>
          </w:tcPr>
          <w:p w14:paraId="78DC11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675" w:type="dxa"/>
            <w:tcBorders>
              <w:tl2br w:val="nil"/>
              <w:tr2bl w:val="nil"/>
            </w:tcBorders>
            <w:noWrap w:val="0"/>
            <w:vAlign w:val="center"/>
          </w:tcPr>
          <w:p w14:paraId="7D22F1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检测费用</w:t>
            </w:r>
          </w:p>
        </w:tc>
        <w:tc>
          <w:tcPr>
            <w:tcW w:w="4586" w:type="dxa"/>
            <w:tcBorders>
              <w:tl2br w:val="nil"/>
              <w:tr2bl w:val="nil"/>
            </w:tcBorders>
            <w:noWrap w:val="0"/>
            <w:vAlign w:val="center"/>
          </w:tcPr>
          <w:p w14:paraId="1D488F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第三方检测公司出具的报告每季度一次共四次</w:t>
            </w:r>
          </w:p>
        </w:tc>
        <w:tc>
          <w:tcPr>
            <w:tcW w:w="1115" w:type="dxa"/>
            <w:tcBorders>
              <w:tl2br w:val="nil"/>
              <w:tr2bl w:val="nil"/>
            </w:tcBorders>
            <w:noWrap w:val="0"/>
            <w:vAlign w:val="center"/>
          </w:tcPr>
          <w:p w14:paraId="59A319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noWrap w:val="0"/>
            <w:vAlign w:val="center"/>
          </w:tcPr>
          <w:p w14:paraId="12AAD5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年</w:t>
            </w:r>
          </w:p>
        </w:tc>
        <w:tc>
          <w:tcPr>
            <w:tcW w:w="1216" w:type="dxa"/>
            <w:tcBorders>
              <w:tl2br w:val="nil"/>
              <w:tr2bl w:val="nil"/>
            </w:tcBorders>
            <w:noWrap w:val="0"/>
            <w:vAlign w:val="center"/>
          </w:tcPr>
          <w:p w14:paraId="03F313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06BB5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  <w:jc w:val="center"/>
        </w:trPr>
        <w:tc>
          <w:tcPr>
            <w:tcW w:w="684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6D06DA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675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31D5E0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合计</w:t>
            </w:r>
          </w:p>
        </w:tc>
        <w:tc>
          <w:tcPr>
            <w:tcW w:w="4586" w:type="dxa"/>
            <w:tcBorders>
              <w:tl2br w:val="nil"/>
              <w:tr2bl w:val="nil"/>
            </w:tcBorders>
            <w:noWrap w:val="0"/>
            <w:vAlign w:val="center"/>
          </w:tcPr>
          <w:p w14:paraId="4880AD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1年合计</w:t>
            </w:r>
          </w:p>
        </w:tc>
        <w:tc>
          <w:tcPr>
            <w:tcW w:w="1115" w:type="dxa"/>
            <w:tcBorders>
              <w:tl2br w:val="nil"/>
              <w:tr2bl w:val="nil"/>
            </w:tcBorders>
            <w:noWrap w:val="0"/>
            <w:vAlign w:val="center"/>
          </w:tcPr>
          <w:p w14:paraId="52FA76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10" w:type="dxa"/>
            <w:tcBorders>
              <w:tl2br w:val="nil"/>
              <w:tr2bl w:val="nil"/>
            </w:tcBorders>
            <w:noWrap w:val="0"/>
            <w:vAlign w:val="center"/>
          </w:tcPr>
          <w:p w14:paraId="2C24BB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216" w:type="dxa"/>
            <w:tcBorders>
              <w:tl2br w:val="nil"/>
              <w:tr2bl w:val="nil"/>
            </w:tcBorders>
            <w:noWrap w:val="0"/>
            <w:vAlign w:val="center"/>
          </w:tcPr>
          <w:p w14:paraId="5605A5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72DF9F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68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47A4C5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675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301F0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586" w:type="dxa"/>
            <w:tcBorders>
              <w:tl2br w:val="nil"/>
              <w:tr2bl w:val="nil"/>
            </w:tcBorders>
            <w:noWrap w:val="0"/>
            <w:vAlign w:val="center"/>
          </w:tcPr>
          <w:p w14:paraId="3A9046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val="en-US" w:eastAsia="zh-CN"/>
              </w:rPr>
              <w:t>3年合计</w:t>
            </w:r>
          </w:p>
        </w:tc>
        <w:tc>
          <w:tcPr>
            <w:tcW w:w="1115" w:type="dxa"/>
            <w:tcBorders>
              <w:tl2br w:val="nil"/>
              <w:tr2bl w:val="nil"/>
            </w:tcBorders>
            <w:noWrap w:val="0"/>
            <w:vAlign w:val="center"/>
          </w:tcPr>
          <w:p w14:paraId="1AE79D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10" w:type="dxa"/>
            <w:tcBorders>
              <w:tl2br w:val="nil"/>
              <w:tr2bl w:val="nil"/>
            </w:tcBorders>
            <w:noWrap w:val="0"/>
            <w:vAlign w:val="center"/>
          </w:tcPr>
          <w:p w14:paraId="33C44D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216" w:type="dxa"/>
            <w:tcBorders>
              <w:tl2br w:val="nil"/>
              <w:tr2bl w:val="nil"/>
            </w:tcBorders>
            <w:noWrap w:val="0"/>
            <w:vAlign w:val="center"/>
          </w:tcPr>
          <w:p w14:paraId="752566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napToGrid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</w:tbl>
    <w:p w14:paraId="361C776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E51A52">
    <w:pPr>
      <w:tabs>
        <w:tab w:val="center" w:pos="4153"/>
        <w:tab w:val="right" w:pos="8306"/>
      </w:tabs>
      <w:kinsoku w:val="0"/>
      <w:autoSpaceDE w:val="0"/>
      <w:autoSpaceDN w:val="0"/>
      <w:adjustRightInd w:val="0"/>
      <w:snapToGrid w:val="0"/>
      <w:textAlignment w:val="baseline"/>
      <w:rPr>
        <w:rFonts w:ascii="Arial" w:hAnsi="Arial" w:eastAsia="Arial" w:cs="Arial"/>
        <w:snapToGrid w:val="0"/>
        <w:color w:val="000000"/>
        <w:sz w:val="18"/>
        <w:szCs w:val="21"/>
        <w:lang w:val="en-US" w:eastAsia="zh-CN" w:bidi="ar-SA"/>
      </w:rPr>
    </w:pPr>
    <w:r>
      <w:rPr>
        <w:rFonts w:ascii="Arial" w:hAnsi="Arial" w:eastAsia="Arial" w:cs="Arial"/>
        <w:snapToGrid w:val="0"/>
        <w:color w:val="000000"/>
        <w:sz w:val="18"/>
        <w:szCs w:val="21"/>
        <w:lang w:val="en-US" w:eastAsia="en-US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8" name="文本框 14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D164A25">
                          <w:pPr>
                            <w:tabs>
                              <w:tab w:val="center" w:pos="4153"/>
                              <w:tab w:val="right" w:pos="8306"/>
                            </w:tabs>
                            <w:kinsoku w:val="0"/>
                            <w:autoSpaceDE w:val="0"/>
                            <w:autoSpaceDN w:val="0"/>
                            <w:adjustRightInd w:val="0"/>
                            <w:snapToGrid w:val="0"/>
                            <w:textAlignment w:val="baseline"/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</w:pP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fldChar w:fldCharType="begin"/>
                          </w: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fldChar w:fldCharType="separate"/>
                          </w: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t>55</w:t>
                          </w: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s0lY7tAAAAAFAQAADwAAAAAAAAABACAAAAAiAAAAZHJzL2Rvd25yZXYueG1s&#10;UEsBAhQAFAAAAAgAh07iQFWMS1A5AgAAcwQAAA4AAAAAAAAAAQAgAAAAHwEAAGRycy9lMm9Eb2Mu&#10;eG1sUEsFBgAAAAAGAAYAWQEAAMo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D164A25">
                    <w:pPr>
                      <w:tabs>
                        <w:tab w:val="center" w:pos="4153"/>
                        <w:tab w:val="right" w:pos="8306"/>
                      </w:tabs>
                      <w:kinsoku w:val="0"/>
                      <w:autoSpaceDE w:val="0"/>
                      <w:autoSpaceDN w:val="0"/>
                      <w:adjustRightInd w:val="0"/>
                      <w:snapToGrid w:val="0"/>
                      <w:textAlignment w:val="baseline"/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</w:pP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fldChar w:fldCharType="begin"/>
                    </w: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instrText xml:space="preserve"> PAGE  \* MERGEFORMAT </w:instrText>
                    </w: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fldChar w:fldCharType="separate"/>
                    </w: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t>55</w:t>
                    </w: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9F92254"/>
    <w:rsid w:val="738C1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2796</Words>
  <Characters>2940</Characters>
  <Lines>0</Lines>
  <Paragraphs>0</Paragraphs>
  <TotalTime>0</TotalTime>
  <ScaleCrop>false</ScaleCrop>
  <LinksUpToDate>false</LinksUpToDate>
  <CharactersWithSpaces>2947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2026-06-01T06:19:00Z</dcterms:created>
  <dc:creator>Administrator</dc:creator>
  <cp:lastModifiedBy>Administrator</cp:lastModifiedBy>
  <dcterms:modified xsi:type="dcterms:W3CDTF">2026-06-01T06:21:41Z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eyJoZGlkIjoiNWRmOWY3YjY0ZTc0ZmI0ZGQxNDljZmZlZjhiZTMzNzQiLCJ1c2VySWQiOiI1Nzc5NjY2ODQifQ==</vt:lpwstr>
  </property>
  <property fmtid="{D5CDD505-2E9C-101B-9397-08002B2CF9AE}" pid="4" name="ICV">
    <vt:lpwstr>5612E08FBC3549BEB57A38F6C877E420_12</vt:lpwstr>
  </property>
</Properties>
</file>