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B2880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08F34CA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highlight w:val="none"/>
        </w:rPr>
      </w:pPr>
    </w:p>
    <w:p w14:paraId="52005A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18C8A55F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376F868A">
      <w:pPr>
        <w:widowControl w:val="0"/>
        <w:spacing w:before="78" w:line="219" w:lineRule="auto"/>
        <w:outlineLvl w:val="2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bookmarkStart w:id="0" w:name="_Toc14956"/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技术需求</w:t>
      </w:r>
      <w:bookmarkEnd w:id="0"/>
    </w:p>
    <w:p w14:paraId="72BA208F">
      <w:pPr>
        <w:widowControl w:val="0"/>
        <w:kinsoku/>
        <w:wordWrap w:val="0"/>
        <w:overflowPunct w:val="0"/>
        <w:spacing w:line="360" w:lineRule="auto"/>
        <w:ind w:firstLine="480" w:firstLineChars="200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</w:p>
    <w:p w14:paraId="6A2D5040">
      <w:pPr>
        <w:widowControl w:val="0"/>
        <w:kinsoku/>
        <w:wordWrap w:val="0"/>
        <w:overflowPunct w:val="0"/>
        <w:spacing w:line="360" w:lineRule="auto"/>
        <w:ind w:firstLine="643" w:firstLineChars="200"/>
        <w:jc w:val="center"/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32"/>
          <w:szCs w:val="32"/>
          <w:highlight w:val="none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32"/>
          <w:szCs w:val="32"/>
          <w:highlight w:val="none"/>
          <w:lang w:eastAsia="zh-CN"/>
        </w:rPr>
        <w:t>项目需求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32"/>
          <w:szCs w:val="32"/>
          <w:highlight w:val="none"/>
          <w:lang w:val="en-US" w:eastAsia="zh-CN"/>
        </w:rPr>
        <w:t>一栏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32"/>
          <w:szCs w:val="32"/>
          <w:highlight w:val="none"/>
          <w:lang w:eastAsia="zh-CN"/>
        </w:rPr>
        <w:t>表</w:t>
      </w:r>
    </w:p>
    <w:tbl>
      <w:tblPr>
        <w:tblStyle w:val="5"/>
        <w:tblW w:w="9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"/>
        <w:gridCol w:w="1161"/>
        <w:gridCol w:w="6141"/>
        <w:gridCol w:w="767"/>
        <w:gridCol w:w="1240"/>
      </w:tblGrid>
      <w:tr w14:paraId="08B0B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  <w:jc w:val="center"/>
        </w:trPr>
        <w:tc>
          <w:tcPr>
            <w:tcW w:w="0" w:type="auto"/>
            <w:noWrap w:val="0"/>
            <w:vAlign w:val="center"/>
          </w:tcPr>
          <w:p w14:paraId="220D2BB2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0" w:type="auto"/>
            <w:noWrap w:val="0"/>
            <w:vAlign w:val="center"/>
          </w:tcPr>
          <w:p w14:paraId="71BDAA50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商品名称</w:t>
            </w:r>
          </w:p>
        </w:tc>
        <w:tc>
          <w:tcPr>
            <w:tcW w:w="0" w:type="auto"/>
            <w:noWrap w:val="0"/>
            <w:vAlign w:val="center"/>
          </w:tcPr>
          <w:p w14:paraId="67282DC9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参数要求</w:t>
            </w:r>
          </w:p>
        </w:tc>
        <w:tc>
          <w:tcPr>
            <w:tcW w:w="0" w:type="auto"/>
            <w:noWrap w:val="0"/>
            <w:vAlign w:val="center"/>
          </w:tcPr>
          <w:p w14:paraId="0BDEBC4D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购买数量</w:t>
            </w:r>
          </w:p>
        </w:tc>
        <w:tc>
          <w:tcPr>
            <w:tcW w:w="1240" w:type="dxa"/>
            <w:noWrap w:val="0"/>
            <w:vAlign w:val="center"/>
          </w:tcPr>
          <w:p w14:paraId="7B25E805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控制金额 （元）</w:t>
            </w:r>
          </w:p>
        </w:tc>
      </w:tr>
      <w:tr w14:paraId="5847F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0" w:type="auto"/>
            <w:noWrap w:val="0"/>
            <w:vAlign w:val="center"/>
          </w:tcPr>
          <w:p w14:paraId="753CBB82">
            <w:pPr>
              <w:widowControl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noWrap w:val="0"/>
            <w:vAlign w:val="center"/>
          </w:tcPr>
          <w:p w14:paraId="27DDC8DA">
            <w:pPr>
              <w:widowControl w:val="0"/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室外全彩LED显示屏</w:t>
            </w:r>
          </w:p>
        </w:tc>
        <w:tc>
          <w:tcPr>
            <w:tcW w:w="0" w:type="auto"/>
            <w:noWrap w:val="0"/>
            <w:vAlign w:val="center"/>
          </w:tcPr>
          <w:p w14:paraId="6A3615C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像素点间距：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≤2.5mm；1台视频处理器，1套接收卡，1套全彩电源，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屏体结构改造，其他参数:详见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采购需求详细参数</w:t>
            </w:r>
          </w:p>
        </w:tc>
        <w:tc>
          <w:tcPr>
            <w:tcW w:w="0" w:type="auto"/>
            <w:noWrap w:val="0"/>
            <w:vAlign w:val="center"/>
          </w:tcPr>
          <w:p w14:paraId="0025E77A">
            <w:pPr>
              <w:widowControl w:val="0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1套</w:t>
            </w:r>
          </w:p>
        </w:tc>
        <w:tc>
          <w:tcPr>
            <w:tcW w:w="1240" w:type="dxa"/>
            <w:noWrap w:val="0"/>
            <w:vAlign w:val="center"/>
          </w:tcPr>
          <w:p w14:paraId="201BD913">
            <w:pPr>
              <w:widowControl w:val="0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183700</w:t>
            </w:r>
          </w:p>
        </w:tc>
      </w:tr>
      <w:tr w14:paraId="41B0A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0F59F676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2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D6F0ECB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室内全彩LED显示屏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880444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像素点间距：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≤1.875mmmm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1台视频发送器，1套接收卡，1套全彩电源，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屏体结构改造，综合布线，其他参数:详见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采购需求详细参数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1A4BF27D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1套</w:t>
            </w:r>
          </w:p>
        </w:tc>
        <w:tc>
          <w:tcPr>
            <w:tcW w:w="1240" w:type="dxa"/>
            <w:shd w:val="clear" w:color="auto" w:fill="auto"/>
            <w:noWrap w:val="0"/>
            <w:vAlign w:val="center"/>
          </w:tcPr>
          <w:p w14:paraId="229535C1">
            <w:pPr>
              <w:widowControl w:val="0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83000</w:t>
            </w:r>
          </w:p>
        </w:tc>
      </w:tr>
      <w:tr w14:paraId="50C31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0" w:type="auto"/>
            <w:shd w:val="clear" w:color="auto" w:fill="auto"/>
            <w:noWrap w:val="0"/>
            <w:vAlign w:val="center"/>
          </w:tcPr>
          <w:p w14:paraId="1470B06C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3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2EDDE515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单色显示屏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4C0D0697">
            <w:pPr>
              <w:widowControl w:val="0"/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像素点间距≤4.75mm，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其他参数:详见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采购需求详细参数</w:t>
            </w:r>
          </w:p>
        </w:tc>
        <w:tc>
          <w:tcPr>
            <w:tcW w:w="0" w:type="auto"/>
            <w:shd w:val="clear" w:color="auto" w:fill="auto"/>
            <w:noWrap w:val="0"/>
            <w:vAlign w:val="center"/>
          </w:tcPr>
          <w:p w14:paraId="5D10A388">
            <w:pPr>
              <w:widowControl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1套</w:t>
            </w:r>
          </w:p>
        </w:tc>
        <w:tc>
          <w:tcPr>
            <w:tcW w:w="1240" w:type="dxa"/>
            <w:shd w:val="clear" w:color="auto" w:fill="auto"/>
            <w:noWrap w:val="0"/>
            <w:vAlign w:val="center"/>
          </w:tcPr>
          <w:p w14:paraId="4FC7569E">
            <w:pPr>
              <w:widowControl w:val="0"/>
              <w:jc w:val="center"/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6300</w:t>
            </w:r>
          </w:p>
        </w:tc>
      </w:tr>
      <w:tr w14:paraId="6D2DD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629" w:type="dxa"/>
            <w:gridSpan w:val="4"/>
            <w:shd w:val="clear" w:color="auto" w:fill="auto"/>
            <w:noWrap w:val="0"/>
            <w:vAlign w:val="center"/>
          </w:tcPr>
          <w:p w14:paraId="26D4E780">
            <w:pPr>
              <w:widowControl w:val="0"/>
              <w:jc w:val="center"/>
              <w:rPr>
                <w:rFonts w:hint="default" w:ascii="宋体" w:hAnsi="宋体" w:eastAsia="宋体" w:cs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highlight w:val="none"/>
                <w:lang w:val="en-US" w:eastAsia="zh-CN"/>
              </w:rPr>
              <w:t>合计</w:t>
            </w:r>
          </w:p>
        </w:tc>
        <w:tc>
          <w:tcPr>
            <w:tcW w:w="1240" w:type="dxa"/>
            <w:shd w:val="clear" w:color="auto" w:fill="auto"/>
            <w:noWrap w:val="0"/>
            <w:vAlign w:val="center"/>
          </w:tcPr>
          <w:p w14:paraId="09C84A62">
            <w:pPr>
              <w:widowControl w:val="0"/>
              <w:jc w:val="center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273000</w:t>
            </w:r>
          </w:p>
        </w:tc>
      </w:tr>
    </w:tbl>
    <w:p w14:paraId="27928641">
      <w:pPr>
        <w:widowControl w:val="0"/>
        <w:kinsoku/>
        <w:wordWrap w:val="0"/>
        <w:overflowPunct w:val="0"/>
        <w:spacing w:line="360" w:lineRule="auto"/>
        <w:ind w:firstLine="643" w:firstLineChars="200"/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sz w:val="32"/>
          <w:szCs w:val="32"/>
          <w:highlight w:val="none"/>
          <w:lang w:val="en-US" w:eastAsia="zh-CN"/>
        </w:rPr>
      </w:pPr>
    </w:p>
    <w:p w14:paraId="688F92CD">
      <w:pPr>
        <w:widowControl w:val="0"/>
        <w:kinsoku/>
        <w:wordWrap w:val="0"/>
        <w:overflowPunct w:val="0"/>
        <w:spacing w:line="360" w:lineRule="auto"/>
        <w:ind w:firstLine="562" w:firstLineChars="200"/>
        <w:jc w:val="center"/>
        <w:rPr>
          <w:rFonts w:hint="default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2、详细参数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"/>
        <w:gridCol w:w="574"/>
        <w:gridCol w:w="6563"/>
        <w:gridCol w:w="680"/>
        <w:gridCol w:w="500"/>
      </w:tblGrid>
      <w:tr w14:paraId="6D485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  <w:jc w:val="center"/>
        </w:trPr>
        <w:tc>
          <w:tcPr>
            <w:tcW w:w="631" w:type="dxa"/>
            <w:noWrap w:val="0"/>
            <w:vAlign w:val="center"/>
          </w:tcPr>
          <w:p w14:paraId="60383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574" w:type="dxa"/>
            <w:noWrap w:val="0"/>
            <w:vAlign w:val="center"/>
          </w:tcPr>
          <w:p w14:paraId="63F230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品名</w:t>
            </w:r>
          </w:p>
        </w:tc>
        <w:tc>
          <w:tcPr>
            <w:tcW w:w="6563" w:type="dxa"/>
            <w:noWrap w:val="0"/>
            <w:vAlign w:val="center"/>
          </w:tcPr>
          <w:p w14:paraId="271221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型号及规格</w:t>
            </w:r>
          </w:p>
        </w:tc>
        <w:tc>
          <w:tcPr>
            <w:tcW w:w="680" w:type="dxa"/>
            <w:noWrap w:val="0"/>
            <w:vAlign w:val="center"/>
          </w:tcPr>
          <w:p w14:paraId="0072F2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500" w:type="dxa"/>
            <w:noWrap w:val="0"/>
            <w:vAlign w:val="center"/>
          </w:tcPr>
          <w:p w14:paraId="2711E7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vertAlign w:val="baseline"/>
                <w:lang w:eastAsia="zh-CN"/>
              </w:rPr>
              <w:t>单位</w:t>
            </w:r>
          </w:p>
        </w:tc>
      </w:tr>
      <w:tr w14:paraId="75E3D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1" w:type="dxa"/>
            <w:noWrap w:val="0"/>
            <w:vAlign w:val="center"/>
          </w:tcPr>
          <w:p w14:paraId="0831DF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74" w:type="dxa"/>
            <w:noWrap w:val="0"/>
            <w:vAlign w:val="center"/>
          </w:tcPr>
          <w:p w14:paraId="19445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室外全彩</w:t>
            </w:r>
          </w:p>
          <w:p w14:paraId="63387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LED屏</w:t>
            </w:r>
          </w:p>
        </w:tc>
        <w:tc>
          <w:tcPr>
            <w:tcW w:w="6563" w:type="dxa"/>
            <w:noWrap w:val="0"/>
            <w:vAlign w:val="center"/>
          </w:tcPr>
          <w:p w14:paraId="64BB08F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像素点间距：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≤2.5mm；</w:t>
            </w:r>
          </w:p>
          <w:p w14:paraId="2B9CC8F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单元板分辨率：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≥8192 Dots；</w:t>
            </w:r>
          </w:p>
          <w:p w14:paraId="118C840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刷新率：≥3840Hz，支持通过配套控制软件调节刷新率设置选项；</w:t>
            </w:r>
          </w:p>
          <w:p w14:paraId="38CF9C7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像素构成：1R、1G、1B；</w:t>
            </w:r>
          </w:p>
          <w:p w14:paraId="11AF63C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封装方式：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SMD表贴三合一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；</w:t>
            </w:r>
          </w:p>
          <w:p w14:paraId="5BA0735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驱动方式：恒流驱动；</w:t>
            </w:r>
          </w:p>
          <w:p w14:paraId="62671E5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7、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控制方式：同步控制系统；</w:t>
            </w:r>
          </w:p>
          <w:p w14:paraId="03E4C7F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维护方式：支持前维护或前后维护；</w:t>
            </w:r>
          </w:p>
          <w:p w14:paraId="494D0DA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整屏平整度≤0.1mm；</w:t>
            </w:r>
          </w:p>
          <w:p w14:paraId="2C25D3C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10、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模组平整度≤0.05mm；</w:t>
            </w:r>
          </w:p>
          <w:p w14:paraId="1F017E7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白平衡亮度：0-6000cd/㎡可调，亮度调节：0-100%亮度可调，256级手动/自动调节，屏幕亮度具有随环境照度的变化任意调整功能；</w:t>
            </w:r>
          </w:p>
          <w:p w14:paraId="208ED71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亮度均匀性≥95%；</w:t>
            </w:r>
          </w:p>
          <w:p w14:paraId="1E36033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13、色温可调，白平衡状态下色温接近6500K，调节均匀稳定；</w:t>
            </w:r>
          </w:p>
          <w:p w14:paraId="3ECF997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14、对比度≥4000：1；</w:t>
            </w:r>
          </w:p>
          <w:p w14:paraId="240DF9A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水平视角≥170°；</w:t>
            </w:r>
          </w:p>
          <w:p w14:paraId="086AE6F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垂直视角≥170°；</w:t>
            </w:r>
          </w:p>
          <w:p w14:paraId="233DE53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17、18、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灰度等级≥14bit，低灰显示效果优异，无单列或单行像素失控现象；</w:t>
            </w:r>
          </w:p>
          <w:p w14:paraId="5CEB076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供电电源：在4.2*（1±10%）VDC～4.5*（1±10%）VDC范围内能正常工作；</w:t>
            </w:r>
          </w:p>
          <w:p w14:paraId="27BBEB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20、峰值功耗≤900W/m²；</w:t>
            </w:r>
          </w:p>
          <w:p w14:paraId="71023A6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21、平均功耗≤300W/m²；</w:t>
            </w: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为了所投LED显示屏产品的安全性和适应性，屏体内部排线符合耐高温、耐压、耐折弯要求，耐燃等级符合VW-1/UL94V-0</w:t>
            </w:r>
          </w:p>
          <w:p w14:paraId="088B934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napToGrid w:val="0"/>
                <w:color w:val="auto"/>
                <w:kern w:val="0"/>
                <w:sz w:val="21"/>
                <w:szCs w:val="21"/>
                <w:highlight w:val="none"/>
                <w:vertAlign w:val="baseline"/>
                <w:lang w:val="en-US" w:eastAsia="zh-CN" w:bidi="ar-SA"/>
              </w:rPr>
              <w:t>23、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在器具输入插座端与屏正面之间施加试验电压3kv/50Hz，保持1min，不应出现飞弧和击穿现象，产品能正常工作；输入电压：支持宽压输入在96-264VAC，支持窄压输入在200-240VAC，在该范围内能正常工作。</w:t>
            </w:r>
          </w:p>
        </w:tc>
        <w:tc>
          <w:tcPr>
            <w:tcW w:w="680" w:type="dxa"/>
            <w:noWrap w:val="0"/>
            <w:vAlign w:val="center"/>
          </w:tcPr>
          <w:p w14:paraId="1B167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24.3</w:t>
            </w:r>
          </w:p>
        </w:tc>
        <w:tc>
          <w:tcPr>
            <w:tcW w:w="500" w:type="dxa"/>
            <w:noWrap w:val="0"/>
            <w:vAlign w:val="center"/>
          </w:tcPr>
          <w:p w14:paraId="50EDDE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color="auto" w:fill="FFFFFF"/>
              </w:rPr>
              <w:t>㎡</w:t>
            </w:r>
          </w:p>
        </w:tc>
      </w:tr>
      <w:tr w14:paraId="7CE93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6" w:hRule="atLeast"/>
          <w:jc w:val="center"/>
        </w:trPr>
        <w:tc>
          <w:tcPr>
            <w:tcW w:w="631" w:type="dxa"/>
            <w:noWrap w:val="0"/>
            <w:vAlign w:val="center"/>
          </w:tcPr>
          <w:p w14:paraId="351C6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574" w:type="dxa"/>
            <w:noWrap w:val="0"/>
            <w:vAlign w:val="center"/>
          </w:tcPr>
          <w:p w14:paraId="72768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视频控制器</w:t>
            </w:r>
          </w:p>
        </w:tc>
        <w:tc>
          <w:tcPr>
            <w:tcW w:w="6563" w:type="dxa"/>
            <w:noWrap w:val="0"/>
            <w:vAlign w:val="center"/>
          </w:tcPr>
          <w:p w14:paraId="0C656E5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1、具备丰富的视频信号接口。支持DVI、HDMI、SDI等高清数字接口，多路信号间无缝切换，支持广播级缩放及多画面显示；</w:t>
            </w:r>
          </w:p>
          <w:p w14:paraId="187EEC8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2、主控设备配置≥4个千兆网口输出，单机最大带载分辨率不低于8192×4096像素，满足屏体带载及扩展需求；</w:t>
            </w:r>
          </w:p>
          <w:p w14:paraId="0F7E922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3、具备多路高清数字信号接口，包含≥2路DVI、≥1路HDMI、≥1路SDI接口，满足多路视频信号同步接入需求；</w:t>
            </w:r>
          </w:p>
          <w:p w14:paraId="1E80895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4、单机最大带载像素不低于500万像素，单网口带载能力满足常规大屏显示需求，最大带载宽度不低于8192点、高度不低于4096点；</w:t>
            </w:r>
          </w:p>
          <w:p w14:paraId="2E11490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5、最大输入分辨率1920×1200@60Hz，支持分辨率任意设置；</w:t>
            </w:r>
          </w:p>
          <w:p w14:paraId="5A3E018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6、支持多网口输出，可实现单机或双机冗余备份，保证显示不间断；</w:t>
            </w:r>
          </w:p>
          <w:p w14:paraId="527B129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7、对视频信号任意切换，裁剪，拼接，缩放；</w:t>
            </w:r>
          </w:p>
          <w:p w14:paraId="7626150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8、3画面显示，位置、大小可自由调节；</w:t>
            </w:r>
          </w:p>
          <w:p w14:paraId="34E8581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9、支持8/10/12bit输入，视频源支持RGB444，YCbCr444，YCbCr422等格式，视频源帧率可支持23.98/24/25/29.97/30/50/59.97/60；</w:t>
            </w:r>
          </w:p>
          <w:p w14:paraId="14A304F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Chars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10、支持多机拼接级联、严格同步，设备直接通过USB2.0级联，级联数据下发发送速率最高不低于60Mb/s，最多支持16台同时调节亮度、色温、设备之间同步性，符合大型高标准活动现场低延时要求；配合外设级联最大带载宽度可达262144像素点，最高可到131072像素点。</w:t>
            </w:r>
          </w:p>
        </w:tc>
        <w:tc>
          <w:tcPr>
            <w:tcW w:w="680" w:type="dxa"/>
            <w:noWrap w:val="0"/>
            <w:vAlign w:val="center"/>
          </w:tcPr>
          <w:p w14:paraId="360F01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0CB12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台</w:t>
            </w:r>
          </w:p>
        </w:tc>
      </w:tr>
      <w:tr w14:paraId="2638D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1" w:type="dxa"/>
            <w:noWrap w:val="0"/>
            <w:vAlign w:val="center"/>
          </w:tcPr>
          <w:p w14:paraId="459ABB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574" w:type="dxa"/>
            <w:noWrap w:val="0"/>
            <w:vAlign w:val="center"/>
          </w:tcPr>
          <w:p w14:paraId="22D59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接收卡</w:t>
            </w:r>
          </w:p>
        </w:tc>
        <w:tc>
          <w:tcPr>
            <w:tcW w:w="6563" w:type="dxa"/>
            <w:noWrap w:val="0"/>
            <w:vAlign w:val="center"/>
          </w:tcPr>
          <w:p w14:paraId="3D6CD01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1、集成16个HUB75，无需再配转接板；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2、单卡最大带载256×1024像素，最多支持32组并行数据；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3、支持8bit色深视频源输入输出，单色灰阶为256，可搭配出16777216种混合色彩；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4、支持自适应帧率技术，不仅支持23.98/24/29.97/30/50/59.94/60Hz常规及非整数帧率，还可输出显示120/240Hz高帧率画面，大幅提升画面流畅度、减少拖影；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5、支持色温调节，提供调整色温，即饱和度调节，增强画面表现力；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6、支持低亮高灰；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7、支持亮色度逐点校正，能有效消除灯点色差，保证整屏的颜色亮度的均匀性和一致性，提升整体显示效果；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8、支持箱体标定和快速标序。</w:t>
            </w:r>
          </w:p>
        </w:tc>
        <w:tc>
          <w:tcPr>
            <w:tcW w:w="680" w:type="dxa"/>
            <w:noWrap w:val="0"/>
            <w:vAlign w:val="center"/>
          </w:tcPr>
          <w:p w14:paraId="785205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480D0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31B07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2" w:hRule="atLeast"/>
          <w:jc w:val="center"/>
        </w:trPr>
        <w:tc>
          <w:tcPr>
            <w:tcW w:w="631" w:type="dxa"/>
            <w:noWrap w:val="0"/>
            <w:vAlign w:val="center"/>
          </w:tcPr>
          <w:p w14:paraId="2428E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574" w:type="dxa"/>
            <w:noWrap w:val="0"/>
            <w:vAlign w:val="center"/>
          </w:tcPr>
          <w:p w14:paraId="57213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全彩电源</w:t>
            </w:r>
          </w:p>
        </w:tc>
        <w:tc>
          <w:tcPr>
            <w:tcW w:w="6563" w:type="dxa"/>
            <w:noWrap w:val="0"/>
            <w:vAlign w:val="center"/>
          </w:tcPr>
          <w:p w14:paraId="7F5A1BC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输入电压：Vac176-264VAC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76C1FAB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输出电压：4.2-4.5Vdc/40A-50A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FD44D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输入频率范围：47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Hz/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63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Hz±5%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D8B0C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散热方式：自散热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5872E4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启动时间测试：在额定电压220VAC状态下,启动时间≤3S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74AB8A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冷启动浪涌测试：在额定电压220VAC状态下，冷启动浪涌≤50A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A5C3D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7、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绝缘阻抗测试：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在器具输入插座端或者电源引入端子与外壳裸露金属部件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之间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的绝缘电阻在正常大气条件下应≥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100MΩ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5AEE26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输出电压稳压测试：产品在176V~264电压状态下，稳压精度在4.0-4.6V之间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0751190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掉电测试：0-100%切换负载，产品在176V~264电压状态下，掉电≤0.35V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E4901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10、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保护功能：输入AC端自带保护盖，且具备过流、过压、断路、短路、欠压、防雷、保险丝等保护功能。</w:t>
            </w:r>
          </w:p>
          <w:p w14:paraId="40EA82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11、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平均无故障时间MTBF≥10000H</w:t>
            </w:r>
          </w:p>
        </w:tc>
        <w:tc>
          <w:tcPr>
            <w:tcW w:w="680" w:type="dxa"/>
            <w:noWrap w:val="0"/>
            <w:vAlign w:val="center"/>
          </w:tcPr>
          <w:p w14:paraId="40BB6C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1E052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52006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4" w:hRule="atLeast"/>
          <w:jc w:val="center"/>
        </w:trPr>
        <w:tc>
          <w:tcPr>
            <w:tcW w:w="631" w:type="dxa"/>
            <w:noWrap w:val="0"/>
            <w:vAlign w:val="center"/>
          </w:tcPr>
          <w:p w14:paraId="65A81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574" w:type="dxa"/>
            <w:noWrap w:val="0"/>
            <w:vAlign w:val="center"/>
          </w:tcPr>
          <w:p w14:paraId="470CC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屏体结构</w:t>
            </w:r>
          </w:p>
          <w:p w14:paraId="4512B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改造</w:t>
            </w:r>
          </w:p>
        </w:tc>
        <w:tc>
          <w:tcPr>
            <w:tcW w:w="6563" w:type="dxa"/>
            <w:noWrap w:val="0"/>
            <w:vAlign w:val="center"/>
          </w:tcPr>
          <w:p w14:paraId="1980EC4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钢结构+铝塑板包边</w:t>
            </w:r>
          </w:p>
        </w:tc>
        <w:tc>
          <w:tcPr>
            <w:tcW w:w="680" w:type="dxa"/>
            <w:noWrap w:val="0"/>
            <w:vAlign w:val="center"/>
          </w:tcPr>
          <w:p w14:paraId="0BA2C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32.98</w:t>
            </w:r>
          </w:p>
        </w:tc>
        <w:tc>
          <w:tcPr>
            <w:tcW w:w="500" w:type="dxa"/>
            <w:noWrap w:val="0"/>
            <w:vAlign w:val="center"/>
          </w:tcPr>
          <w:p w14:paraId="6F8F1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color="auto" w:fill="FFFFFF"/>
              </w:rPr>
              <w:t>㎡</w:t>
            </w:r>
          </w:p>
        </w:tc>
      </w:tr>
      <w:tr w14:paraId="5117C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631" w:type="dxa"/>
            <w:noWrap w:val="0"/>
            <w:vAlign w:val="center"/>
          </w:tcPr>
          <w:p w14:paraId="6B4BEA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574" w:type="dxa"/>
            <w:noWrap w:val="0"/>
            <w:vAlign w:val="center"/>
          </w:tcPr>
          <w:p w14:paraId="5CC459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室内全彩</w:t>
            </w:r>
          </w:p>
          <w:p w14:paraId="60EC7F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LED屏</w:t>
            </w:r>
          </w:p>
        </w:tc>
        <w:tc>
          <w:tcPr>
            <w:tcW w:w="6563" w:type="dxa"/>
            <w:noWrap w:val="0"/>
            <w:vAlign w:val="center"/>
          </w:tcPr>
          <w:p w14:paraId="74EADB4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像素点间距：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≤1.875mm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B7F424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像素密度：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≥285,000 Dots/㎡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539BCA6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为了提高整屏安装的平整度和安装效率，采用模组尺寸为≥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320*160mm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03F5496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en-US"/>
              </w:rPr>
              <w:t>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刷新率：≥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3840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Hz，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支持通过配套控制软件调节刷新率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3CDEB7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像素构成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1R、1G、1B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9CB0E7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驱动方式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恒流驱动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1DF7204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7、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控制方式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同步控制系统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75CEB1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维护方式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前后双向维护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；</w:t>
            </w:r>
          </w:p>
          <w:p w14:paraId="1478E34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封装方式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SMD表贴三合一，五面黑灯，表面不反光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497F130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10、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整屏平整度≤0.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4C2AFD2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模组平整度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0.05mm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50D26AE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水平视角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175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2BA45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垂直视角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175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4FA980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en-US"/>
              </w:rPr>
              <w:t>14、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灰度等级≥16bit，可达65536级；</w:t>
            </w:r>
          </w:p>
          <w:p w14:paraId="71DEAAC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白平衡亮度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550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cd/㎡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4F3CBC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亮度调节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0-100%亮度可调，256级手动/自动调节，屏幕亮度具有随环境照度的变化任意调整功能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0BBF47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17、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亮度均匀性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9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8%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B8DBDA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对比度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1000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：1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CE48E4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en-US" w:bidi="ar-SA"/>
              </w:rPr>
              <w:t>19、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反光率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：≤1%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0DFF012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en-US"/>
              </w:rPr>
              <w:t>20、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峰值功耗≤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600W/m²；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平均功耗≤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300W/m²，采用高效节能驱动技术，符合绿色节能要求。</w:t>
            </w:r>
          </w:p>
          <w:p w14:paraId="526CD10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21.支持4K、8K高清显示。</w:t>
            </w:r>
          </w:p>
          <w:p w14:paraId="3A625DD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22.支持低蓝光，采用硬件级低蓝光技术，在源头减少有害蓝光波段能量，蓝光占比（有害蓝光415~455nm能量综合）+（整体蓝光400~500能量综合）≤55%，低蓝光保护显示不偏色、不泛黄，蓝光辐射能量符合A级。</w:t>
            </w:r>
          </w:p>
          <w:p w14:paraId="05067FE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23.依照GB 4943.1-2022标准相关要求，泄漏电流I(漏)≤3.5mA/m²，LED显示屏能源效率值满足3.5cd/W；LED显示屏符合GB 21520-2023标准，能效一级。</w:t>
            </w:r>
          </w:p>
          <w:p w14:paraId="3636D77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24.模组采用免工具维护设计，稳定度和平整度良好，模组维修时，无需拆卸套件，简化维护流程。</w:t>
            </w:r>
          </w:p>
          <w:p w14:paraId="494C520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25、供电电源：支持在4.2Vdc-5Vdc范围内能正常工作；</w:t>
            </w:r>
          </w:p>
          <w:p w14:paraId="14EB236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26、输入电压：支持宽压输入在96-264VAC，在该范围内能正常工；在5000米海拔环境下，产品可正常工作；</w:t>
            </w:r>
          </w:p>
          <w:p w14:paraId="710DD58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27、LED显示屏模组支持像素级亮度、色度校正功能，可有效消除显示亮暗不均及列亮问题，保证画面显示均匀一致。</w:t>
            </w:r>
          </w:p>
          <w:p w14:paraId="1AEB2B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28、过载试验：根据GB 4943.1-2022标准，进行过载试验，测试结束后，电阻变化量不超过20%，未失效；</w:t>
            </w:r>
          </w:p>
          <w:p w14:paraId="32A8ED6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29、峰值亮度调节：支持动态亮度智能调节与细节增强功能，可根据环境光线自动优化显示效果，在保证视觉舒适的同时实现节能降耗。</w:t>
            </w:r>
          </w:p>
          <w:p w14:paraId="41572E1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30、模组底壳采用高强度阻燃环保材质，具备良好的抗冲击性与抗变形能力，结构强度高、平整度好，满足室内大屏长期稳定运行需求；</w:t>
            </w:r>
          </w:p>
          <w:p w14:paraId="03641D3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31、产品采用高性能驱动芯片，支持智能节电模式，具备明显节能效果，绿色环保。</w:t>
            </w:r>
          </w:p>
        </w:tc>
        <w:tc>
          <w:tcPr>
            <w:tcW w:w="680" w:type="dxa"/>
            <w:noWrap w:val="0"/>
            <w:vAlign w:val="center"/>
          </w:tcPr>
          <w:p w14:paraId="51E981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13.52</w:t>
            </w:r>
          </w:p>
        </w:tc>
        <w:tc>
          <w:tcPr>
            <w:tcW w:w="500" w:type="dxa"/>
            <w:noWrap w:val="0"/>
            <w:vAlign w:val="center"/>
          </w:tcPr>
          <w:p w14:paraId="341EB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color="auto" w:fill="FFFFFF"/>
              </w:rPr>
              <w:t>㎡</w:t>
            </w:r>
          </w:p>
        </w:tc>
      </w:tr>
      <w:tr w14:paraId="1CB9F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1" w:hRule="atLeast"/>
          <w:jc w:val="center"/>
        </w:trPr>
        <w:tc>
          <w:tcPr>
            <w:tcW w:w="631" w:type="dxa"/>
            <w:noWrap w:val="0"/>
            <w:vAlign w:val="center"/>
          </w:tcPr>
          <w:p w14:paraId="2B43A0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574" w:type="dxa"/>
            <w:noWrap w:val="0"/>
            <w:vAlign w:val="center"/>
          </w:tcPr>
          <w:p w14:paraId="66B35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接收卡</w:t>
            </w:r>
          </w:p>
        </w:tc>
        <w:tc>
          <w:tcPr>
            <w:tcW w:w="6563" w:type="dxa"/>
            <w:noWrap w:val="0"/>
            <w:vAlign w:val="center"/>
          </w:tcPr>
          <w:p w14:paraId="5519FDC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1、采用12路HUB75接口，输出信号至LED模组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10AB05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支持单卡最大带载192×1024（不同应用或有差异）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4F167F4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采用国产化信息设备认证的芯片，采用与国产操作系统深度适配的固件架构，支持加密传输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4BF9BA0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具有智能除湿功能，支持显示屏灯珠进行预热，蒸发 LED 灯珠内部湿气，从而达到除湿的效果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7CBF505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支持智能调节屏幕亮度和对比度，降低暗处亮度以节能，增强明亮处细节并提升对比度，优化显示效果的同时减少能耗，兼顾视觉体验与环保需求</w:t>
            </w:r>
          </w:p>
        </w:tc>
        <w:tc>
          <w:tcPr>
            <w:tcW w:w="680" w:type="dxa"/>
            <w:noWrap w:val="0"/>
            <w:vAlign w:val="center"/>
          </w:tcPr>
          <w:p w14:paraId="063F28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0754B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36104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5" w:hRule="atLeast"/>
          <w:jc w:val="center"/>
        </w:trPr>
        <w:tc>
          <w:tcPr>
            <w:tcW w:w="631" w:type="dxa"/>
            <w:noWrap w:val="0"/>
            <w:vAlign w:val="center"/>
          </w:tcPr>
          <w:p w14:paraId="34FF60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574" w:type="dxa"/>
            <w:noWrap w:val="0"/>
            <w:vAlign w:val="center"/>
          </w:tcPr>
          <w:p w14:paraId="2BB137A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Chars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视频发送器</w:t>
            </w:r>
          </w:p>
        </w:tc>
        <w:tc>
          <w:tcPr>
            <w:tcW w:w="6563" w:type="dxa"/>
            <w:noWrap w:val="0"/>
            <w:vAlign w:val="center"/>
          </w:tcPr>
          <w:p w14:paraId="5E3E168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1.采用1U标准机箱，配置≥8路千兆网口输出，单路网口带载不低于655360像素点。</w:t>
            </w:r>
          </w:p>
          <w:p w14:paraId="3C7261D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2.单机最大带载像素不低于524万像素，支持最大宽度16384点或高度8192点显示。</w:t>
            </w:r>
          </w:p>
          <w:p w14:paraId="760322D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3.支持丰富信号输入：1路DP1.2、1路HDMI2.0、4路HDMI1.4、1路U盘视频播放。</w:t>
            </w:r>
          </w:p>
          <w:p w14:paraId="4275B76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4.支持多画面显示，最大支持6窗口同时显示，各窗口可独立缩放、移动、叠加；支持4K/高清信号混合接入。</w:t>
            </w:r>
          </w:p>
          <w:p w14:paraId="3711F36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5.支持信号裁剪、缩放、无缝切换，支持不少于128个场景保存、调用及定时轮巡。</w:t>
            </w:r>
          </w:p>
          <w:p w14:paraId="032D186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6.支持通过多功能卡实现亮度自动调节，可扩展接入环境传感器，实时监测环境信息。</w:t>
            </w:r>
          </w:p>
          <w:p w14:paraId="2B2BB73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7.配备双USB2.0接口，支持电脑调试与多设备级联，可统一调节多设备亮度、色温，保证显示同步。</w:t>
            </w:r>
          </w:p>
          <w:p w14:paraId="1557866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8.设备满足电气安全、抗电强度、防火阻燃要求，具备完整安全防护与标识。</w:t>
            </w:r>
          </w:p>
          <w:p w14:paraId="53E4C98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9.支持HDCP1.4高带宽数字内容保护技术，实现加密传输，兼容主流流媒体内容播放。</w:t>
            </w:r>
          </w:p>
        </w:tc>
        <w:tc>
          <w:tcPr>
            <w:tcW w:w="680" w:type="dxa"/>
            <w:noWrap w:val="0"/>
            <w:vAlign w:val="center"/>
          </w:tcPr>
          <w:p w14:paraId="55CA9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427C1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台</w:t>
            </w:r>
          </w:p>
        </w:tc>
      </w:tr>
      <w:tr w14:paraId="3E48F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631" w:type="dxa"/>
            <w:noWrap w:val="0"/>
            <w:vAlign w:val="center"/>
          </w:tcPr>
          <w:p w14:paraId="5E7513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574" w:type="dxa"/>
            <w:noWrap w:val="0"/>
            <w:vAlign w:val="center"/>
          </w:tcPr>
          <w:p w14:paraId="4B1C8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全彩电源</w:t>
            </w:r>
          </w:p>
        </w:tc>
        <w:tc>
          <w:tcPr>
            <w:tcW w:w="6563" w:type="dxa"/>
            <w:noWrap w:val="0"/>
            <w:vAlign w:val="center"/>
          </w:tcPr>
          <w:p w14:paraId="39B2D7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输入电压：Vac176-264VAC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1EA63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2、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输出电压：4.2-4.5Vdc/40A-50A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4ECE6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3、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输入频率范围：47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Hz/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63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</w:rPr>
              <w:t>Hz±5%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1D6C22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4、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散热方式：自散热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B9AC8D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5、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启动时间测试：在额定电压220VAC状态下,启动时间≤3S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7F9FA7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6、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冷启动浪涌测试：在额定电压220VAC状态下,冷启动浪涌≤50A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1ED6717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7、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绝缘阻抗测试：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在器具输入插座端或者电源引入端子与外壳裸露金属部件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之间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的绝缘电阻在正常大气条件下应≥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100MΩ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07E4839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8、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输出电压稳压测试：产品在176V~264电压状态下，稳压精度在4.0-4.6V之间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49F02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9、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掉电测试：0-100%切换负载，产品在176V~264电压状态下，掉电≤0.35V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1298EFB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10、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保护功能：输入AC端自带保护盖，且具备过流、过压、断路、短路、欠压、防雷、保险丝等保护功能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02598E5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11、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平均无故障时间MTBF≥10000H。</w:t>
            </w:r>
          </w:p>
        </w:tc>
        <w:tc>
          <w:tcPr>
            <w:tcW w:w="680" w:type="dxa"/>
            <w:noWrap w:val="0"/>
            <w:vAlign w:val="center"/>
          </w:tcPr>
          <w:p w14:paraId="49839E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54574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套</w:t>
            </w:r>
          </w:p>
        </w:tc>
      </w:tr>
      <w:tr w14:paraId="68333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631" w:type="dxa"/>
            <w:noWrap w:val="0"/>
            <w:vAlign w:val="center"/>
          </w:tcPr>
          <w:p w14:paraId="58124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574" w:type="dxa"/>
            <w:noWrap w:val="0"/>
            <w:vAlign w:val="center"/>
          </w:tcPr>
          <w:p w14:paraId="174BAD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屏体结构</w:t>
            </w:r>
          </w:p>
        </w:tc>
        <w:tc>
          <w:tcPr>
            <w:tcW w:w="6563" w:type="dxa"/>
            <w:noWrap w:val="0"/>
            <w:vAlign w:val="center"/>
          </w:tcPr>
          <w:p w14:paraId="7E8A69F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钢结构+不锈钢</w:t>
            </w:r>
          </w:p>
        </w:tc>
        <w:tc>
          <w:tcPr>
            <w:tcW w:w="680" w:type="dxa"/>
            <w:noWrap w:val="0"/>
            <w:vAlign w:val="center"/>
          </w:tcPr>
          <w:p w14:paraId="3BEFA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14.3</w:t>
            </w:r>
          </w:p>
        </w:tc>
        <w:tc>
          <w:tcPr>
            <w:tcW w:w="500" w:type="dxa"/>
            <w:noWrap w:val="0"/>
            <w:vAlign w:val="center"/>
          </w:tcPr>
          <w:p w14:paraId="28EFFF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color="auto" w:fill="FFFFFF"/>
              </w:rPr>
              <w:t>㎡</w:t>
            </w:r>
          </w:p>
        </w:tc>
      </w:tr>
      <w:tr w14:paraId="78A8A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631" w:type="dxa"/>
            <w:noWrap w:val="0"/>
            <w:vAlign w:val="center"/>
          </w:tcPr>
          <w:p w14:paraId="4557A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snapToGrid w:val="0"/>
                <w:color w:val="auto"/>
                <w:kern w:val="0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574" w:type="dxa"/>
            <w:noWrap w:val="0"/>
            <w:vAlign w:val="center"/>
          </w:tcPr>
          <w:p w14:paraId="4D704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snapToGrid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6563" w:type="dxa"/>
            <w:noWrap w:val="0"/>
            <w:vAlign w:val="center"/>
          </w:tcPr>
          <w:p w14:paraId="0E912F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ind w:left="0" w:leftChars="0" w:firstLine="0" w:firstLineChars="0"/>
              <w:jc w:val="both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国标线材</w:t>
            </w:r>
          </w:p>
        </w:tc>
        <w:tc>
          <w:tcPr>
            <w:tcW w:w="680" w:type="dxa"/>
            <w:noWrap w:val="0"/>
            <w:vAlign w:val="center"/>
          </w:tcPr>
          <w:p w14:paraId="37596D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500" w:type="dxa"/>
            <w:noWrap w:val="0"/>
            <w:vAlign w:val="center"/>
          </w:tcPr>
          <w:p w14:paraId="58252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kern w:val="0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批</w:t>
            </w:r>
          </w:p>
        </w:tc>
      </w:tr>
      <w:tr w14:paraId="072D0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2" w:hRule="atLeast"/>
          <w:jc w:val="center"/>
        </w:trPr>
        <w:tc>
          <w:tcPr>
            <w:tcW w:w="631" w:type="dxa"/>
            <w:noWrap w:val="0"/>
            <w:vAlign w:val="center"/>
          </w:tcPr>
          <w:p w14:paraId="73C48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574" w:type="dxa"/>
            <w:noWrap w:val="0"/>
            <w:vAlign w:val="center"/>
          </w:tcPr>
          <w:p w14:paraId="02DEC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单色屏</w:t>
            </w:r>
          </w:p>
        </w:tc>
        <w:tc>
          <w:tcPr>
            <w:tcW w:w="6563" w:type="dxa"/>
            <w:noWrap w:val="0"/>
            <w:vAlign w:val="center"/>
          </w:tcPr>
          <w:p w14:paraId="0EFD66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1、像素点间距≤4.75mm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354DD8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2、单元板分辨率≥2048Dots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27CA9D5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3、刷新率≥960Hz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6DF5ADC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4、像素构成：1R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54121F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5、驱动方式：恒流驱动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35F7E9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6、控制方式：同步控制系统、异步控制系统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；</w:t>
            </w:r>
          </w:p>
          <w:p w14:paraId="45DCDF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7、维护方式：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支持前维护；</w:t>
            </w:r>
          </w:p>
          <w:p w14:paraId="122B01C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8、模组结构设计合理，集成度高，便于安装与维护；</w:t>
            </w:r>
          </w:p>
          <w:p w14:paraId="379F1C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9、亮度：≥200cd/m²，0-100%无级可调，支持根据环境光自动调节；亮度均匀性≥95%</w:t>
            </w:r>
          </w:p>
          <w:p w14:paraId="2371FFC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10、对比度≥1000:1；灰度等级≥8bit；水平视角≥120°，垂直视角≥100°</w:t>
            </w:r>
          </w:p>
          <w:p w14:paraId="32E9EFA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jc w:val="both"/>
              <w:rPr>
                <w:rFonts w:hint="default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11、峰值功耗≤300W/㎡；平均功耗≤180W/㎡。</w:t>
            </w:r>
          </w:p>
        </w:tc>
        <w:tc>
          <w:tcPr>
            <w:tcW w:w="680" w:type="dxa"/>
            <w:noWrap w:val="0"/>
            <w:vAlign w:val="center"/>
          </w:tcPr>
          <w:p w14:paraId="439B98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2.91</w:t>
            </w:r>
          </w:p>
        </w:tc>
        <w:tc>
          <w:tcPr>
            <w:tcW w:w="500" w:type="dxa"/>
            <w:noWrap w:val="0"/>
            <w:vAlign w:val="center"/>
          </w:tcPr>
          <w:p w14:paraId="0AFBE8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Style w:val="7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highlight w:val="none"/>
                <w:shd w:val="clear" w:color="auto" w:fill="FFFFFF"/>
              </w:rPr>
              <w:t>㎡</w:t>
            </w:r>
          </w:p>
        </w:tc>
      </w:tr>
    </w:tbl>
    <w:p w14:paraId="0AABC0CC">
      <w:pPr>
        <w:pStyle w:val="3"/>
        <w:rPr>
          <w:rFonts w:hint="eastAsia"/>
          <w:color w:val="auto"/>
          <w:highlight w:val="none"/>
          <w:lang w:eastAsia="zh-CN"/>
        </w:rPr>
      </w:pPr>
    </w:p>
    <w:p w14:paraId="50B2E21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eastAsia="zh-CN"/>
        </w:rPr>
        <w:t>注：</w:t>
      </w:r>
    </w:p>
    <w:p w14:paraId="7DD62B3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1、供应商投标单价不得超过上述各项的控制单价，否则作无效标处理。</w:t>
      </w:r>
    </w:p>
    <w:p w14:paraId="5622ADC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2、以上技术参数指标均是最低要求，所投产品参数应优于或等于以上技术参数指标。</w:t>
      </w:r>
    </w:p>
    <w:p w14:paraId="6E54EE5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2" w:firstLineChars="200"/>
        <w:textAlignment w:val="baseline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  <w:t>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供应商须提供符合本项目技术要求和国家标准、行业标准等标准的产品。若同一标准已颁发新标准，则按最新标准执行。若同一产品同时有几个标准(如国家标准、行业标准、企业标准等),则按最高层次的标准执行。</w:t>
      </w:r>
    </w:p>
    <w:p w14:paraId="13237326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1A1F50"/>
    <w:rsid w:val="331A1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Emphasis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2026-05-09T09:45:00Z</dcterms:created>
  <dc:creator>Administrator</dc:creator>
  <cp:lastModifiedBy>Administrator</cp:lastModifiedBy>
  <dcterms:modified xsi:type="dcterms:W3CDTF">2026-05-09T09:45:15Z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E6439763B61A45D6A8D7B0545AABB151_11</vt:lpwstr>
  </property>
  <property fmtid="{D5CDD505-2E9C-101B-9397-08002B2CF9AE}" pid="4" name="KSOTemplateDocerSaveRecord">
    <vt:lpwstr>eyJoZGlkIjoiYzVmMmRlZjQxNjc3YTI4NmE4ODA5ZDExMjExODkzNjMiLCJ1c2VySWQiOiIxNDk3NDkzOTY2In0=</vt:lpwstr>
  </property>
</Properties>
</file>