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E7208F">
      <w:pPr>
        <w:pageBreakBefore w:val="0"/>
        <w:widowControl w:val="0"/>
        <w:wordWrap/>
        <w:overflowPunct/>
        <w:topLinePunct w:val="0"/>
        <w:bidi w:val="0"/>
        <w:spacing w:before="63" w:line="224" w:lineRule="auto"/>
        <w:jc w:val="center"/>
        <w:rPr>
          <w:rFonts w:hint="eastAsia" w:ascii="仿宋" w:hAnsi="仿宋" w:eastAsia="仿宋" w:cs="仿宋"/>
          <w:color w:val="auto"/>
          <w:sz w:val="31"/>
          <w:szCs w:val="31"/>
          <w:highlight w:val="none"/>
          <w:lang w:eastAsia="zh-CN"/>
        </w:rPr>
      </w:pPr>
      <w:r>
        <w:rPr>
          <w:rFonts w:hint="eastAsia" w:ascii="仿宋" w:hAnsi="仿宋" w:eastAsia="仿宋" w:cs="仿宋"/>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hint="eastAsia" w:ascii="仿宋" w:hAnsi="仿宋" w:eastAsia="仿宋" w:cs="仿宋"/>
          <w:color w:val="auto"/>
          <w:spacing w:val="9"/>
          <w:sz w:val="31"/>
          <w:szCs w:val="31"/>
          <w:highlight w:val="none"/>
          <w:lang w:eastAsia="zh-CN"/>
        </w:rPr>
        <w:t xml:space="preserve">  </w:t>
      </w:r>
      <w:r>
        <w:rPr>
          <w:rFonts w:hint="eastAsia" w:ascii="仿宋" w:hAnsi="仿宋" w:eastAsia="仿宋" w:cs="仿宋"/>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57EEA973">
      <w:pPr>
        <w:pageBreakBefore w:val="0"/>
        <w:widowControl w:val="0"/>
        <w:wordWrap/>
        <w:overflowPunct/>
        <w:topLinePunct w:val="0"/>
        <w:bidi w:val="0"/>
        <w:spacing w:line="309" w:lineRule="auto"/>
        <w:jc w:val="center"/>
        <w:rPr>
          <w:rFonts w:hint="eastAsia" w:ascii="仿宋" w:hAnsi="仿宋" w:eastAsia="仿宋" w:cs="仿宋"/>
          <w:color w:val="auto"/>
          <w:highlight w:val="none"/>
          <w:lang w:eastAsia="zh-CN"/>
        </w:rPr>
      </w:pPr>
    </w:p>
    <w:p w14:paraId="6BF84AAC">
      <w:pPr>
        <w:pageBreakBefore w:val="0"/>
        <w:widowControl w:val="0"/>
        <w:wordWrap/>
        <w:overflowPunct/>
        <w:topLinePunct w:val="0"/>
        <w:bidi w:val="0"/>
        <w:spacing w:before="78" w:line="220" w:lineRule="auto"/>
        <w:jc w:val="both"/>
        <w:outlineLvl w:val="1"/>
        <w:rPr>
          <w:rFonts w:hint="eastAsia" w:ascii="仿宋" w:hAnsi="仿宋" w:eastAsia="仿宋" w:cs="仿宋"/>
          <w:color w:val="auto"/>
          <w:sz w:val="24"/>
          <w:szCs w:val="24"/>
          <w:highlight w:val="none"/>
        </w:rPr>
      </w:pPr>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仿宋" w:hAnsi="仿宋" w:eastAsia="仿宋" w:cs="仿宋"/>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需求表</w:t>
      </w:r>
    </w:p>
    <w:p w14:paraId="44BF4F04">
      <w:pPr>
        <w:pageBreakBefore w:val="0"/>
        <w:widowControl w:val="0"/>
        <w:wordWrap/>
        <w:overflowPunct/>
        <w:topLinePunct w:val="0"/>
        <w:bidi w:val="0"/>
        <w:spacing w:before="64"/>
        <w:rPr>
          <w:rFonts w:hint="eastAsia" w:ascii="仿宋" w:hAnsi="仿宋" w:eastAsia="仿宋" w:cs="仿宋"/>
          <w:color w:val="auto"/>
          <w:highlight w:val="none"/>
        </w:rPr>
      </w:pPr>
    </w:p>
    <w:tbl>
      <w:tblPr>
        <w:tblStyle w:val="17"/>
        <w:tblW w:w="9200"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335"/>
      </w:tblGrid>
      <w:tr w14:paraId="25146E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1" w:hRule="atLeast"/>
        </w:trPr>
        <w:tc>
          <w:tcPr>
            <w:tcW w:w="2048" w:type="dxa"/>
            <w:tcBorders>
              <w:right w:val="nil"/>
            </w:tcBorders>
          </w:tcPr>
          <w:p w14:paraId="06256E2E">
            <w:pPr>
              <w:pageBreakBefore w:val="0"/>
              <w:widowControl w:val="0"/>
              <w:wordWrap/>
              <w:overflowPunct/>
              <w:topLinePunct w:val="0"/>
              <w:bidi w:val="0"/>
              <w:spacing w:before="183" w:line="223" w:lineRule="auto"/>
              <w:ind w:left="1091"/>
              <w:rPr>
                <w:rFonts w:hint="eastAsia" w:ascii="仿宋" w:hAnsi="仿宋" w:eastAsia="仿宋" w:cs="仿宋"/>
                <w:color w:val="auto"/>
                <w:sz w:val="24"/>
                <w:szCs w:val="24"/>
                <w:highlight w:val="none"/>
              </w:rPr>
            </w:pPr>
            <w:r>
              <w:rPr>
                <w:rFonts w:hint="eastAsia" w:ascii="仿宋" w:hAnsi="仿宋" w:eastAsia="仿宋" w:cs="仿宋"/>
                <w:color w:val="auto"/>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13560" cy="1741170"/>
                  <wp:effectExtent l="0" t="0" r="15240" b="1143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13560" cy="1741170"/>
                          </a:xfrm>
                          <a:prstGeom prst="rect">
                            <a:avLst/>
                          </a:prstGeom>
                        </pic:spPr>
                      </pic:pic>
                    </a:graphicData>
                  </a:graphic>
                </wp:anchor>
              </w:drawing>
            </w:r>
            <w:r>
              <w:rPr>
                <w:rFonts w:hint="eastAsia" w:ascii="仿宋" w:hAnsi="仿宋" w:eastAsia="仿宋" w:cs="仿宋"/>
                <w:color w:val="auto"/>
                <w:sz w:val="24"/>
                <w:szCs w:val="24"/>
                <w:highlight w:val="none"/>
              </w:rPr>
              <w:t>名</w:t>
            </w:r>
          </w:p>
          <w:p w14:paraId="3F1CBAB3">
            <w:pPr>
              <w:pStyle w:val="18"/>
              <w:pageBreakBefore w:val="0"/>
              <w:widowControl w:val="0"/>
              <w:wordWrap/>
              <w:overflowPunct/>
              <w:topLinePunct w:val="0"/>
              <w:bidi w:val="0"/>
              <w:spacing w:line="245" w:lineRule="auto"/>
              <w:rPr>
                <w:rFonts w:hint="eastAsia" w:ascii="仿宋" w:hAnsi="仿宋" w:eastAsia="仿宋" w:cs="仿宋"/>
                <w:color w:val="auto"/>
                <w:highlight w:val="none"/>
              </w:rPr>
            </w:pPr>
          </w:p>
          <w:p w14:paraId="57DD4AAE">
            <w:pPr>
              <w:pStyle w:val="18"/>
              <w:pageBreakBefore w:val="0"/>
              <w:widowControl w:val="0"/>
              <w:wordWrap/>
              <w:overflowPunct/>
              <w:topLinePunct w:val="0"/>
              <w:bidi w:val="0"/>
              <w:spacing w:line="246" w:lineRule="auto"/>
              <w:rPr>
                <w:rFonts w:hint="eastAsia" w:ascii="仿宋" w:hAnsi="仿宋" w:eastAsia="仿宋" w:cs="仿宋"/>
                <w:color w:val="auto"/>
                <w:highlight w:val="none"/>
              </w:rPr>
            </w:pPr>
          </w:p>
          <w:p w14:paraId="2357428C">
            <w:pPr>
              <w:pageBreakBefore w:val="0"/>
              <w:widowControl w:val="0"/>
              <w:wordWrap/>
              <w:overflowPunct/>
              <w:topLinePunct w:val="0"/>
              <w:bidi w:val="0"/>
              <w:spacing w:before="78" w:line="219" w:lineRule="auto"/>
              <w:ind w:left="48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内</w:t>
            </w:r>
          </w:p>
          <w:p w14:paraId="3B0E9E97">
            <w:pPr>
              <w:pStyle w:val="18"/>
              <w:pageBreakBefore w:val="0"/>
              <w:widowControl w:val="0"/>
              <w:wordWrap/>
              <w:overflowPunct/>
              <w:topLinePunct w:val="0"/>
              <w:bidi w:val="0"/>
              <w:spacing w:line="338" w:lineRule="auto"/>
              <w:rPr>
                <w:rFonts w:hint="eastAsia" w:ascii="仿宋" w:hAnsi="仿宋" w:eastAsia="仿宋" w:cs="仿宋"/>
                <w:color w:val="auto"/>
                <w:highlight w:val="none"/>
              </w:rPr>
            </w:pPr>
          </w:p>
          <w:p w14:paraId="7BD9253A">
            <w:pPr>
              <w:pageBreakBefore w:val="0"/>
              <w:widowControl w:val="0"/>
              <w:wordWrap/>
              <w:overflowPunct/>
              <w:topLinePunct w:val="0"/>
              <w:bidi w:val="0"/>
              <w:spacing w:before="78" w:line="220" w:lineRule="auto"/>
              <w:ind w:left="1311"/>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容</w:t>
            </w:r>
          </w:p>
        </w:tc>
        <w:tc>
          <w:tcPr>
            <w:tcW w:w="817" w:type="dxa"/>
            <w:tcBorders>
              <w:left w:val="nil"/>
            </w:tcBorders>
          </w:tcPr>
          <w:p w14:paraId="723114A9">
            <w:pPr>
              <w:pStyle w:val="18"/>
              <w:pageBreakBefore w:val="0"/>
              <w:widowControl w:val="0"/>
              <w:wordWrap/>
              <w:overflowPunct/>
              <w:topLinePunct w:val="0"/>
              <w:bidi w:val="0"/>
              <w:spacing w:line="263" w:lineRule="auto"/>
              <w:rPr>
                <w:rFonts w:hint="eastAsia" w:ascii="仿宋" w:hAnsi="仿宋" w:eastAsia="仿宋" w:cs="仿宋"/>
                <w:color w:val="auto"/>
                <w:highlight w:val="none"/>
              </w:rPr>
            </w:pPr>
          </w:p>
          <w:p w14:paraId="2AFA8260">
            <w:pPr>
              <w:pStyle w:val="18"/>
              <w:pageBreakBefore w:val="0"/>
              <w:widowControl w:val="0"/>
              <w:wordWrap/>
              <w:overflowPunct/>
              <w:topLinePunct w:val="0"/>
              <w:bidi w:val="0"/>
              <w:spacing w:line="263" w:lineRule="auto"/>
              <w:rPr>
                <w:rFonts w:hint="eastAsia" w:ascii="仿宋" w:hAnsi="仿宋" w:eastAsia="仿宋" w:cs="仿宋"/>
                <w:color w:val="auto"/>
                <w:highlight w:val="none"/>
              </w:rPr>
            </w:pPr>
          </w:p>
          <w:p w14:paraId="3256EE4D">
            <w:pPr>
              <w:pStyle w:val="18"/>
              <w:pageBreakBefore w:val="0"/>
              <w:widowControl w:val="0"/>
              <w:wordWrap/>
              <w:overflowPunct/>
              <w:topLinePunct w:val="0"/>
              <w:bidi w:val="0"/>
              <w:spacing w:line="264" w:lineRule="auto"/>
              <w:rPr>
                <w:rFonts w:hint="eastAsia" w:ascii="仿宋" w:hAnsi="仿宋" w:eastAsia="仿宋" w:cs="仿宋"/>
                <w:color w:val="auto"/>
                <w:highlight w:val="none"/>
              </w:rPr>
            </w:pPr>
          </w:p>
          <w:p w14:paraId="7728B226">
            <w:pPr>
              <w:pageBreakBefore w:val="0"/>
              <w:widowControl w:val="0"/>
              <w:wordWrap/>
              <w:overflowPunct/>
              <w:topLinePunct w:val="0"/>
              <w:bidi w:val="0"/>
              <w:spacing w:before="78" w:line="221" w:lineRule="auto"/>
              <w:ind w:left="192"/>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称</w:t>
            </w:r>
          </w:p>
        </w:tc>
        <w:tc>
          <w:tcPr>
            <w:tcW w:w="6335" w:type="dxa"/>
            <w:vAlign w:val="center"/>
          </w:tcPr>
          <w:p w14:paraId="6D46BB0C">
            <w:pPr>
              <w:pStyle w:val="18"/>
              <w:pageBreakBefore w:val="0"/>
              <w:widowControl w:val="0"/>
              <w:wordWrap/>
              <w:overflowPunct/>
              <w:topLinePunct w:val="0"/>
              <w:bidi w:val="0"/>
              <w:spacing w:line="480" w:lineRule="auto"/>
              <w:jc w:val="center"/>
              <w:rPr>
                <w:rFonts w:hint="eastAsia" w:ascii="仿宋" w:hAnsi="仿宋" w:eastAsia="仿宋" w:cs="仿宋"/>
                <w:color w:val="auto"/>
                <w:highlight w:val="none"/>
              </w:rPr>
            </w:pPr>
          </w:p>
          <w:p w14:paraId="6A38285A">
            <w:pPr>
              <w:pStyle w:val="18"/>
              <w:pageBreakBefore w:val="0"/>
              <w:widowControl w:val="0"/>
              <w:wordWrap/>
              <w:overflowPunct/>
              <w:topLinePunct w:val="0"/>
              <w:bidi w:val="0"/>
              <w:spacing w:line="480" w:lineRule="auto"/>
              <w:ind w:firstLine="240" w:firstLineChars="100"/>
              <w:jc w:val="center"/>
              <w:rPr>
                <w:rFonts w:hint="eastAsia" w:ascii="仿宋" w:hAnsi="仿宋" w:eastAsia="仿宋" w:cs="仿宋"/>
                <w:color w:val="auto"/>
                <w:highlight w:val="none"/>
              </w:rPr>
            </w:pPr>
            <w:r>
              <w:rPr>
                <w:rFonts w:hint="eastAsia" w:ascii="仿宋" w:hAnsi="仿宋" w:eastAsia="仿宋" w:cs="仿宋"/>
                <w:color w:val="auto"/>
                <w:sz w:val="24"/>
                <w:szCs w:val="24"/>
                <w:highlight w:val="none"/>
              </w:rPr>
              <w:t>河湖保护技术支撑项目</w:t>
            </w:r>
          </w:p>
        </w:tc>
      </w:tr>
      <w:tr w14:paraId="695A90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top"/>
          </w:tcPr>
          <w:p w14:paraId="558A956C">
            <w:pPr>
              <w:pageBreakBefore w:val="0"/>
              <w:widowControl w:val="0"/>
              <w:wordWrap/>
              <w:overflowPunct/>
              <w:topLinePunct w:val="0"/>
              <w:bidi w:val="0"/>
              <w:spacing w:before="253" w:line="219" w:lineRule="auto"/>
              <w:ind w:left="1188"/>
              <w:jc w:val="both"/>
              <w:rPr>
                <w:rFonts w:hint="eastAsia" w:ascii="仿宋" w:hAnsi="仿宋" w:eastAsia="仿宋" w:cs="仿宋"/>
                <w:color w:val="auto"/>
                <w:sz w:val="24"/>
                <w:szCs w:val="24"/>
                <w:highlight w:val="none"/>
              </w:rPr>
            </w:pPr>
            <w:r>
              <w:rPr>
                <w:rFonts w:hint="eastAsia" w:ascii="仿宋" w:hAnsi="仿宋" w:eastAsia="仿宋" w:cs="仿宋"/>
                <w:color w:val="auto"/>
                <w:spacing w:val="-6"/>
                <w:sz w:val="24"/>
                <w:szCs w:val="24"/>
                <w:highlight w:val="none"/>
              </w:rPr>
              <w:t>数量</w:t>
            </w:r>
          </w:p>
        </w:tc>
        <w:tc>
          <w:tcPr>
            <w:tcW w:w="6335" w:type="dxa"/>
            <w:vAlign w:val="center"/>
          </w:tcPr>
          <w:p w14:paraId="41A2E928">
            <w:pPr>
              <w:pStyle w:val="18"/>
              <w:pageBreakBefore w:val="0"/>
              <w:widowControl w:val="0"/>
              <w:wordWrap/>
              <w:overflowPunct/>
              <w:topLinePunct w:val="0"/>
              <w:bidi w:val="0"/>
              <w:jc w:val="center"/>
              <w:rPr>
                <w:rFonts w:hint="eastAsia" w:ascii="仿宋" w:hAnsi="仿宋" w:eastAsia="仿宋" w:cs="仿宋"/>
                <w:color w:val="auto"/>
                <w:highlight w:val="none"/>
                <w:lang w:val="en-US" w:eastAsia="zh-CN"/>
              </w:rPr>
            </w:pPr>
            <w:r>
              <w:rPr>
                <w:rFonts w:hint="eastAsia" w:ascii="仿宋" w:hAnsi="仿宋" w:eastAsia="仿宋" w:cs="仿宋"/>
                <w:color w:val="auto"/>
                <w:sz w:val="24"/>
                <w:szCs w:val="24"/>
                <w:highlight w:val="none"/>
                <w:lang w:val="en-US" w:eastAsia="zh-CN"/>
              </w:rPr>
              <w:t>1项</w:t>
            </w:r>
          </w:p>
        </w:tc>
      </w:tr>
      <w:tr w14:paraId="2329B2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84" w:hRule="atLeast"/>
        </w:trPr>
        <w:tc>
          <w:tcPr>
            <w:tcW w:w="2865" w:type="dxa"/>
            <w:gridSpan w:val="2"/>
            <w:vAlign w:val="center"/>
          </w:tcPr>
          <w:p w14:paraId="2849A4B4">
            <w:pPr>
              <w:pageBreakBefore w:val="0"/>
              <w:widowControl w:val="0"/>
              <w:wordWrap/>
              <w:overflowPunct/>
              <w:topLinePunct w:val="0"/>
              <w:bidi w:val="0"/>
              <w:spacing w:before="253" w:line="219" w:lineRule="auto"/>
              <w:ind w:left="1071"/>
              <w:jc w:val="center"/>
              <w:rPr>
                <w:rFonts w:hint="eastAsia" w:ascii="仿宋" w:hAnsi="仿宋" w:eastAsia="仿宋" w:cs="仿宋"/>
                <w:color w:val="000000" w:themeColor="text1"/>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服务</w:t>
            </w:r>
            <w:r>
              <w:rPr>
                <w:rFonts w:hint="eastAsia" w:ascii="仿宋" w:hAnsi="仿宋" w:eastAsia="仿宋" w:cs="仿宋"/>
                <w:color w:val="000000" w:themeColor="text1"/>
                <w:spacing w:val="-5"/>
                <w:sz w:val="24"/>
                <w:szCs w:val="24"/>
                <w:highlight w:val="none"/>
                <w14:textFill>
                  <w14:solidFill>
                    <w14:schemeClr w14:val="tx1"/>
                  </w14:solidFill>
                </w14:textFill>
              </w:rPr>
              <w:t>期</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限</w:t>
            </w:r>
          </w:p>
        </w:tc>
        <w:tc>
          <w:tcPr>
            <w:tcW w:w="6335" w:type="dxa"/>
            <w:vAlign w:val="center"/>
          </w:tcPr>
          <w:p w14:paraId="1576F4AB">
            <w:pPr>
              <w:pStyle w:val="18"/>
              <w:pageBreakBefore w:val="0"/>
              <w:widowControl w:val="0"/>
              <w:wordWrap/>
              <w:overflowPunct/>
              <w:topLinePunct w:val="0"/>
              <w:bidi w:val="0"/>
              <w:spacing w:line="360" w:lineRule="auto"/>
              <w:ind w:firstLine="920" w:firstLineChars="400"/>
              <w:jc w:val="center"/>
              <w:rPr>
                <w:rFonts w:hint="eastAsia" w:ascii="仿宋" w:hAnsi="仿宋" w:eastAsia="仿宋" w:cs="仿宋"/>
                <w:snapToGrid w:val="0"/>
                <w:color w:val="000000" w:themeColor="text1"/>
                <w:spacing w:val="-5"/>
                <w:sz w:val="24"/>
                <w:szCs w:val="24"/>
                <w:highlight w:val="none"/>
                <w:lang w:val="en-US" w:eastAsia="zh-CN" w:bidi="ar-SA"/>
                <w14:textFill>
                  <w14:solidFill>
                    <w14:schemeClr w14:val="tx1"/>
                  </w14:solidFill>
                </w14:textFill>
              </w:rPr>
            </w:pPr>
          </w:p>
          <w:p w14:paraId="3CE593D4">
            <w:pPr>
              <w:pStyle w:val="18"/>
              <w:pageBreakBefore w:val="0"/>
              <w:widowControl w:val="0"/>
              <w:wordWrap/>
              <w:overflowPunct/>
              <w:topLinePunct w:val="0"/>
              <w:bidi w:val="0"/>
              <w:spacing w:line="360" w:lineRule="auto"/>
              <w:ind w:firstLine="920" w:firstLineChars="400"/>
              <w:jc w:val="center"/>
              <w:rPr>
                <w:rFonts w:hint="eastAsia" w:ascii="仿宋" w:hAnsi="仿宋" w:eastAsia="仿宋" w:cs="仿宋"/>
                <w:color w:val="000000" w:themeColor="text1"/>
                <w:sz w:val="24"/>
                <w:szCs w:val="24"/>
                <w:lang w:eastAsia="zh-CN"/>
                <w14:textFill>
                  <w14:solidFill>
                    <w14:schemeClr w14:val="tx1"/>
                  </w14:solidFill>
                </w14:textFill>
              </w:rPr>
            </w:pPr>
            <w:r>
              <w:rPr>
                <w:rFonts w:hint="eastAsia" w:ascii="仿宋" w:hAnsi="仿宋" w:eastAsia="仿宋" w:cs="仿宋"/>
                <w:snapToGrid w:val="0"/>
                <w:color w:val="000000" w:themeColor="text1"/>
                <w:spacing w:val="-5"/>
                <w:sz w:val="24"/>
                <w:szCs w:val="24"/>
                <w:highlight w:val="none"/>
                <w:lang w:val="en-US" w:eastAsia="zh-CN" w:bidi="ar-SA"/>
                <w14:textFill>
                  <w14:solidFill>
                    <w14:schemeClr w14:val="tx1"/>
                  </w14:solidFill>
                </w14:textFill>
              </w:rPr>
              <w:t>合同签订之日起至 2026年 12 月 30日。</w:t>
            </w:r>
          </w:p>
          <w:p w14:paraId="65300F7D">
            <w:pPr>
              <w:pStyle w:val="18"/>
              <w:pageBreakBefore w:val="0"/>
              <w:widowControl w:val="0"/>
              <w:wordWrap/>
              <w:overflowPunct/>
              <w:topLinePunct w:val="0"/>
              <w:bidi w:val="0"/>
              <w:spacing w:line="360" w:lineRule="auto"/>
              <w:ind w:firstLine="1360" w:firstLineChars="400"/>
              <w:jc w:val="center"/>
              <w:rPr>
                <w:rFonts w:hint="eastAsia" w:ascii="仿宋" w:hAnsi="仿宋" w:eastAsia="仿宋" w:cs="仿宋"/>
                <w:color w:val="000000" w:themeColor="text1"/>
                <w:highlight w:val="none"/>
                <w:lang w:val="en-US" w:eastAsia="zh-CN"/>
                <w14:textFill>
                  <w14:solidFill>
                    <w14:schemeClr w14:val="tx1"/>
                  </w14:solidFill>
                </w14:textFill>
              </w:rPr>
            </w:pPr>
          </w:p>
        </w:tc>
      </w:tr>
      <w:tr w14:paraId="73092D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top"/>
          </w:tcPr>
          <w:p w14:paraId="58A18C1E">
            <w:pPr>
              <w:pageBreakBefore w:val="0"/>
              <w:widowControl w:val="0"/>
              <w:wordWrap/>
              <w:overflowPunct/>
              <w:topLinePunct w:val="0"/>
              <w:bidi w:val="0"/>
              <w:spacing w:before="256" w:line="219" w:lineRule="auto"/>
              <w:ind w:left="951"/>
              <w:jc w:val="both"/>
              <w:rPr>
                <w:rFonts w:hint="eastAsia" w:ascii="仿宋" w:hAnsi="仿宋" w:eastAsia="仿宋" w:cs="仿宋"/>
                <w:color w:val="auto"/>
                <w:sz w:val="24"/>
                <w:szCs w:val="24"/>
                <w:highlight w:val="none"/>
              </w:rPr>
            </w:pPr>
            <w:r>
              <w:rPr>
                <w:rFonts w:hint="eastAsia" w:ascii="仿宋" w:hAnsi="仿宋" w:eastAsia="仿宋" w:cs="仿宋"/>
                <w:color w:val="auto"/>
                <w:spacing w:val="-4"/>
                <w:sz w:val="24"/>
                <w:szCs w:val="24"/>
                <w:highlight w:val="none"/>
                <w:lang w:val="en-US" w:eastAsia="zh-CN"/>
              </w:rPr>
              <w:t>服务</w:t>
            </w:r>
            <w:r>
              <w:rPr>
                <w:rFonts w:hint="eastAsia" w:ascii="仿宋" w:hAnsi="仿宋" w:eastAsia="仿宋" w:cs="仿宋"/>
                <w:color w:val="auto"/>
                <w:spacing w:val="-4"/>
                <w:sz w:val="24"/>
                <w:szCs w:val="24"/>
                <w:highlight w:val="none"/>
              </w:rPr>
              <w:t>地点</w:t>
            </w:r>
          </w:p>
        </w:tc>
        <w:tc>
          <w:tcPr>
            <w:tcW w:w="6335" w:type="dxa"/>
            <w:vAlign w:val="center"/>
          </w:tcPr>
          <w:p w14:paraId="487F75CF">
            <w:pPr>
              <w:pStyle w:val="18"/>
              <w:pageBreakBefore w:val="0"/>
              <w:widowControl w:val="0"/>
              <w:wordWrap/>
              <w:overflowPunct/>
              <w:topLinePunct w:val="0"/>
              <w:bidi w:val="0"/>
              <w:jc w:val="center"/>
              <w:rPr>
                <w:rFonts w:hint="eastAsia" w:ascii="仿宋" w:hAnsi="仿宋" w:eastAsia="仿宋" w:cs="仿宋"/>
                <w:color w:val="auto"/>
                <w:highlight w:val="none"/>
                <w:lang w:val="en-US" w:eastAsia="zh-CN"/>
              </w:rPr>
            </w:pPr>
            <w:r>
              <w:rPr>
                <w:rFonts w:hint="eastAsia" w:ascii="仿宋" w:hAnsi="仿宋" w:eastAsia="仿宋" w:cs="仿宋"/>
                <w:color w:val="auto"/>
                <w:spacing w:val="0"/>
                <w:w w:val="100"/>
                <w:position w:val="0"/>
                <w:sz w:val="24"/>
                <w:szCs w:val="24"/>
                <w:highlight w:val="none"/>
                <w:lang w:val="en-US" w:eastAsia="zh-CN"/>
              </w:rPr>
              <w:t>采购方指定地点</w:t>
            </w:r>
          </w:p>
        </w:tc>
      </w:tr>
      <w:tr w14:paraId="46534B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vAlign w:val="top"/>
          </w:tcPr>
          <w:p w14:paraId="4D39892F">
            <w:pPr>
              <w:pageBreakBefore w:val="0"/>
              <w:widowControl w:val="0"/>
              <w:wordWrap/>
              <w:overflowPunct/>
              <w:topLinePunct w:val="0"/>
              <w:bidi w:val="0"/>
              <w:spacing w:before="256" w:line="221" w:lineRule="auto"/>
              <w:ind w:left="1189"/>
              <w:jc w:val="both"/>
              <w:rPr>
                <w:rFonts w:hint="eastAsia" w:ascii="仿宋" w:hAnsi="仿宋" w:eastAsia="仿宋" w:cs="仿宋"/>
                <w:color w:val="auto"/>
                <w:sz w:val="24"/>
                <w:szCs w:val="24"/>
                <w:highlight w:val="none"/>
              </w:rPr>
            </w:pPr>
            <w:r>
              <w:rPr>
                <w:rFonts w:hint="eastAsia" w:ascii="仿宋" w:hAnsi="仿宋" w:eastAsia="仿宋" w:cs="仿宋"/>
                <w:color w:val="auto"/>
                <w:spacing w:val="-7"/>
                <w:sz w:val="24"/>
                <w:szCs w:val="24"/>
                <w:highlight w:val="none"/>
              </w:rPr>
              <w:t>备注</w:t>
            </w:r>
          </w:p>
        </w:tc>
        <w:tc>
          <w:tcPr>
            <w:tcW w:w="6335" w:type="dxa"/>
            <w:vAlign w:val="center"/>
          </w:tcPr>
          <w:p w14:paraId="48E7B9BA">
            <w:pPr>
              <w:pStyle w:val="18"/>
              <w:pageBreakBefore w:val="0"/>
              <w:widowControl w:val="0"/>
              <w:wordWrap/>
              <w:overflowPunct/>
              <w:topLinePunct w:val="0"/>
              <w:bidi w:val="0"/>
              <w:jc w:val="center"/>
              <w:rPr>
                <w:rFonts w:hint="eastAsia" w:ascii="仿宋" w:hAnsi="仿宋" w:eastAsia="仿宋" w:cs="仿宋"/>
                <w:color w:val="auto"/>
                <w:highlight w:val="none"/>
              </w:rPr>
            </w:pPr>
          </w:p>
        </w:tc>
      </w:tr>
    </w:tbl>
    <w:p w14:paraId="247D2EA9">
      <w:pPr>
        <w:pageBreakBefore w:val="0"/>
        <w:widowControl w:val="0"/>
        <w:wordWrap/>
        <w:overflowPunct/>
        <w:topLinePunct w:val="0"/>
        <w:bidi w:val="0"/>
        <w:rPr>
          <w:rFonts w:hint="eastAsia" w:ascii="仿宋" w:hAnsi="仿宋" w:eastAsia="仿宋" w:cs="仿宋"/>
          <w:color w:val="auto"/>
          <w:highlight w:val="none"/>
        </w:rPr>
      </w:pPr>
    </w:p>
    <w:p w14:paraId="253D8926">
      <w:pPr>
        <w:pageBreakBefore w:val="0"/>
        <w:widowControl w:val="0"/>
        <w:wordWrap/>
        <w:overflowPunct/>
        <w:topLinePunct w:val="0"/>
        <w:bidi w:val="0"/>
        <w:rPr>
          <w:rFonts w:hint="eastAsia" w:ascii="仿宋" w:hAnsi="仿宋" w:eastAsia="仿宋" w:cs="仿宋"/>
          <w:color w:val="auto"/>
          <w:highlight w:val="none"/>
        </w:rPr>
        <w:sectPr>
          <w:footerReference r:id="rId3" w:type="default"/>
          <w:pgSz w:w="11906" w:h="16839"/>
          <w:pgMar w:top="1232" w:right="1786" w:bottom="1156" w:left="1786" w:header="0" w:footer="994" w:gutter="0"/>
          <w:pgNumType w:fmt="decimal"/>
          <w:cols w:space="720" w:num="1"/>
        </w:sectPr>
      </w:pPr>
    </w:p>
    <w:p w14:paraId="35B9D0DB">
      <w:pPr>
        <w:pageBreakBefore w:val="0"/>
        <w:widowControl w:val="0"/>
        <w:wordWrap/>
        <w:overflowPunct/>
        <w:topLinePunct w:val="0"/>
        <w:bidi w:val="0"/>
        <w:spacing w:before="47" w:line="219" w:lineRule="auto"/>
        <w:ind w:left="3805"/>
        <w:outlineLvl w:val="1"/>
        <w:rPr>
          <w:rFonts w:hint="eastAsia" w:ascii="仿宋" w:hAnsi="仿宋" w:eastAsia="仿宋" w:cs="仿宋"/>
          <w:color w:val="auto"/>
          <w:sz w:val="24"/>
          <w:szCs w:val="24"/>
          <w:highlight w:val="none"/>
        </w:rPr>
      </w:pPr>
      <w:bookmarkStart w:id="0" w:name="bookmark81"/>
      <w:bookmarkEnd w:id="0"/>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仿宋" w:hAnsi="仿宋" w:eastAsia="仿宋" w:cs="仿宋"/>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求</w:t>
      </w:r>
    </w:p>
    <w:p w14:paraId="0969045E">
      <w:pPr>
        <w:keepNext w:val="0"/>
        <w:keepLines w:val="0"/>
        <w:pageBreakBefore w:val="0"/>
        <w:widowControl w:val="0"/>
        <w:wordWrap/>
        <w:overflowPunct/>
        <w:topLinePunct w:val="0"/>
        <w:bidi w:val="0"/>
        <w:spacing w:line="360" w:lineRule="auto"/>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pacing w:val="-5"/>
          <w:sz w:val="24"/>
          <w:szCs w:val="24"/>
          <w:highlight w:val="none"/>
        </w:rPr>
        <w:t>（一）</w:t>
      </w:r>
      <w:r>
        <w:rPr>
          <w:rFonts w:hint="eastAsia" w:ascii="仿宋" w:hAnsi="仿宋" w:eastAsia="仿宋" w:cs="仿宋"/>
          <w:color w:val="auto"/>
          <w:spacing w:val="25"/>
          <w:sz w:val="24"/>
          <w:szCs w:val="24"/>
          <w:highlight w:val="none"/>
        </w:rPr>
        <w:t xml:space="preserve"> </w:t>
      </w:r>
      <w:r>
        <w:rPr>
          <w:rFonts w:hint="eastAsia" w:ascii="仿宋" w:hAnsi="仿宋" w:eastAsia="仿宋" w:cs="仿宋"/>
          <w:color w:val="auto"/>
          <w:spacing w:val="-5"/>
          <w:sz w:val="24"/>
          <w:szCs w:val="24"/>
          <w:highlight w:val="none"/>
          <w:lang w:val="en-US" w:eastAsia="zh-CN"/>
        </w:rPr>
        <w:t>服务</w:t>
      </w:r>
      <w:r>
        <w:rPr>
          <w:rFonts w:hint="eastAsia" w:ascii="仿宋" w:hAnsi="仿宋" w:eastAsia="仿宋" w:cs="仿宋"/>
          <w:color w:val="auto"/>
          <w:spacing w:val="-5"/>
          <w:sz w:val="24"/>
          <w:szCs w:val="24"/>
          <w:highlight w:val="none"/>
        </w:rPr>
        <w:t>需求</w:t>
      </w:r>
    </w:p>
    <w:p w14:paraId="2AB9F346">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80" w:firstLineChars="200"/>
        <w:jc w:val="both"/>
        <w:textAlignment w:val="baseline"/>
        <w:rPr>
          <w:rFonts w:hint="eastAsia" w:ascii="仿宋" w:hAnsi="仿宋" w:eastAsia="仿宋" w:cs="仿宋"/>
          <w:i w:val="0"/>
          <w:caps w:val="0"/>
          <w:color w:val="000000" w:themeColor="text1"/>
          <w:spacing w:val="0"/>
          <w:kern w:val="0"/>
          <w:sz w:val="24"/>
          <w:szCs w:val="24"/>
          <w:shd w:val="clear" w:color="auto" w:fill="FFFFFF"/>
          <w:vertAlign w:val="baseline"/>
          <w:lang w:val="en-US" w:eastAsia="zh-CN" w:bidi="ar-SA"/>
          <w14:textFill>
            <w14:solidFill>
              <w14:schemeClr w14:val="tx1"/>
            </w14:solidFill>
          </w14:textFill>
        </w:rPr>
      </w:pPr>
      <w:r>
        <w:rPr>
          <w:rFonts w:hint="eastAsia" w:ascii="仿宋" w:hAnsi="仿宋" w:eastAsia="仿宋" w:cs="仿宋"/>
          <w:i w:val="0"/>
          <w:caps w:val="0"/>
          <w:color w:val="000000" w:themeColor="text1"/>
          <w:spacing w:val="0"/>
          <w:kern w:val="0"/>
          <w:sz w:val="24"/>
          <w:szCs w:val="24"/>
          <w:shd w:val="clear" w:color="auto" w:fill="FFFFFF"/>
          <w:vertAlign w:val="baseline"/>
          <w:lang w:val="en-US" w:eastAsia="zh-CN" w:bidi="ar-SA"/>
          <w14:textFill>
            <w14:solidFill>
              <w14:schemeClr w14:val="tx1"/>
            </w14:solidFill>
          </w14:textFill>
        </w:rPr>
        <w:t>1、项目概况：</w:t>
      </w:r>
    </w:p>
    <w:p w14:paraId="7F147D20">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80" w:firstLineChars="200"/>
        <w:jc w:val="both"/>
        <w:textAlignment w:val="baseline"/>
        <w:rPr>
          <w:rFonts w:hint="eastAsia" w:ascii="仿宋" w:hAnsi="仿宋" w:eastAsia="仿宋" w:cs="仿宋"/>
          <w:i w:val="0"/>
          <w:caps w:val="0"/>
          <w:color w:val="000000" w:themeColor="text1"/>
          <w:spacing w:val="0"/>
          <w:kern w:val="0"/>
          <w:sz w:val="24"/>
          <w:szCs w:val="24"/>
          <w:shd w:val="clear" w:color="auto" w:fill="FFFFFF"/>
          <w:vertAlign w:val="baseline"/>
          <w:lang w:val="en-US" w:eastAsia="zh-CN" w:bidi="ar-SA"/>
          <w14:textFill>
            <w14:solidFill>
              <w14:schemeClr w14:val="tx1"/>
            </w14:solidFill>
          </w14:textFill>
        </w:rPr>
      </w:pPr>
      <w:r>
        <w:rPr>
          <w:rFonts w:hint="eastAsia" w:ascii="仿宋" w:hAnsi="仿宋" w:eastAsia="仿宋" w:cs="仿宋"/>
          <w:i w:val="0"/>
          <w:caps w:val="0"/>
          <w:color w:val="000000" w:themeColor="text1"/>
          <w:spacing w:val="0"/>
          <w:kern w:val="0"/>
          <w:sz w:val="24"/>
          <w:szCs w:val="24"/>
          <w:shd w:val="clear" w:color="auto" w:fill="FFFFFF"/>
          <w:vertAlign w:val="baseline"/>
          <w:lang w:val="en-US" w:eastAsia="zh-CN" w:bidi="ar-SA"/>
          <w14:textFill>
            <w14:solidFill>
              <w14:schemeClr w14:val="tx1"/>
            </w14:solidFill>
          </w14:textFill>
        </w:rPr>
        <w:t>按照水利部等六部委印发的《全面推进幸福河湖建设的意见》（水河湖〔2024〕344号）、《江西省水利厅关于开展水生态文明自主创建的指导意见》（赣水河长字[2017]2号）、中共中央办公厅和国务院办公厅联合印发的《关于全面推进江河保护治理的意见》、江西省总河湖长令[2025]第1号文件发布《江西省幸福河湖建设实施方案（2025-2030年）》等文件要求，项目围绕幸福河湖成效评估、水生态文明村建设评估等河湖长制技术支撑工作，依托《幸福河湖评价标准（DB36/T 2159-2025）》《水生态文明村评价准则》，通过遥感解译、无人机监测、野外采样、问卷调查等手段，全面开展幸福河湖和水生态文明村建设成效评估，提出幸福河湖清单和水生态文明村清单，推动江西省河湖长制工作提档升级，全面建设造福人民的幸福河湖。</w:t>
      </w:r>
    </w:p>
    <w:p w14:paraId="7B70F6B2">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80" w:firstLineChars="200"/>
        <w:jc w:val="both"/>
        <w:textAlignment w:val="baseline"/>
        <w:rPr>
          <w:rFonts w:hint="eastAsia" w:ascii="仿宋" w:hAnsi="仿宋" w:eastAsia="仿宋" w:cs="仿宋"/>
          <w:color w:val="000000" w:themeColor="text1"/>
          <w:sz w:val="24"/>
          <w:szCs w:val="24"/>
          <w:highlight w:val="none"/>
          <w:lang w:val="en-US" w:eastAsia="zh-CN"/>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2、主要服务内容及要求：</w:t>
      </w:r>
    </w:p>
    <w:p w14:paraId="714BC0A1">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80" w:firstLineChars="200"/>
        <w:jc w:val="both"/>
        <w:textAlignment w:val="baseline"/>
        <w:rPr>
          <w:rFonts w:hint="eastAsia" w:ascii="仿宋" w:hAnsi="仿宋" w:eastAsia="仿宋" w:cs="仿宋"/>
          <w:color w:val="000000" w:themeColor="text1"/>
          <w:sz w:val="24"/>
          <w:szCs w:val="24"/>
          <w:highlight w:val="none"/>
          <w:lang w:val="en-US" w:eastAsia="zh-CN"/>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（1）开展幸福河湖建设成效评估。根据《幸福河湖评价标准（DB36/T 2159-2025）》，构建幸福河湖评价指标体系，通过遥感解译、野外采样、问卷调查等手段，收集幸福河湖评价指标数据，对全省各地市完成幸福河湖试点建设的河湖进行幸福河湖建设成效评估，诊断幸福河湖建设存在的问题，提出针对性意见建议和建设经验，形成评估报告，提交江西省幸福河湖名单。</w:t>
      </w:r>
    </w:p>
    <w:p w14:paraId="7079CB00">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80" w:firstLineChars="200"/>
        <w:jc w:val="both"/>
        <w:textAlignment w:val="baseline"/>
        <w:rPr>
          <w:rFonts w:hint="eastAsia" w:ascii="仿宋" w:hAnsi="仿宋" w:eastAsia="仿宋" w:cs="仿宋"/>
          <w:i w:val="0"/>
          <w:caps w:val="0"/>
          <w:color w:val="000000" w:themeColor="text1"/>
          <w:spacing w:val="0"/>
          <w:kern w:val="0"/>
          <w:sz w:val="24"/>
          <w:szCs w:val="24"/>
          <w:shd w:val="clear" w:color="auto" w:fill="FFFFFF"/>
          <w:vertAlign w:val="baseline"/>
          <w:lang w:val="en-US" w:eastAsia="zh-CN" w:bidi="ar-SA"/>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（2）开展水生态文明村建设成效评估。根据</w:t>
      </w:r>
      <w:r>
        <w:rPr>
          <w:rFonts w:hint="eastAsia" w:ascii="仿宋" w:hAnsi="仿宋" w:eastAsia="仿宋" w:cs="仿宋"/>
          <w:color w:val="000000" w:themeColor="text1"/>
          <w:sz w:val="24"/>
          <w:szCs w:val="24"/>
          <w:highlight w:val="none"/>
          <w:lang w:val="en-US" w:eastAsia="en-US"/>
          <w14:textFill>
            <w14:solidFill>
              <w14:schemeClr w14:val="tx1"/>
            </w14:solidFill>
          </w14:textFill>
        </w:rPr>
        <w:t>《水生态文明村评价准则》</w:t>
      </w:r>
      <w:r>
        <w:rPr>
          <w:rFonts w:hint="eastAsia" w:ascii="仿宋" w:hAnsi="仿宋" w:eastAsia="仿宋" w:cs="仿宋"/>
          <w:color w:val="000000" w:themeColor="text1"/>
          <w:sz w:val="24"/>
          <w:szCs w:val="24"/>
          <w:highlight w:val="none"/>
          <w:lang w:val="en-US" w:eastAsia="zh-CN"/>
          <w14:textFill>
            <w14:solidFill>
              <w14:schemeClr w14:val="tx1"/>
            </w14:solidFill>
          </w14:textFill>
        </w:rPr>
        <w:t>，构建水生态文明村评价指标体系，通过无人机监测、遥感野外采样监测、问卷调查等手段，收集水生态文明村评价指标数据，对完成水生态文明村自主创建的村庄进行水生态文明村建设成效评估，诊断水生态文明村建设存在的问题，提出针对性意见建议和建设经验，形成评估报告，提交江西省水生态文明村名单</w:t>
      </w:r>
      <w:r>
        <w:rPr>
          <w:rFonts w:hint="eastAsia" w:ascii="仿宋" w:hAnsi="仿宋" w:eastAsia="仿宋" w:cs="仿宋"/>
          <w:i w:val="0"/>
          <w:caps w:val="0"/>
          <w:color w:val="000000" w:themeColor="text1"/>
          <w:spacing w:val="0"/>
          <w:kern w:val="0"/>
          <w:sz w:val="24"/>
          <w:szCs w:val="24"/>
          <w:shd w:val="clear" w:color="auto" w:fill="FFFFFF"/>
          <w:vertAlign w:val="baseline"/>
          <w:lang w:val="en-US" w:eastAsia="zh-CN" w:bidi="ar-SA"/>
          <w14:textFill>
            <w14:solidFill>
              <w14:schemeClr w14:val="tx1"/>
            </w14:solidFill>
          </w14:textFill>
        </w:rPr>
        <w:t>。</w:t>
      </w:r>
    </w:p>
    <w:p w14:paraId="36F2C6A3">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80" w:firstLineChars="200"/>
        <w:jc w:val="both"/>
        <w:textAlignment w:val="baseline"/>
        <w:rPr>
          <w:rFonts w:hint="eastAsia" w:ascii="仿宋" w:hAnsi="仿宋" w:eastAsia="仿宋" w:cs="仿宋"/>
          <w:color w:val="000000" w:themeColor="text1"/>
          <w:sz w:val="24"/>
          <w:szCs w:val="24"/>
          <w:highlight w:val="none"/>
          <w:lang w:val="en-US" w:eastAsia="zh-CN"/>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3、服务要求：</w:t>
      </w:r>
    </w:p>
    <w:p w14:paraId="1C6E5B62">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80" w:firstLineChars="200"/>
        <w:jc w:val="both"/>
        <w:textAlignment w:val="baseline"/>
        <w:rPr>
          <w:rFonts w:hint="eastAsia" w:ascii="仿宋" w:hAnsi="仿宋" w:eastAsia="仿宋" w:cs="仿宋"/>
          <w:color w:val="000000" w:themeColor="text1"/>
          <w:sz w:val="24"/>
          <w:szCs w:val="24"/>
          <w:highlight w:val="none"/>
          <w:lang w:val="en-US" w:eastAsia="zh-CN"/>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（1）完成</w:t>
      </w:r>
      <w:r>
        <w:rPr>
          <w:rFonts w:hint="eastAsia" w:ascii="仿宋" w:hAnsi="仿宋" w:eastAsia="仿宋" w:cs="仿宋"/>
          <w:color w:val="000000" w:themeColor="text1"/>
          <w:sz w:val="24"/>
          <w:szCs w:val="24"/>
          <w:highlight w:val="none"/>
          <w:lang w:val="en" w:eastAsia="zh-CN"/>
          <w14:textFill>
            <w14:solidFill>
              <w14:schemeClr w14:val="tx1"/>
            </w14:solidFill>
          </w14:textFill>
        </w:rPr>
        <w:t>2026年全省</w:t>
      </w:r>
      <w:r>
        <w:rPr>
          <w:rFonts w:hint="eastAsia" w:ascii="仿宋" w:hAnsi="仿宋" w:eastAsia="仿宋" w:cs="仿宋"/>
          <w:color w:val="000000" w:themeColor="text1"/>
          <w:sz w:val="24"/>
          <w:szCs w:val="24"/>
          <w:highlight w:val="none"/>
          <w:lang w:val="en-US" w:eastAsia="zh-CN"/>
          <w14:textFill>
            <w14:solidFill>
              <w14:schemeClr w14:val="tx1"/>
            </w14:solidFill>
          </w14:textFill>
        </w:rPr>
        <w:t>幸福河湖建设成效评估，形成幸福河湖清单；</w:t>
      </w:r>
    </w:p>
    <w:p w14:paraId="0B464083">
      <w:pPr>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80" w:firstLineChars="200"/>
        <w:jc w:val="both"/>
        <w:textAlignment w:val="baseline"/>
        <w:rPr>
          <w:rFonts w:hint="eastAsia" w:ascii="仿宋" w:hAnsi="仿宋" w:eastAsia="仿宋" w:cs="仿宋"/>
          <w:color w:val="000000" w:themeColor="text1"/>
          <w:sz w:val="24"/>
          <w:szCs w:val="24"/>
          <w:highlight w:val="none"/>
          <w:lang w:val="en-US" w:eastAsia="zh-CN"/>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（2）完成2026年全省水生态文明村建设成效评估，形成水生态文明村清单。</w:t>
      </w:r>
    </w:p>
    <w:p w14:paraId="3C240D34">
      <w:pPr>
        <w:keepNext w:val="0"/>
        <w:keepLines w:val="0"/>
        <w:pageBreakBefore w:val="0"/>
        <w:widowControl w:val="0"/>
        <w:wordWrap/>
        <w:overflowPunct/>
        <w:topLinePunct w:val="0"/>
        <w:bidi w:val="0"/>
        <w:spacing w:line="360" w:lineRule="auto"/>
        <w:ind w:firstLine="480" w:firstLineChars="200"/>
        <w:jc w:val="both"/>
        <w:textAlignment w:val="baseline"/>
        <w:rPr>
          <w:rFonts w:hint="default" w:ascii="仿宋" w:hAnsi="仿宋" w:eastAsia="仿宋" w:cs="仿宋"/>
          <w:color w:val="000000" w:themeColor="text1"/>
          <w:spacing w:val="-6"/>
          <w:sz w:val="24"/>
          <w:szCs w:val="24"/>
          <w:highlight w:val="none"/>
          <w:lang w:val="en-US" w:eastAsia="zh-CN"/>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（3）需熟悉水生态监测评价的步骤，掌握水文分析、水生态监测评价、图斑分析、数理统计等技术分析工具。具备水文资源、测绘地理信息等学科专业人员。</w:t>
      </w:r>
      <w:bookmarkStart w:id="1" w:name="_GoBack"/>
      <w:bookmarkEnd w:id="1"/>
    </w:p>
    <w:sectPr>
      <w:footerReference r:id="rId4" w:type="default"/>
      <w:pgSz w:w="11906" w:h="16838"/>
      <w:pgMar w:top="110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2AE11B">
    <w:pPr>
      <w:pStyle w:val="11"/>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15B75A">
                          <w:pPr>
                            <w:pStyle w:val="11"/>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6D15B75A">
                    <w:pPr>
                      <w:pStyle w:val="11"/>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9AC51">
    <w:pPr>
      <w:pStyle w:val="11"/>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C26545">
                          <w:pPr>
                            <w:pStyle w:val="11"/>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2CC26545">
                    <w:pPr>
                      <w:pStyle w:val="11"/>
                    </w:pPr>
                    <w:r>
                      <w:fldChar w:fldCharType="begin"/>
                    </w:r>
                    <w:r>
                      <w:instrText xml:space="preserve"> PAGE  \* MERGEFORMAT </w:instrText>
                    </w:r>
                    <w:r>
                      <w:fldChar w:fldCharType="separate"/>
                    </w:r>
                    <w:r>
                      <w:t>59</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wODhiZTU3ZTViMDk1MmNhOWFjYzZmNTIwMWIwNjEifQ=="/>
  </w:docVars>
  <w:rsids>
    <w:rsidRoot w:val="00000000"/>
    <w:rsid w:val="01F64D0F"/>
    <w:rsid w:val="031561D5"/>
    <w:rsid w:val="052923C7"/>
    <w:rsid w:val="070E34A9"/>
    <w:rsid w:val="09644C54"/>
    <w:rsid w:val="09E35FBD"/>
    <w:rsid w:val="121D3BF2"/>
    <w:rsid w:val="125B52F5"/>
    <w:rsid w:val="17B8081E"/>
    <w:rsid w:val="1B1C538E"/>
    <w:rsid w:val="1B6A434C"/>
    <w:rsid w:val="1FD55B0C"/>
    <w:rsid w:val="2E3979A7"/>
    <w:rsid w:val="31D40319"/>
    <w:rsid w:val="325D7CF9"/>
    <w:rsid w:val="32676A97"/>
    <w:rsid w:val="35543510"/>
    <w:rsid w:val="372B59F8"/>
    <w:rsid w:val="375A6BCB"/>
    <w:rsid w:val="3C336825"/>
    <w:rsid w:val="3C344FF6"/>
    <w:rsid w:val="432C0987"/>
    <w:rsid w:val="43581704"/>
    <w:rsid w:val="48547666"/>
    <w:rsid w:val="4CE865CF"/>
    <w:rsid w:val="4F043B94"/>
    <w:rsid w:val="521563F1"/>
    <w:rsid w:val="531C6C0B"/>
    <w:rsid w:val="560C1580"/>
    <w:rsid w:val="5CCA30BF"/>
    <w:rsid w:val="634C7460"/>
    <w:rsid w:val="66FD3A84"/>
    <w:rsid w:val="67C232AF"/>
    <w:rsid w:val="6AF2581A"/>
    <w:rsid w:val="6B9B0F84"/>
    <w:rsid w:val="6C140D5E"/>
    <w:rsid w:val="6E845DBB"/>
    <w:rsid w:val="6FF871C5"/>
    <w:rsid w:val="73EF1E6D"/>
    <w:rsid w:val="74714F78"/>
    <w:rsid w:val="7F7810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宋体" w:hAnsi="Calibri" w:eastAsia="宋体" w:cs="Times New Roman"/>
      <w:sz w:val="34"/>
      <w:lang w:val="en-US" w:eastAsia="zh-CN" w:bidi="ar-SA"/>
    </w:rPr>
  </w:style>
  <w:style w:type="paragraph" w:styleId="2">
    <w:name w:val="heading 1"/>
    <w:basedOn w:val="1"/>
    <w:next w:val="1"/>
    <w:qFormat/>
    <w:uiPriority w:val="0"/>
    <w:pPr>
      <w:keepNext/>
      <w:outlineLvl w:val="0"/>
    </w:pPr>
    <w:rPr>
      <w:sz w:val="28"/>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3" w:lineRule="auto"/>
      <w:outlineLvl w:val="2"/>
    </w:pPr>
    <w:rPr>
      <w:b/>
      <w:bCs/>
      <w:sz w:val="32"/>
      <w:szCs w:val="32"/>
    </w:rPr>
  </w:style>
  <w:style w:type="paragraph" w:styleId="5">
    <w:name w:val="heading 4"/>
    <w:basedOn w:val="1"/>
    <w:qFormat/>
    <w:uiPriority w:val="1"/>
    <w:pPr>
      <w:ind w:left="1417"/>
      <w:outlineLvl w:val="4"/>
    </w:pPr>
    <w:rPr>
      <w:rFonts w:ascii="黑体" w:hAnsi="黑体" w:eastAsia="黑体" w:cs="黑体"/>
      <w:b/>
      <w:bCs/>
      <w:sz w:val="24"/>
      <w:szCs w:val="24"/>
      <w:lang w:val="en-US" w:eastAsia="zh-CN" w:bidi="ar-SA"/>
    </w:rPr>
  </w:style>
  <w:style w:type="character" w:default="1" w:styleId="15">
    <w:name w:val="Default Paragraph Font"/>
    <w:semiHidden/>
    <w:qFormat/>
    <w:uiPriority w:val="0"/>
  </w:style>
  <w:style w:type="table" w:default="1" w:styleId="13">
    <w:name w:val="Normal Table"/>
    <w:autoRedefine/>
    <w:semiHidden/>
    <w:qFormat/>
    <w:uiPriority w:val="0"/>
    <w:tblPr>
      <w:tblCellMar>
        <w:top w:w="0" w:type="dxa"/>
        <w:left w:w="108" w:type="dxa"/>
        <w:bottom w:w="0" w:type="dxa"/>
        <w:right w:w="108" w:type="dxa"/>
      </w:tblCellMar>
    </w:tblPr>
  </w:style>
  <w:style w:type="paragraph" w:styleId="6">
    <w:name w:val="Body Text"/>
    <w:basedOn w:val="1"/>
    <w:next w:val="7"/>
    <w:qFormat/>
    <w:uiPriority w:val="0"/>
    <w:pPr>
      <w:spacing w:after="120" w:afterLines="0"/>
    </w:pPr>
  </w:style>
  <w:style w:type="paragraph" w:styleId="7">
    <w:name w:val="Body Text First Indent"/>
    <w:basedOn w:val="6"/>
    <w:qFormat/>
    <w:uiPriority w:val="0"/>
    <w:pPr>
      <w:ind w:firstLine="420" w:firstLineChars="100"/>
    </w:pPr>
  </w:style>
  <w:style w:type="paragraph" w:styleId="8">
    <w:name w:val="Body Text Indent"/>
    <w:basedOn w:val="1"/>
    <w:qFormat/>
    <w:uiPriority w:val="0"/>
    <w:pPr>
      <w:autoSpaceDE w:val="0"/>
      <w:autoSpaceDN w:val="0"/>
      <w:adjustRightInd w:val="0"/>
      <w:spacing w:line="360" w:lineRule="auto"/>
      <w:ind w:firstLine="480"/>
      <w:jc w:val="left"/>
    </w:pPr>
    <w:rPr>
      <w:rFonts w:ascii="宋体" w:hAnsi="宋体"/>
      <w:kern w:val="0"/>
      <w:sz w:val="24"/>
    </w:rPr>
  </w:style>
  <w:style w:type="paragraph" w:styleId="9">
    <w:name w:val="List 2"/>
    <w:basedOn w:val="1"/>
    <w:next w:val="10"/>
    <w:qFormat/>
    <w:uiPriority w:val="0"/>
    <w:pPr>
      <w:adjustRightInd w:val="0"/>
      <w:spacing w:line="312" w:lineRule="atLeast"/>
      <w:ind w:left="100" w:leftChars="200" w:hanging="200" w:hangingChars="200"/>
      <w:textAlignment w:val="baseline"/>
    </w:pPr>
    <w:rPr>
      <w:rFonts w:ascii="Calibri" w:hAnsi="Calibri" w:eastAsia="仿宋" w:cs="Times New Roman"/>
      <w:kern w:val="0"/>
      <w:sz w:val="32"/>
      <w:szCs w:val="20"/>
    </w:rPr>
  </w:style>
  <w:style w:type="paragraph" w:styleId="10">
    <w:name w:val="Plain Text"/>
    <w:basedOn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Body Text First Indent 2"/>
    <w:basedOn w:val="8"/>
    <w:qFormat/>
    <w:uiPriority w:val="0"/>
    <w:pPr>
      <w:autoSpaceDE/>
      <w:autoSpaceDN/>
      <w:adjustRightInd/>
      <w:spacing w:after="120" w:afterLines="0" w:line="240" w:lineRule="auto"/>
      <w:ind w:left="420" w:leftChars="200" w:firstLine="420" w:firstLineChars="200"/>
      <w:jc w:val="both"/>
    </w:pPr>
    <w:rPr>
      <w:rFonts w:ascii="Times New Roman" w:hAnsi="Times New Roman"/>
      <w:kern w:val="2"/>
      <w:sz w:val="21"/>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首行缩进"/>
    <w:basedOn w:val="1"/>
    <w:qFormat/>
    <w:uiPriority w:val="0"/>
    <w:pPr>
      <w:ind w:firstLine="480" w:firstLineChars="200"/>
    </w:pPr>
    <w:rPr>
      <w:rFonts w:ascii="Calibri" w:hAnsi="Calibri"/>
      <w:szCs w:val="20"/>
      <w:lang w:val="zh-CN"/>
    </w:rPr>
  </w:style>
  <w:style w:type="table" w:customStyle="1" w:styleId="17">
    <w:name w:val="Table Normal"/>
    <w:semiHidden/>
    <w:unhideWhenUsed/>
    <w:qFormat/>
    <w:uiPriority w:val="0"/>
    <w:tblPr>
      <w:tblCellMar>
        <w:top w:w="0" w:type="dxa"/>
        <w:left w:w="0" w:type="dxa"/>
        <w:bottom w:w="0" w:type="dxa"/>
        <w:right w:w="0" w:type="dxa"/>
      </w:tblCellMar>
    </w:tblPr>
  </w:style>
  <w:style w:type="paragraph" w:customStyle="1" w:styleId="18">
    <w:name w:val="Table Text"/>
    <w:basedOn w:val="1"/>
    <w:semiHidden/>
    <w:qFormat/>
    <w:uiPriority w:val="0"/>
  </w:style>
  <w:style w:type="paragraph" w:styleId="19">
    <w:name w:val="List Paragraph"/>
    <w:basedOn w:val="1"/>
    <w:qFormat/>
    <w:uiPriority w:val="34"/>
    <w:pPr>
      <w:ind w:firstLine="420" w:firstLineChars="200"/>
    </w:pPr>
  </w:style>
  <w:style w:type="character" w:customStyle="1" w:styleId="20">
    <w:name w:val="font11"/>
    <w:basedOn w:val="15"/>
    <w:autoRedefine/>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4260</Words>
  <Characters>5948</Characters>
  <Lines>0</Lines>
  <Paragraphs>0</Paragraphs>
  <TotalTime>0</TotalTime>
  <ScaleCrop>false</ScaleCrop>
  <LinksUpToDate>false</LinksUpToDate>
  <CharactersWithSpaces>6127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2024-01-08T02:15:00Z</dcterms:created>
  <dc:creator>Administrator</dc:creator>
  <cp:lastModifiedBy>Administrator</cp:lastModifiedBy>
  <dcterms:modified xsi:type="dcterms:W3CDTF">2026-05-09T07:50:55Z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1AE4F9CB6EC14BE5A3739F9EDA26148F_12</vt:lpwstr>
  </property>
  <property fmtid="{D5CDD505-2E9C-101B-9397-08002B2CF9AE}" pid="4" name="KSOTemplateDocerSaveRecord">
    <vt:lpwstr>eyJoZGlkIjoiM2NjZTJjOWFhYTRmZDQ2N2M2MmQ0NGY1MTFjNmEzYzciLCJ1c2VySWQiOiIzOTUyODk3MzkifQ==</vt:lpwstr>
  </property>
</Properties>
</file>