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24E83FA">
      <w:pPr>
        <w:pageBreakBefore w:val="0"/>
        <w:widowControl w:val="0"/>
        <w:wordWrap/>
        <w:overflowPunct/>
        <w:topLinePunct w:val="0"/>
        <w:bidi w:val="0"/>
        <w:spacing w:line="360" w:lineRule="auto"/>
        <w:rPr>
          <w:rFonts w:hint="eastAsia"/>
          <w:color w:val="auto"/>
          <w:sz w:val="24"/>
          <w:szCs w:val="24"/>
          <w:highlight w:val="none"/>
        </w:rPr>
      </w:pPr>
    </w:p>
    <w:p w14:paraId="6B895C6B">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eastAsia="宋体"/>
          <w:color w:val="auto"/>
          <w:sz w:val="24"/>
          <w:szCs w:val="24"/>
          <w:highlight w:val="none"/>
          <w:lang w:val="en-US" w:eastAsia="zh-CN"/>
        </w:rPr>
        <w:t>一、</w:t>
      </w:r>
      <w:r>
        <w:rPr>
          <w:rFonts w:hint="eastAsia"/>
          <w:color w:val="auto"/>
          <w:sz w:val="24"/>
          <w:szCs w:val="24"/>
          <w:highlight w:val="none"/>
        </w:rPr>
        <w:t>项目概</w:t>
      </w:r>
      <w:r>
        <w:rPr>
          <w:rFonts w:hint="eastAsia" w:eastAsia="宋体"/>
          <w:color w:val="auto"/>
          <w:sz w:val="24"/>
          <w:szCs w:val="24"/>
          <w:highlight w:val="none"/>
          <w:lang w:val="en-US" w:eastAsia="zh-CN"/>
        </w:rPr>
        <w:t>要</w:t>
      </w:r>
      <w:r>
        <w:rPr>
          <w:rFonts w:hint="eastAsia"/>
          <w:color w:val="auto"/>
          <w:sz w:val="24"/>
          <w:szCs w:val="24"/>
          <w:highlight w:val="none"/>
        </w:rPr>
        <w:t>：</w:t>
      </w:r>
    </w:p>
    <w:p w14:paraId="316F9AC7">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为贯彻落实省局202</w:t>
      </w:r>
      <w:r>
        <w:rPr>
          <w:rFonts w:hint="eastAsia" w:eastAsia="宋体"/>
          <w:color w:val="auto"/>
          <w:sz w:val="24"/>
          <w:szCs w:val="24"/>
          <w:highlight w:val="none"/>
          <w:lang w:val="en-US" w:eastAsia="zh-CN"/>
        </w:rPr>
        <w:t>6</w:t>
      </w:r>
      <w:r>
        <w:rPr>
          <w:rFonts w:hint="eastAsia"/>
          <w:color w:val="auto"/>
          <w:sz w:val="24"/>
          <w:szCs w:val="24"/>
          <w:highlight w:val="none"/>
        </w:rPr>
        <w:t>年产品质量安全监管工作要点和监管目录的安排，切实加强我市工业产品质量安全监管，提升监管科学性、精准性和有效性，我们结合九江实际，拟开展相关产品质量监督抽查招标工作，以确保抽查工作的公正性、专业性和权威性，及时发现和消除产品质量安全隐患，保障人民群众生命财产安全和社会公共利益。</w:t>
      </w:r>
    </w:p>
    <w:p w14:paraId="400267C5">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对产品质量实行以抽查为主要方式的监督检查制度，对可能危及人体健康和人身、财产安全的产品，影响国计民生的重要工业产品以及用户、消费者、有关组织反映的有质量问题的产品进行抽查。产品质量监督抽查是政府对产品通过抽样检验的方式进行质量监督 的一种制度性安排。通过实施监督抽查，扶优治劣、引导消费，督促企业提升产品质量保障能力，促进产品质量整体水平提高。</w:t>
      </w:r>
    </w:p>
    <w:p w14:paraId="4483D3BB">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eastAsia="宋体"/>
          <w:color w:val="auto"/>
          <w:sz w:val="24"/>
          <w:szCs w:val="24"/>
          <w:highlight w:val="none"/>
          <w:lang w:val="en-US" w:eastAsia="zh-CN"/>
        </w:rPr>
        <w:t>二、</w:t>
      </w:r>
      <w:r>
        <w:rPr>
          <w:rFonts w:hint="eastAsia"/>
          <w:color w:val="auto"/>
          <w:sz w:val="24"/>
          <w:szCs w:val="24"/>
          <w:highlight w:val="none"/>
        </w:rPr>
        <w:t>技术要求</w:t>
      </w:r>
    </w:p>
    <w:p w14:paraId="7CF74C30">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1、采购需求：</w:t>
      </w:r>
    </w:p>
    <w:p w14:paraId="6E16B671">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（1）各项产品的监督抽查需求如下表。</w:t>
      </w:r>
    </w:p>
    <w:p w14:paraId="47E86232">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（2）合同金额的组成及响应报价要求供应商接受委托任务书后，履行合同。</w:t>
      </w:r>
    </w:p>
    <w:p w14:paraId="0E7379A9">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2、服务要求：</w:t>
      </w:r>
    </w:p>
    <w:p w14:paraId="5BE35EF1">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1）严格遵守法律、法规的规定和检验工作有关纪律要求，完成既定各类产品的质量监督抽查检测工作，严格按照对应标准出具真实、准确、完整的检测报告；检验活动中无重大差错，能够保证检验结果质量；具有资质认定范围涵盖承担的产品监督 抽查任务中相应的产品品种和检验项目；</w:t>
      </w:r>
    </w:p>
    <w:p w14:paraId="611ECBC7">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2）依据检测结果精准识别辖区内产品质量安全隐患，排查不合格产品及生产、销售环节质量问题，为市场监督管理部门开展质量监管、行政执法、风险预警提供可靠的技术支撑。负责样品的抽样、检验、检验报告的寄送、结果分析、异议复检和检验过程中技 术问题的处理工作；</w:t>
      </w:r>
    </w:p>
    <w:p w14:paraId="6CCAEFF4">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（3）必须接受采购人对承担检验任务工作质量情况的监督检查和考核；</w:t>
      </w:r>
    </w:p>
    <w:p w14:paraId="3CBBABEE">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（4）能按时完成采购人安排的临时性和应急性任务。</w:t>
      </w:r>
    </w:p>
    <w:p w14:paraId="38EFBBEB">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（5）按照《中华人民共和国产品质量法》、《产品质量监督抽查管理暂行办法》抽样 检验工作任务布置要求等开展此项工作。</w:t>
      </w:r>
    </w:p>
    <w:p w14:paraId="366CBA40">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（6）供应商在承担任务时必须保证抽检分离。</w:t>
      </w:r>
    </w:p>
    <w:p w14:paraId="60B79999">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（7）采购标的需满足的服务标准、期限、效率等要求：按采购人印发的抽查通知要求完成。</w:t>
      </w:r>
    </w:p>
    <w:p w14:paraId="516ADEBE">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（8）采购标的其他技术、服务要求：根据采购人需求，在应急检验处理情况下，承检 机构应及时向采购人反馈。</w:t>
      </w:r>
    </w:p>
    <w:p w14:paraId="36AE3F94">
      <w:pPr>
        <w:pageBreakBefore w:val="0"/>
        <w:widowControl w:val="0"/>
        <w:wordWrap/>
        <w:overflowPunct/>
        <w:topLinePunct w:val="0"/>
        <w:bidi w:val="0"/>
        <w:spacing w:line="360" w:lineRule="auto"/>
        <w:ind w:firstLine="480" w:firstLineChars="200"/>
        <w:rPr>
          <w:rFonts w:hint="eastAsia" w:eastAsia="宋体"/>
          <w:color w:val="auto"/>
          <w:sz w:val="24"/>
          <w:szCs w:val="24"/>
          <w:highlight w:val="none"/>
          <w:lang w:eastAsia="zh-CN"/>
        </w:rPr>
      </w:pPr>
      <w:r>
        <w:rPr>
          <w:rFonts w:hint="eastAsia" w:eastAsia="宋体"/>
          <w:color w:val="auto"/>
          <w:sz w:val="24"/>
          <w:szCs w:val="24"/>
          <w:highlight w:val="none"/>
          <w:lang w:eastAsia="zh-CN"/>
        </w:rPr>
        <w:t>（</w:t>
      </w:r>
      <w:r>
        <w:rPr>
          <w:rFonts w:hint="eastAsia" w:eastAsia="宋体"/>
          <w:color w:val="auto"/>
          <w:sz w:val="24"/>
          <w:szCs w:val="24"/>
          <w:highlight w:val="none"/>
          <w:lang w:val="en-US" w:eastAsia="zh-CN"/>
        </w:rPr>
        <w:t>9</w:t>
      </w:r>
      <w:r>
        <w:rPr>
          <w:rFonts w:hint="eastAsia" w:eastAsia="宋体"/>
          <w:color w:val="auto"/>
          <w:sz w:val="24"/>
          <w:szCs w:val="24"/>
          <w:highlight w:val="none"/>
          <w:lang w:eastAsia="zh-CN"/>
        </w:rPr>
        <w:t>）具有所需的组织管理机制和协调能力</w:t>
      </w:r>
    </w:p>
    <w:p w14:paraId="64EBAD23">
      <w:pPr>
        <w:pageBreakBefore w:val="0"/>
        <w:widowControl w:val="0"/>
        <w:wordWrap/>
        <w:overflowPunct/>
        <w:topLinePunct w:val="0"/>
        <w:bidi w:val="0"/>
        <w:spacing w:line="360" w:lineRule="auto"/>
        <w:ind w:firstLine="480" w:firstLineChars="200"/>
        <w:rPr>
          <w:rFonts w:hint="eastAsia"/>
          <w:color w:val="auto"/>
          <w:sz w:val="24"/>
          <w:szCs w:val="24"/>
          <w:highlight w:val="none"/>
        </w:rPr>
      </w:pPr>
    </w:p>
    <w:p w14:paraId="4835BDFB">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3、抽样设备</w:t>
      </w:r>
    </w:p>
    <w:p w14:paraId="094ABBF4">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（1）抽样车辆（面包车或小型货车或小型轿车）不少于1辆；</w:t>
      </w:r>
    </w:p>
    <w:p w14:paraId="500C1E6D">
      <w:pPr>
        <w:pageBreakBefore w:val="0"/>
        <w:widowControl w:val="0"/>
        <w:wordWrap/>
        <w:overflowPunct/>
        <w:topLinePunct w:val="0"/>
        <w:bidi w:val="0"/>
        <w:spacing w:line="360" w:lineRule="auto"/>
        <w:ind w:firstLine="480" w:firstLineChars="200"/>
        <w:rPr>
          <w:rFonts w:hint="eastAsia"/>
          <w:color w:val="auto"/>
          <w:sz w:val="24"/>
          <w:szCs w:val="24"/>
          <w:highlight w:val="none"/>
        </w:rPr>
      </w:pPr>
      <w:r>
        <w:rPr>
          <w:rFonts w:hint="eastAsia"/>
          <w:color w:val="auto"/>
          <w:sz w:val="24"/>
          <w:szCs w:val="24"/>
          <w:highlight w:val="none"/>
        </w:rPr>
        <w:t>（2）移动类抽样设备（便携式计算机和便携式打印机）不少于一套；</w:t>
      </w:r>
    </w:p>
    <w:p w14:paraId="4A134F56">
      <w:pPr>
        <w:pageBreakBefore w:val="0"/>
        <w:widowControl w:val="0"/>
        <w:wordWrap/>
        <w:overflowPunct/>
        <w:topLinePunct w:val="0"/>
        <w:bidi w:val="0"/>
        <w:spacing w:line="360" w:lineRule="auto"/>
        <w:ind w:firstLine="480" w:firstLineChars="200"/>
        <w:rPr>
          <w:color w:val="auto"/>
          <w:sz w:val="24"/>
          <w:szCs w:val="24"/>
          <w:highlight w:val="none"/>
        </w:rPr>
      </w:pPr>
      <w:r>
        <w:rPr>
          <w:rFonts w:hint="eastAsia"/>
          <w:color w:val="auto"/>
          <w:sz w:val="24"/>
          <w:szCs w:val="24"/>
          <w:highlight w:val="none"/>
        </w:rPr>
        <w:t>（3）抽样现场记录仪不少于2套；</w:t>
      </w:r>
    </w:p>
    <w:p w14:paraId="137591CA">
      <w:pPr>
        <w:pageBreakBefore w:val="0"/>
        <w:widowControl w:val="0"/>
        <w:wordWrap/>
        <w:overflowPunct/>
        <w:topLinePunct w:val="0"/>
        <w:bidi w:val="0"/>
        <w:spacing w:line="360" w:lineRule="auto"/>
        <w:ind w:firstLine="480" w:firstLineChars="200"/>
        <w:rPr>
          <w:color w:val="auto"/>
          <w:sz w:val="24"/>
          <w:szCs w:val="24"/>
          <w:highlight w:val="none"/>
        </w:rPr>
      </w:pPr>
    </w:p>
    <w:p w14:paraId="051A3B34">
      <w:pPr>
        <w:pageBreakBefore w:val="0"/>
        <w:widowControl w:val="0"/>
        <w:wordWrap/>
        <w:overflowPunct/>
        <w:topLinePunct w:val="0"/>
        <w:bidi w:val="0"/>
        <w:spacing w:line="360" w:lineRule="auto"/>
        <w:ind w:firstLine="480" w:firstLineChars="200"/>
        <w:rPr>
          <w:rFonts w:hint="default"/>
          <w:b/>
          <w:bCs/>
          <w:color w:val="auto"/>
          <w:sz w:val="24"/>
          <w:szCs w:val="24"/>
          <w:highlight w:val="none"/>
          <w:lang w:val="en-US" w:eastAsia="zh-CN"/>
        </w:rPr>
      </w:pPr>
      <w:r>
        <w:rPr>
          <w:rFonts w:hint="eastAsia"/>
          <w:b/>
          <w:bCs/>
          <w:color w:val="auto"/>
          <w:sz w:val="24"/>
          <w:szCs w:val="24"/>
          <w:highlight w:val="none"/>
          <w:lang w:val="en-US" w:eastAsia="zh-CN"/>
        </w:rPr>
        <w:t>4、人员要求：</w:t>
      </w:r>
    </w:p>
    <w:p w14:paraId="1264D7AB">
      <w:pPr>
        <w:pageBreakBefore w:val="0"/>
        <w:widowControl w:val="0"/>
        <w:wordWrap/>
        <w:overflowPunct/>
        <w:topLinePunct w:val="0"/>
        <w:bidi w:val="0"/>
        <w:spacing w:line="360" w:lineRule="auto"/>
        <w:ind w:firstLine="480" w:firstLineChars="200"/>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（1）拟派本项目负责人须具备质量检验检测专业中级及以上技术职称。（供应商须提供承诺函，格式自拟）</w:t>
      </w:r>
    </w:p>
    <w:p w14:paraId="0344C989">
      <w:pPr>
        <w:pageBreakBefore w:val="0"/>
        <w:widowControl w:val="0"/>
        <w:wordWrap/>
        <w:overflowPunct/>
        <w:topLinePunct w:val="0"/>
        <w:bidi w:val="0"/>
        <w:spacing w:line="360" w:lineRule="auto"/>
        <w:ind w:firstLine="480" w:firstLineChars="200"/>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2）拟派本项目检验人员专业范围须全面覆盖本项目抽查的全部产品类别，包括：①儿童用品、②日用品、③塑料制品、④一次性卫生用品、⑤日用消杀及清洁用品、⑥户外用品、⑦宗教用具。（供应商须提供承诺函，格式自拟）</w:t>
      </w:r>
    </w:p>
    <w:p w14:paraId="2CBBAA77">
      <w:pPr>
        <w:pageBreakBefore w:val="0"/>
        <w:widowControl w:val="0"/>
        <w:wordWrap/>
        <w:overflowPunct/>
        <w:topLinePunct w:val="0"/>
        <w:bidi w:val="0"/>
        <w:spacing w:line="360" w:lineRule="auto"/>
        <w:ind w:firstLine="420" w:firstLineChars="200"/>
        <w:rPr>
          <w:rFonts w:hint="eastAsia"/>
          <w:color w:val="auto"/>
          <w:highlight w:val="none"/>
        </w:rPr>
      </w:pPr>
    </w:p>
    <w:p w14:paraId="4390E01E">
      <w:pPr>
        <w:pageBreakBefore w:val="0"/>
        <w:widowControl w:val="0"/>
        <w:wordWrap/>
        <w:overflowPunct/>
        <w:topLinePunct w:val="0"/>
        <w:bidi w:val="0"/>
        <w:spacing w:line="360" w:lineRule="auto"/>
        <w:ind w:firstLine="480" w:firstLineChars="200"/>
        <w:rPr>
          <w:rFonts w:hint="default"/>
          <w:b/>
          <w:bCs/>
          <w:color w:val="auto"/>
          <w:sz w:val="24"/>
          <w:szCs w:val="24"/>
          <w:highlight w:val="none"/>
          <w:lang w:val="en-US" w:eastAsia="zh-CN"/>
        </w:rPr>
      </w:pPr>
      <w:r>
        <w:rPr>
          <w:rFonts w:hint="eastAsia"/>
          <w:b/>
          <w:bCs/>
          <w:color w:val="auto"/>
          <w:sz w:val="24"/>
          <w:szCs w:val="24"/>
          <w:highlight w:val="none"/>
          <w:lang w:val="en-US" w:eastAsia="zh-CN"/>
        </w:rPr>
        <w:t>5、抽查品目清单</w:t>
      </w:r>
      <w:r>
        <w:rPr>
          <w:rFonts w:hint="default"/>
          <w:b/>
          <w:bCs/>
          <w:color w:val="auto"/>
          <w:sz w:val="24"/>
          <w:szCs w:val="24"/>
          <w:highlight w:val="none"/>
          <w:lang w:val="en-US" w:eastAsia="zh-CN"/>
        </w:rPr>
        <w:t>：</w:t>
      </w:r>
    </w:p>
    <w:tbl>
      <w:tblPr>
        <w:tblStyle w:val="7"/>
        <w:tblW w:w="5065" w:type="pct"/>
        <w:tblInd w:w="-13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28" w:type="dxa"/>
          <w:bottom w:w="0" w:type="dxa"/>
          <w:right w:w="28" w:type="dxa"/>
        </w:tblCellMar>
      </w:tblPr>
      <w:tblGrid>
        <w:gridCol w:w="560"/>
        <w:gridCol w:w="475"/>
        <w:gridCol w:w="699"/>
        <w:gridCol w:w="667"/>
        <w:gridCol w:w="3237"/>
        <w:gridCol w:w="1617"/>
        <w:gridCol w:w="820"/>
        <w:gridCol w:w="605"/>
        <w:gridCol w:w="790"/>
      </w:tblGrid>
      <w:tr w14:paraId="498C0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08B01D8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Style w:val="11"/>
                <w:b w:val="0"/>
                <w:color w:val="auto"/>
                <w:highlight w:val="none"/>
                <w:lang w:val="en-US" w:eastAsia="zh-CN" w:bidi="ar"/>
              </w:rPr>
              <w:t>序</w:t>
            </w:r>
            <w:r>
              <w:rPr>
                <w:rStyle w:val="12"/>
                <w:rFonts w:eastAsia="宋体"/>
                <w:b w:val="0"/>
                <w:color w:val="auto"/>
                <w:highlight w:val="none"/>
                <w:lang w:val="en-US" w:eastAsia="zh-CN" w:bidi="ar"/>
              </w:rPr>
              <w:t xml:space="preserve"> </w:t>
            </w:r>
            <w:r>
              <w:rPr>
                <w:rStyle w:val="11"/>
                <w:b w:val="0"/>
                <w:color w:val="auto"/>
                <w:highlight w:val="none"/>
                <w:lang w:val="en-US" w:eastAsia="zh-CN" w:bidi="ar"/>
              </w:rPr>
              <w:t>号</w:t>
            </w:r>
          </w:p>
        </w:tc>
        <w:tc>
          <w:tcPr>
            <w:tcW w:w="2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9E78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产品类别</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129DD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产品名称</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E4E5A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采样环节</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2703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检验项目</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4DA96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依据标准</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EB7A1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Style w:val="11"/>
                <w:b w:val="0"/>
                <w:color w:val="auto"/>
                <w:highlight w:val="none"/>
                <w:lang w:val="en-US" w:eastAsia="zh-CN" w:bidi="ar"/>
              </w:rPr>
              <w:t>单批次最高限价（元</w:t>
            </w:r>
            <w:r>
              <w:rPr>
                <w:rStyle w:val="12"/>
                <w:rFonts w:eastAsia="宋体"/>
                <w:b w:val="0"/>
                <w:color w:val="auto"/>
                <w:highlight w:val="none"/>
                <w:lang w:val="en-US" w:eastAsia="zh-CN" w:bidi="ar"/>
              </w:rPr>
              <w:t>/</w:t>
            </w:r>
            <w:r>
              <w:rPr>
                <w:rStyle w:val="11"/>
                <w:b w:val="0"/>
                <w:color w:val="auto"/>
                <w:highlight w:val="none"/>
                <w:lang w:val="en-US" w:eastAsia="zh-CN" w:bidi="ar"/>
              </w:rPr>
              <w:t>批次）</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5389A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sz w:val="22"/>
                <w:szCs w:val="22"/>
                <w:highlight w:val="none"/>
                <w:u w:val="none"/>
              </w:rPr>
            </w:pPr>
            <w:r>
              <w:rPr>
                <w:rFonts w:hint="eastAsia" w:ascii="宋体" w:hAnsi="宋体" w:eastAsia="宋体" w:cs="宋体"/>
                <w:b w:val="0"/>
                <w:bCs/>
                <w:i w:val="0"/>
                <w:iCs w:val="0"/>
                <w:color w:val="auto"/>
                <w:kern w:val="0"/>
                <w:sz w:val="22"/>
                <w:szCs w:val="22"/>
                <w:highlight w:val="none"/>
                <w:u w:val="none"/>
                <w:lang w:val="en-US" w:eastAsia="zh-CN" w:bidi="ar"/>
              </w:rPr>
              <w:t>抽查批次</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3D8B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kern w:val="0"/>
                <w:sz w:val="22"/>
                <w:szCs w:val="22"/>
                <w:highlight w:val="none"/>
                <w:u w:val="none"/>
                <w:lang w:val="en-US" w:eastAsia="zh-CN" w:bidi="ar"/>
              </w:rPr>
            </w:pPr>
            <w:r>
              <w:rPr>
                <w:rFonts w:hint="eastAsia" w:ascii="宋体" w:hAnsi="宋体" w:eastAsia="宋体" w:cs="宋体"/>
                <w:b w:val="0"/>
                <w:bCs/>
                <w:i w:val="0"/>
                <w:iCs w:val="0"/>
                <w:color w:val="auto"/>
                <w:kern w:val="0"/>
                <w:sz w:val="22"/>
                <w:szCs w:val="22"/>
                <w:highlight w:val="none"/>
                <w:u w:val="none"/>
                <w:lang w:val="en-US" w:eastAsia="zh-CN" w:bidi="ar"/>
              </w:rPr>
              <w:t>合理报价</w:t>
            </w:r>
          </w:p>
          <w:p w14:paraId="63D475D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i w:val="0"/>
                <w:iCs w:val="0"/>
                <w:color w:val="auto"/>
                <w:kern w:val="0"/>
                <w:sz w:val="22"/>
                <w:szCs w:val="22"/>
                <w:highlight w:val="none"/>
                <w:u w:val="none"/>
                <w:lang w:val="en-US" w:eastAsia="zh-CN" w:bidi="ar"/>
              </w:rPr>
            </w:pPr>
            <w:r>
              <w:rPr>
                <w:rFonts w:hint="eastAsia" w:ascii="宋体" w:hAnsi="宋体" w:eastAsia="宋体" w:cs="宋体"/>
                <w:b w:val="0"/>
                <w:bCs/>
                <w:i w:val="0"/>
                <w:iCs w:val="0"/>
                <w:color w:val="auto"/>
                <w:kern w:val="0"/>
                <w:sz w:val="22"/>
                <w:szCs w:val="22"/>
                <w:highlight w:val="none"/>
                <w:u w:val="none"/>
                <w:lang w:val="en-US" w:eastAsia="zh-CN" w:bidi="ar"/>
              </w:rPr>
              <w:t>金额（元）</w:t>
            </w:r>
          </w:p>
        </w:tc>
      </w:tr>
      <w:tr w14:paraId="02B38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17A0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79272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儿童用品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33B4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玩具</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C0CA18">
            <w:pPr>
              <w:keepNext w:val="0"/>
              <w:keepLines w:val="0"/>
              <w:pageBreakBefore w:val="0"/>
              <w:kinsoku/>
              <w:wordWrap/>
              <w:overflowPunct/>
              <w:topLinePunct w:val="0"/>
              <w:autoSpaceDE/>
              <w:autoSpaceDN/>
              <w:bidi w:val="0"/>
              <w:adjustRightInd/>
              <w:snapToGrid/>
              <w:jc w:val="center"/>
              <w:rPr>
                <w:rFonts w:hint="default" w:ascii="宋体" w:hAnsi="宋体" w:eastAsia="宋体" w:cs="宋体"/>
                <w:b w:val="0"/>
                <w:i w:val="0"/>
                <w:iCs w:val="0"/>
                <w:color w:val="auto"/>
                <w:sz w:val="22"/>
                <w:szCs w:val="22"/>
                <w:highlight w:val="none"/>
                <w:u w:val="none"/>
                <w:lang w:val="en-US" w:eastAsia="zh-CN"/>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AAD2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机械与物理性能（正常使用（材料、小零件、挤压玩具、摇铃及类似玩具、小球、毛球、学前玩偶、玩具奶嘴、气球、弹珠、半球形玩具、可触及的金属或玻璃边缘、功能性锐利边缘、金属玩具边缘、模塑玩具边缘、外露螺栓或螺纹杆的边缘、可触及的锐利尖端、功能性锐利尖端、木制玩具、突出部件、金属丝和杆件、用于包装或玩具中的塑料袋或塑料薄膜、18 个月以下儿童使用的玩具上的绳索和弹性绳、18个月以下儿童使用的玩具上的自回缩绳、36个月以下儿童使用的拖拉玩具上的绳索或弹性绳、玩具袋上的绳索、童床或游戏围栏上的悬挂玩具、童床上的健身玩具及类似玩具、飞行玩具的绳索、细绳或线、玩具推车、玩具婴儿车及类似玩具、带有折叠机构的其他玩具、铰链间隙、刚性材料上的圆孔、活动部件间的间隙、其他驱动机构、发条钥匙、弹簧、封闭式玩具的通风装置、封闭式玩具的关闭件、封闭头部的玩具、仿制防护玩具（头盔、帽子、护目镜）、弹射玩具的一般要求、蓄能弹射玩具、非蓄能弹射玩具、水上玩具、热源玩具、液体填充玩具、口动玩具、玩具滚轴溜冰鞋、单排滚轴溜冰鞋及玩具滑板、玩具火药帽、声响要求、磁体和磁性部件））、机械与物理性能（可预见的合理滥用（小零件、小球、毛球、弹珠、可触及的金属或玻璃边缘、金属玩具边缘、模塑玩具边缘、外露螺栓或螺纹杆的边缘、可触及的锐利尖端、木制玩具、突出部件、金属丝和杆件、刚性材料上的圆孔、活动部件间的间隙、其他驱动机构、发条钥匙、蓄能弹射玩具、非蓄能弹射玩具、口动玩具））</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9286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6675.2-2014</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BC7D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1425</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9EBED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20</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3F82A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403D3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95B1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2</w:t>
            </w: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EEEE06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7703B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童车</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4F2E6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88D82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材料质量、金属表面、燃烧性能、外露的开口管子、危险夹缝、剪切和挤夹点、锐利边缘和尖端、小零件、外露突出物、机械部件的连接、卧兜的最小内部高度、座兜的座垫与靠背的角度和靠背的高度、推车的适用年龄、卧兜和座兜连接在车架上的装置、稳定性、手把强度、制动装置、折叠锁定装置、可拆卸卧兜或座兜的连接装置的强度和耐用性、束缚系统的强度、安全带扣的强度、车轮的强度、动态耐久性测试、撞击强度、静态强度</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C0B4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14748-2006</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66077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2850</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F1628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2</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88457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56079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66D1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3</w:t>
            </w: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C81C6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D50AC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儿童高椅</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3D64B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7CC32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木材、适用性、要求、可折叠高椅的试验、胯带强度试验、一般强度试验、加工工艺检查、耐腐蚀试验、背斜角测量、试验前的装配和检验、靠背调节机构的强度试验、背带附件强度试验、稳定性试验</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1666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22793.1-2008</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22793.2-2008</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5A808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2375</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B0F4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2</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78D1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42C13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F87C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4</w:t>
            </w: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BD880FF">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9355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儿童餐具</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662C9E">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CB0A2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总迁移量、高锰酸钾消耗量、重金属（以Pｂ计）、脱色试验</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2ECC6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4806.6-2016</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4806.7-2016</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4806.7-2023 及产品</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明示标准等</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A61B9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1710</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6646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5</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6FFE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47080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7102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5</w:t>
            </w: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578FB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EF0E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牙胶</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756578">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8E566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机械与物理性能（正常使用（材料、小零件、挤压玩具、摇铃及类似玩具、小球、毛球、学前玩偶、玩具奶嘴、气球、弹珠、半球形玩具、可触及的金属或玻璃边缘、功能性锐利边缘、金属玩具边缘、模塑玩具边缘、外露螺栓或螺纹杆的边缘、可触及的锐利尖端、功能性锐利尖端、木制玩具、突出部件、金属丝和杆件、用于包装或玩具中的塑料袋或塑料薄膜、18个月以下儿童使用的玩具上的绳索和弹性绳、18个月以下儿童使用的玩具上的自回缩绳、36个月以下儿童使用的拖拉玩具上的绳索或弹性绳、玩具袋上的绳索、童床或游戏围栏上的悬挂玩具、童床上的健身玩具及类似玩具、飞行玩具的绳索、细绳或线、玩具推车、玩具婴儿车及类似玩具、带有折叠机构的其他玩具、铰链间隙、刚性材料上的圆孔、活动部件间的间隙、其他驱动机构、发条钥匙、弹簧、封闭式玩具的通风装置、封闭式玩具的关闭件、封闭头部的玩具、仿制防护玩具（头盔、帽子、护目镜）、弹射玩具的一般要求、蓄能弹射玩具、非蓄能弹射玩具、水上玩具、热源玩具、液体填充玩具、口动玩具、玩具滚轴溜冰鞋、单排滚轴溜冰鞋及玩具滑板、玩具火药帽、声响要求、磁体和磁性部件））、机械与物理性能（可预见的合理滥用（小零件、小球、毛球、弹珠、可触及的金属或玻璃边缘、金属玩具边缘、模塑玩具边缘、外露螺栓或螺纹杆的边缘、可触及的锐利尖端、木制玩具、突出部件、金属丝和杆件、刚性材料上的圆孔、活动部件间的间隙、其他驱动机构、发条钥匙、蓄能弹射玩具、非蓄能弹射玩具、口动玩具））、特定元素的迁移（最大限量要求）、增塑剂（限定增塑剂限量要求）</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BB81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6675.1-2014</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6675.2-2014</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6675.4-2014</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B5531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1900</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9D8F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5</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13C63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2FF86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0002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7</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ABED85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日用品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A90A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恒温壶/焖烧壶</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BA4B7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FE2BF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感官要求，杂质元素迁移量，合金元素迁移量，铅迁移量，镉迁移量</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9D2A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4806.5-2016</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4806.9-2023</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1C1CE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1900</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006D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2</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C24B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39E18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6DE9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8</w:t>
            </w: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BB052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C43D5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箱包</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592DC5">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F389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拉杆耐疲劳性能、行走性能、振荡冲击性能、滚筒冲击性能、箱铝口硬度、缝合强度、摩擦色牢度、五金配件耐腐蚀性测试、硬箱箱体耐静压性能</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C663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QB/T 2155-2018</w:t>
            </w:r>
          </w:p>
        </w:tc>
        <w:tc>
          <w:tcPr>
            <w:tcW w:w="4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1BB1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2375</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4A23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5</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B06FE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245DB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3DB27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10</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25268A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塑料制品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033E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塑料袋（日用塑料袋、塑料购物袋、塑料垃圾袋）</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E03D2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AF0D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厚度及偏差、宽度偏差、长度偏差、提吊试验、跌落试验、漏水性、落镖冲击</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46078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21661-2020</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24984-2010</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GB/T 24454-2009  </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2ACB0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default" w:ascii="Arial" w:hAnsi="Arial" w:eastAsia="宋体" w:cs="Arial"/>
                <w:b w:val="0"/>
                <w:i w:val="0"/>
                <w:iCs w:val="0"/>
                <w:color w:val="auto"/>
                <w:kern w:val="0"/>
                <w:sz w:val="21"/>
                <w:szCs w:val="21"/>
                <w:highlight w:val="none"/>
                <w:u w:val="none"/>
                <w:lang w:val="en-US" w:eastAsia="zh-CN" w:bidi="ar"/>
              </w:rPr>
              <w:t>1520</w:t>
            </w:r>
          </w:p>
        </w:tc>
        <w:tc>
          <w:tcPr>
            <w:tcW w:w="31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67A315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10</w:t>
            </w:r>
          </w:p>
        </w:tc>
        <w:tc>
          <w:tcPr>
            <w:tcW w:w="41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46AD06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36BF9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B847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EB32F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1618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塑料垃圾桶</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BC373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31FF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操作性，盛装性能，放置稳定性能，提手强度，内桶跌落性能，</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79AFE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 xml:space="preserve"> GB/T 28797-2012</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3CC21C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F0C5B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06926FB">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54824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47A8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417CE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B4C3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塑料收纳箱/储藏盒</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0C43F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D0CD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壁厚比，操作性能，滑轮灵活性能，抗冲击性能，负载性能，容量偏差，跌落性能</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3A13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28798-2012</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30401-2013</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B02EB2">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90293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374A4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5D785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51B9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3181E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861A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塑料家具</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6C45D6">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DF45F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可迁移元素的限量（锑(Sb)、砷(As)、钡(Ba)、镉(Cd)、铅(Pb)、铬(Cr)、汞(Hg)、硒(Se)），邻苯二甲酸酯，多环芳烃</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9F68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18584-2024</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E6A2E9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BBE60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DCA572">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2F0D9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D2438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11</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7E554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一次性卫生用品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E68B7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纸尿裤(含纸尿片、纸尿垫、护理垫)</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DB259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EF953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pH值，可迁移性荧光物质，渗透性能：吸收速度（第一次吸收速度、第二次吸收速度）、回渗量、渗漏量</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6EC74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28004.1-2021</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28004.2-2021</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25FCF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b w:val="0"/>
                <w:color w:val="auto"/>
                <w:highlight w:val="none"/>
                <w:lang w:val="en-US"/>
              </w:rPr>
            </w:pPr>
            <w:r>
              <w:rPr>
                <w:rFonts w:hint="eastAsia" w:ascii="宋体" w:hAnsi="宋体" w:eastAsia="宋体" w:cs="宋体"/>
                <w:b w:val="0"/>
                <w:i w:val="0"/>
                <w:iCs w:val="0"/>
                <w:color w:val="auto"/>
                <w:kern w:val="0"/>
                <w:sz w:val="22"/>
                <w:szCs w:val="22"/>
                <w:highlight w:val="none"/>
                <w:u w:val="none"/>
                <w:lang w:val="en-US" w:eastAsia="zh-CN" w:bidi="ar"/>
              </w:rPr>
              <w:t>1900</w:t>
            </w:r>
          </w:p>
        </w:tc>
        <w:tc>
          <w:tcPr>
            <w:tcW w:w="31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F38943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15</w:t>
            </w:r>
          </w:p>
        </w:tc>
        <w:tc>
          <w:tcPr>
            <w:tcW w:w="41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0DDA35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1CB81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BCF6C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67E886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F606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湿巾</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D0574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99CF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pH值，可迁移性荧光物质，偏差，含液量，细菌菌落总数，大肠菌群，铜绿假单胞菌，金黄色葡萄球菌，溶血性链球菌，真菌菌落总数</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D551E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43631-2023</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27728.1-2024</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27728.2-2024</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27728-2011</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16C09A6">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129211F">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7FFC9E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48BB4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55B8EA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1BF06E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F515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纸巾</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CDECEE">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39CFC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可迁移性荧光物质，横向抗张强度，掉粉率，细菌菌落总数，大肠菌群，铜绿假单胞菌，金黄色葡萄球菌，溶血性链球菌，真菌菌落总数</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562F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20808-2022</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14C40F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774056F">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5F28AF2">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145D5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EDF4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E72070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B9B40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卫生巾</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F8015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FC26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pH值，可迁移性荧光物质，吸水倍率，吸收速度，细菌菌落总数，大肠菌群，铜绿假单胞菌，金黄色葡萄球菌，溶血性链球菌，真菌菌落总数</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2751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8939-2018</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5E1790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84DF35">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F3CF7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2254E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DB036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12</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AA6F4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日用消杀及清洁用品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0741F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厨房油污清洁剂</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DA80B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EB508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总活性物含量，碱度，pH值，腐蚀量，总五氧化二磷含量</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90C1D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GB/T 35833-2018</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73C91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i w:val="0"/>
                <w:iCs w:val="0"/>
                <w:color w:val="auto"/>
                <w:sz w:val="22"/>
                <w:szCs w:val="22"/>
                <w:highlight w:val="none"/>
                <w:u w:val="none"/>
                <w:lang w:val="en-US"/>
              </w:rPr>
            </w:pPr>
            <w:r>
              <w:rPr>
                <w:rFonts w:hint="eastAsia" w:ascii="宋体" w:hAnsi="宋体" w:eastAsia="宋体" w:cs="宋体"/>
                <w:b w:val="0"/>
                <w:i w:val="0"/>
                <w:iCs w:val="0"/>
                <w:color w:val="auto"/>
                <w:kern w:val="0"/>
                <w:sz w:val="22"/>
                <w:szCs w:val="22"/>
                <w:highlight w:val="none"/>
                <w:u w:val="none"/>
                <w:lang w:val="en-US" w:eastAsia="zh-CN" w:bidi="ar"/>
              </w:rPr>
              <w:t>1425</w:t>
            </w:r>
          </w:p>
        </w:tc>
        <w:tc>
          <w:tcPr>
            <w:tcW w:w="31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2D09B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8</w:t>
            </w:r>
          </w:p>
        </w:tc>
        <w:tc>
          <w:tcPr>
            <w:tcW w:w="41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E53E96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7EBEE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F300E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73726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1017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手洗餐具洗涤剂/果蔬清洗剂</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8E65C6">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302A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总砷（以As计），重金属（以Pb计），甲醇，甲醛，菌落总数，大肠菌群，总有效物含量，pH</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D88F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 xml:space="preserve">GB 14930.1—2022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GB/T 9985—2022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GB/T 24691-2022 </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8C79BC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6A95C9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A356955">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15CA6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F448C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6578F56">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F645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衣料用液体洗涤剂/洗衣凝珠</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B9A34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2DD7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总活性物，pH，总五氧化二磷，规定污布的去污力</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57FB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 xml:space="preserve">QB/T 1224—2012 </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62B64E5">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9CD3FF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580EC0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44FAC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06AF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13</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79B24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户外用品</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E22F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速干衣/冲锋衣</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A5AED1">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8087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纤维含量，耐水色牢度，耐汗渍色牢度，耐摩擦色牢度，pH值，表面抗湿性，静水压，耐磨性能</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45E1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18401-2010</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GB 31701-2015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29862-2013</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32614-2023</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21980-2017</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86676D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i w:val="0"/>
                <w:iCs w:val="0"/>
                <w:color w:val="auto"/>
                <w:sz w:val="22"/>
                <w:szCs w:val="22"/>
                <w:highlight w:val="none"/>
                <w:u w:val="none"/>
                <w:lang w:val="en-US"/>
              </w:rPr>
            </w:pPr>
            <w:r>
              <w:rPr>
                <w:rFonts w:hint="eastAsia" w:ascii="宋体" w:hAnsi="宋体" w:eastAsia="宋体" w:cs="宋体"/>
                <w:b w:val="0"/>
                <w:i w:val="0"/>
                <w:iCs w:val="0"/>
                <w:color w:val="auto"/>
                <w:kern w:val="0"/>
                <w:sz w:val="22"/>
                <w:szCs w:val="22"/>
                <w:highlight w:val="none"/>
                <w:u w:val="none"/>
                <w:lang w:val="en-US" w:eastAsia="zh-CN" w:bidi="ar"/>
              </w:rPr>
              <w:t>2090</w:t>
            </w:r>
          </w:p>
        </w:tc>
        <w:tc>
          <w:tcPr>
            <w:tcW w:w="31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3DF1D4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5</w:t>
            </w:r>
          </w:p>
        </w:tc>
        <w:tc>
          <w:tcPr>
            <w:tcW w:w="41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D5D78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226E0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6E0E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B532CE">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F74A1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防晒服</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37BE42">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6650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纤维含量，耐水色牢度，耐汗渍色牢度，耐摩擦色牢度，透湿率，防紫外线性能</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3E78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18401-2010</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GB 31701-2015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29862-2013</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FZ/T 74007-2019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18830-2009</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1C6A663">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F65F0F">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7640CD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0ED6C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DE1CB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207716">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1720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登山包/野餐包</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6EBF37">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38004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振荡冲击性能，包锁耐用性能，扣件耐用性能，拉链耐用度，缝合强度，背带耐折性能，可溶性重金属（铅、镉），可萃取重金属（铅、镉）</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D1B1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 xml:space="preserve">QB/T 1333-2018 </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 xml:space="preserve">QB/T 4582-2013 </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472E7F7">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08ACF3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8BA26D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7BE3C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B4520F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14</w:t>
            </w:r>
          </w:p>
        </w:tc>
        <w:tc>
          <w:tcPr>
            <w:tcW w:w="2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9E17D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宗教用具</w:t>
            </w: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305E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首饰</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F559BD">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EB82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铅、镉、汞、六价铬、砷</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CE0B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28480-2012</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2D662D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i w:val="0"/>
                <w:iCs w:val="0"/>
                <w:color w:val="auto"/>
                <w:sz w:val="22"/>
                <w:szCs w:val="22"/>
                <w:highlight w:val="none"/>
                <w:u w:val="none"/>
                <w:lang w:val="en-US"/>
              </w:rPr>
            </w:pPr>
            <w:r>
              <w:rPr>
                <w:rFonts w:hint="eastAsia" w:ascii="宋体" w:hAnsi="宋体" w:eastAsia="宋体" w:cs="宋体"/>
                <w:b w:val="0"/>
                <w:i w:val="0"/>
                <w:iCs w:val="0"/>
                <w:color w:val="auto"/>
                <w:kern w:val="0"/>
                <w:sz w:val="22"/>
                <w:szCs w:val="22"/>
                <w:highlight w:val="none"/>
                <w:u w:val="none"/>
                <w:lang w:val="en-US" w:eastAsia="zh-CN" w:bidi="ar"/>
              </w:rPr>
              <w:t>1425</w:t>
            </w:r>
          </w:p>
        </w:tc>
        <w:tc>
          <w:tcPr>
            <w:tcW w:w="31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1F385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3</w:t>
            </w:r>
          </w:p>
        </w:tc>
        <w:tc>
          <w:tcPr>
            <w:tcW w:w="41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1F452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r w14:paraId="44083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1AD8B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D4B508A">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A7A2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蜡烛</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C42F4A">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99CE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蜡芯露出长度，热稳定性，光稳定性，产品放置稳定性</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18FB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QB/T 2119-2007</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QB/T 2902-2007</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QB/T 4359-2012</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QB/T 2903-2007</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GB/T 22256-2008</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79042A">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6CA947C">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F56A4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4F093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29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EDF4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c>
          <w:tcPr>
            <w:tcW w:w="2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7FB42A5">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FCA2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贡品托盘</w:t>
            </w:r>
          </w:p>
        </w:tc>
        <w:tc>
          <w:tcPr>
            <w:tcW w:w="35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00C584">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sz w:val="22"/>
                <w:szCs w:val="22"/>
                <w:highlight w:val="none"/>
                <w:u w:val="none"/>
                <w:lang w:val="en-US" w:eastAsia="zh-CN"/>
              </w:rPr>
              <w:t>流通、生产</w:t>
            </w:r>
          </w:p>
        </w:tc>
        <w:tc>
          <w:tcPr>
            <w:tcW w:w="17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534B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总迁移量、高锰酸钾消耗量、重金属（以Pｂ计）、脱色试验，金属元素迁移量(砷、镉、铅</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锑、铝、铬、钴、铜、锰、钼</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镍、锡、锌)</w:t>
            </w:r>
          </w:p>
        </w:tc>
        <w:tc>
          <w:tcPr>
            <w:tcW w:w="85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0DF44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GB 4806.7-2023</w:t>
            </w:r>
            <w:r>
              <w:rPr>
                <w:rFonts w:hint="eastAsia" w:ascii="宋体" w:hAnsi="宋体" w:eastAsia="宋体" w:cs="宋体"/>
                <w:b w:val="0"/>
                <w:i w:val="0"/>
                <w:iCs w:val="0"/>
                <w:color w:val="auto"/>
                <w:kern w:val="0"/>
                <w:sz w:val="22"/>
                <w:szCs w:val="22"/>
                <w:highlight w:val="none"/>
                <w:u w:val="none"/>
                <w:lang w:val="en-US" w:eastAsia="zh-CN" w:bidi="ar"/>
              </w:rPr>
              <w:br w:type="textWrapping"/>
            </w:r>
            <w:r>
              <w:rPr>
                <w:rFonts w:hint="eastAsia" w:ascii="宋体" w:hAnsi="宋体" w:eastAsia="宋体" w:cs="宋体"/>
                <w:b w:val="0"/>
                <w:i w:val="0"/>
                <w:iCs w:val="0"/>
                <w:color w:val="auto"/>
                <w:kern w:val="0"/>
                <w:sz w:val="22"/>
                <w:szCs w:val="22"/>
                <w:highlight w:val="none"/>
                <w:u w:val="none"/>
                <w:lang w:val="en-US" w:eastAsia="zh-CN" w:bidi="ar"/>
              </w:rPr>
              <w:t>GB 4806.9-2023</w:t>
            </w: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F44CD9">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31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5E46010">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c>
          <w:tcPr>
            <w:tcW w:w="41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8EB887">
            <w:pPr>
              <w:keepNext w:val="0"/>
              <w:keepLines w:val="0"/>
              <w:pageBreakBefore w:val="0"/>
              <w:kinsoku/>
              <w:wordWrap/>
              <w:overflowPunct/>
              <w:topLinePunct w:val="0"/>
              <w:autoSpaceDE/>
              <w:autoSpaceDN/>
              <w:bidi w:val="0"/>
              <w:adjustRightInd/>
              <w:snapToGrid/>
              <w:jc w:val="center"/>
              <w:rPr>
                <w:rFonts w:hint="eastAsia" w:ascii="宋体" w:hAnsi="宋体" w:eastAsia="宋体" w:cs="宋体"/>
                <w:b w:val="0"/>
                <w:i w:val="0"/>
                <w:iCs w:val="0"/>
                <w:color w:val="auto"/>
                <w:sz w:val="22"/>
                <w:szCs w:val="22"/>
                <w:highlight w:val="none"/>
                <w:u w:val="none"/>
              </w:rPr>
            </w:pPr>
          </w:p>
        </w:tc>
      </w:tr>
      <w:tr w14:paraId="48ADE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8" w:type="dxa"/>
            <w:bottom w:w="0" w:type="dxa"/>
            <w:right w:w="28" w:type="dxa"/>
          </w:tblCellMar>
        </w:tblPrEx>
        <w:trPr>
          <w:trHeight w:val="567" w:hRule="atLeast"/>
        </w:trPr>
        <w:tc>
          <w:tcPr>
            <w:tcW w:w="4263" w:type="pct"/>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2417F9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合计</w:t>
            </w:r>
          </w:p>
        </w:tc>
        <w:tc>
          <w:tcPr>
            <w:tcW w:w="3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DCFE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r>
              <w:rPr>
                <w:rFonts w:hint="eastAsia" w:ascii="宋体" w:hAnsi="宋体" w:eastAsia="宋体" w:cs="宋体"/>
                <w:b w:val="0"/>
                <w:i w:val="0"/>
                <w:iCs w:val="0"/>
                <w:color w:val="auto"/>
                <w:kern w:val="0"/>
                <w:sz w:val="22"/>
                <w:szCs w:val="22"/>
                <w:highlight w:val="none"/>
                <w:u w:val="none"/>
                <w:lang w:val="en-US" w:eastAsia="zh-CN" w:bidi="ar"/>
              </w:rPr>
              <w:t>82</w:t>
            </w:r>
          </w:p>
        </w:tc>
        <w:tc>
          <w:tcPr>
            <w:tcW w:w="4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919DA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i w:val="0"/>
                <w:iCs w:val="0"/>
                <w:color w:val="auto"/>
                <w:sz w:val="22"/>
                <w:szCs w:val="22"/>
                <w:highlight w:val="none"/>
                <w:u w:val="none"/>
              </w:rPr>
            </w:pPr>
          </w:p>
        </w:tc>
      </w:tr>
    </w:tbl>
    <w:p w14:paraId="36B4F7DF">
      <w:bookmarkStart w:id="0" w:name="_GoBack"/>
      <w:bookmarkEnd w:id="0"/>
    </w:p>
    <w:sectPr>
      <w:pgSz w:w="11906" w:h="16838"/>
      <w:pgMar w:top="1066" w:right="1304" w:bottom="986" w:left="131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E870DC"/>
    <w:rsid w:val="144C142A"/>
    <w:rsid w:val="14C700FC"/>
    <w:rsid w:val="246E3ECC"/>
    <w:rsid w:val="263F0183"/>
    <w:rsid w:val="437415BE"/>
    <w:rsid w:val="51302D9F"/>
    <w:rsid w:val="55E3608B"/>
    <w:rsid w:val="560938C0"/>
    <w:rsid w:val="643C5726"/>
    <w:rsid w:val="684A10CB"/>
    <w:rsid w:val="697D4251"/>
    <w:rsid w:val="6E132987"/>
    <w:rsid w:val="74A23383"/>
    <w:rsid w:val="76DA26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link w:val="9"/>
    <w:qFormat/>
    <w:uiPriority w:val="0"/>
    <w:pPr>
      <w:keepNext/>
      <w:outlineLvl w:val="0"/>
    </w:pPr>
    <w:rPr>
      <w:rFonts w:ascii="宋体" w:hAnsi="宋体" w:eastAsia="宋体" w:cs="Times New Roman"/>
      <w:b/>
      <w:sz w:val="28"/>
    </w:rPr>
  </w:style>
  <w:style w:type="paragraph" w:styleId="4">
    <w:name w:val="heading 2"/>
    <w:basedOn w:val="1"/>
    <w:next w:val="1"/>
    <w:link w:val="10"/>
    <w:semiHidden/>
    <w:unhideWhenUsed/>
    <w:qFormat/>
    <w:uiPriority w:val="0"/>
    <w:pPr>
      <w:keepNext/>
      <w:keepLines/>
      <w:spacing w:before="120" w:beforeLines="0" w:beforeAutospacing="0" w:after="120" w:afterLines="0" w:afterAutospacing="0" w:line="413" w:lineRule="auto"/>
      <w:jc w:val="center"/>
      <w:outlineLvl w:val="1"/>
    </w:pPr>
    <w:rPr>
      <w:rFonts w:ascii="Arial" w:hAnsi="Arial" w:eastAsia="黑体" w:cs="Times New Roman"/>
      <w:b/>
      <w:snapToGrid w:val="0"/>
      <w:color w:val="000000"/>
      <w:kern w:val="0"/>
      <w:sz w:val="30"/>
      <w:szCs w:val="21"/>
      <w:lang w:eastAsia="en-US"/>
    </w:rPr>
  </w:style>
  <w:style w:type="paragraph" w:styleId="5">
    <w:name w:val="heading 3"/>
    <w:basedOn w:val="1"/>
    <w:next w:val="1"/>
    <w:semiHidden/>
    <w:unhideWhenUsed/>
    <w:qFormat/>
    <w:uiPriority w:val="0"/>
    <w:pPr>
      <w:keepNext/>
      <w:keepLines/>
      <w:spacing w:before="20" w:beforeLines="0" w:beforeAutospacing="0" w:after="20" w:afterLines="0" w:afterAutospacing="0" w:line="413" w:lineRule="auto"/>
      <w:outlineLvl w:val="2"/>
    </w:pPr>
    <w:rPr>
      <w:rFonts w:ascii="Arial" w:hAnsi="Arial" w:eastAsia="Arial" w:cs="Arial"/>
      <w:b/>
      <w:snapToGrid w:val="0"/>
      <w:color w:val="000000"/>
      <w:kern w:val="0"/>
      <w:sz w:val="28"/>
      <w:szCs w:val="21"/>
      <w:lang w:eastAsia="en-US"/>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keepNext w:val="0"/>
      <w:keepLines w:val="0"/>
      <w:widowControl w:val="0"/>
      <w:suppressLineNumbers w:val="0"/>
      <w:spacing w:after="120" w:afterAutospacing="0" w:line="480" w:lineRule="auto"/>
      <w:ind w:left="420" w:leftChars="200"/>
      <w:jc w:val="both"/>
    </w:pPr>
    <w:rPr>
      <w:rFonts w:hint="default" w:ascii="Times New Roman" w:hAnsi="Times New Roman" w:eastAsia="仿宋_GB2312" w:cs="Times New Roman"/>
      <w:spacing w:val="-6"/>
      <w:kern w:val="2"/>
      <w:sz w:val="32"/>
      <w:szCs w:val="32"/>
      <w:lang w:val="en-US" w:eastAsia="zh-CN" w:bidi="ar"/>
    </w:rPr>
  </w:style>
  <w:style w:type="paragraph" w:styleId="6">
    <w:name w:val="footer"/>
    <w:basedOn w:val="1"/>
    <w:qFormat/>
    <w:uiPriority w:val="0"/>
    <w:pPr>
      <w:tabs>
        <w:tab w:val="center" w:pos="4153"/>
        <w:tab w:val="right" w:pos="8306"/>
      </w:tabs>
    </w:pPr>
    <w:rPr>
      <w:sz w:val="18"/>
    </w:rPr>
  </w:style>
  <w:style w:type="character" w:customStyle="1" w:styleId="9">
    <w:name w:val="标题 1 字符"/>
    <w:link w:val="3"/>
    <w:qFormat/>
    <w:uiPriority w:val="0"/>
    <w:rPr>
      <w:rFonts w:ascii="宋体" w:hAnsi="宋体" w:eastAsia="宋体" w:cs="Times New Roman"/>
      <w:b/>
      <w:kern w:val="2"/>
      <w:sz w:val="28"/>
    </w:rPr>
  </w:style>
  <w:style w:type="character" w:customStyle="1" w:styleId="10">
    <w:name w:val="标题 2 Char"/>
    <w:link w:val="4"/>
    <w:qFormat/>
    <w:uiPriority w:val="0"/>
    <w:rPr>
      <w:rFonts w:ascii="Arial" w:hAnsi="Arial" w:eastAsia="黑体" w:cs="Times New Roman"/>
      <w:b/>
      <w:snapToGrid w:val="0"/>
      <w:color w:val="000000"/>
      <w:kern w:val="0"/>
      <w:sz w:val="30"/>
      <w:szCs w:val="21"/>
      <w:lang w:eastAsia="en-US"/>
    </w:rPr>
  </w:style>
  <w:style w:type="character" w:customStyle="1" w:styleId="11">
    <w:name w:val="font31"/>
    <w:basedOn w:val="8"/>
    <w:qFormat/>
    <w:uiPriority w:val="0"/>
    <w:rPr>
      <w:rFonts w:hint="eastAsia" w:ascii="宋体" w:hAnsi="宋体" w:eastAsia="宋体" w:cs="宋体"/>
      <w:color w:val="000000"/>
      <w:sz w:val="21"/>
      <w:szCs w:val="21"/>
      <w:u w:val="none"/>
    </w:rPr>
  </w:style>
  <w:style w:type="character" w:customStyle="1" w:styleId="12">
    <w:name w:val="font51"/>
    <w:basedOn w:val="8"/>
    <w:qFormat/>
    <w:uiPriority w:val="0"/>
    <w:rPr>
      <w:rFonts w:ascii="Arial" w:hAnsi="Arial" w:cs="Arial"/>
      <w:b/>
      <w:bCs/>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2025-11-20T02:18:00Z</dcterms:created>
  <dc:creator>zzw</dc:creator>
  <cp:lastModifiedBy>zzw</cp:lastModifiedBy>
  <dcterms:modified xsi:type="dcterms:W3CDTF">2026-05-08T06:16:44Z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D2E808AAC3324F5485A6380CB35A8075_12</vt:lpwstr>
  </property>
  <property fmtid="{D5CDD505-2E9C-101B-9397-08002B2CF9AE}" pid="4" name="KSOTemplateDocerSaveRecord">
    <vt:lpwstr>eyJoZGlkIjoiZGUxNzQxZWNlNDJiODBhMWU0NDMyNDgzMjg2ZWY3ZWMiLCJ1c2VySWQiOiI0MzQyOTQwMDkifQ==</vt:lpwstr>
  </property>
</Properties>
</file>