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83A864">
      <w:pPr>
        <w:pStyle w:val="3"/>
        <w:keepNext w:val="0"/>
        <w:keepLines w:val="0"/>
        <w:widowControl/>
        <w:suppressLineNumbers w:val="0"/>
        <w:spacing w:line="23" w:lineRule="atLeast"/>
        <w:rPr>
          <w:rFonts w:eastAsia="宋体"/>
          <w:b/>
          <w:bCs w:val="0"/>
          <w:color w:val="000000" w:themeColor="text1"/>
          <w:sz w:val="24"/>
          <w14:textFill>
            <w14:solidFill>
              <w14:schemeClr w14:val="tx1"/>
            </w14:solidFill>
          </w14:textFill>
        </w:rPr>
      </w:pPr>
      <w:r>
        <w:rPr>
          <w:rFonts w:eastAsia="宋体"/>
          <w:b/>
          <w:bCs w:val="0"/>
          <w:color w:val="000000" w:themeColor="text1"/>
          <w:sz w:val="24"/>
          <w14:textFill>
            <w14:solidFill>
              <w14:schemeClr w14:val="tx1"/>
            </w14:solidFill>
          </w14:textFill>
        </w:rPr>
        <w:t xml:space="preserve">1. </w:t>
      </w:r>
      <w:r>
        <w:rPr>
          <w:rFonts w:hint="eastAsia" w:eastAsia="宋体"/>
          <w:b/>
          <w:bCs w:val="0"/>
          <w:color w:val="000000" w:themeColor="text1"/>
          <w:sz w:val="24"/>
          <w:lang w:val="en-US" w:eastAsia="zh-CN"/>
          <w14:textFill>
            <w14:solidFill>
              <w14:schemeClr w14:val="tx1"/>
            </w14:solidFill>
          </w14:textFill>
        </w:rPr>
        <w:t>技术</w:t>
      </w:r>
      <w:r>
        <w:rPr>
          <w:rFonts w:eastAsia="宋体"/>
          <w:b/>
          <w:bCs w:val="0"/>
          <w:color w:val="000000" w:themeColor="text1"/>
          <w:sz w:val="24"/>
          <w14:textFill>
            <w14:solidFill>
              <w14:schemeClr w14:val="tx1"/>
            </w14:solidFill>
          </w14:textFill>
        </w:rPr>
        <w:t>参数表</w:t>
      </w:r>
    </w:p>
    <w:tbl>
      <w:tblPr>
        <w:tblStyle w:val="6"/>
        <w:tblW w:w="5000" w:type="pct"/>
        <w:tblInd w:w="0" w:type="dxa"/>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1715"/>
        <w:gridCol w:w="4287"/>
        <w:gridCol w:w="1286"/>
        <w:gridCol w:w="1286"/>
      </w:tblGrid>
      <w:tr w14:paraId="75EDC122">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rPr>
          <w:tblHeader/>
        </w:trPr>
        <w:tc>
          <w:tcPr>
            <w:tcW w:w="1000" w:type="pct"/>
            <w:tcBorders>
              <w:top w:val="single" w:color="000000" w:sz="6" w:space="0"/>
              <w:left w:val="single" w:color="000000" w:sz="6" w:space="0"/>
              <w:bottom w:val="single" w:color="000000" w:sz="6" w:space="0"/>
              <w:right w:val="single" w:color="000000" w:sz="6" w:space="0"/>
            </w:tcBorders>
            <w:shd w:val="clear" w:color="auto" w:fill="D9E2F0"/>
            <w:tcMar>
              <w:top w:w="120" w:type="dxa"/>
              <w:left w:w="120" w:type="dxa"/>
              <w:bottom w:w="120" w:type="dxa"/>
              <w:right w:w="120" w:type="dxa"/>
            </w:tcMar>
            <w:vAlign w:val="center"/>
          </w:tcPr>
          <w:p w14:paraId="6A698BD6">
            <w:pPr>
              <w:keepNext w:val="0"/>
              <w:keepLines w:val="0"/>
              <w:widowControl/>
              <w:suppressLineNumbers w:val="0"/>
              <w:spacing w:line="23" w:lineRule="atLeast"/>
              <w:jc w:val="center"/>
              <w:rPr>
                <w:rFonts w:hint="eastAsia" w:ascii="宋体" w:hAnsi="宋体" w:eastAsia="宋体" w:cs="宋体"/>
                <w:b w:val="0"/>
                <w:bCs/>
                <w:color w:val="000000" w:themeColor="text1"/>
                <w:sz w:val="24"/>
                <w14:textFill>
                  <w14:solidFill>
                    <w14:schemeClr w14:val="tx1"/>
                  </w14:solidFill>
                </w14:textFill>
              </w:rPr>
            </w:pPr>
            <w:r>
              <w:rPr>
                <w:rFonts w:hint="eastAsia" w:ascii="宋体" w:hAnsi="宋体" w:eastAsia="宋体" w:cs="宋体"/>
                <w:b w:val="0"/>
                <w:bCs/>
                <w:color w:val="000000" w:themeColor="text1"/>
                <w:sz w:val="24"/>
                <w:szCs w:val="24"/>
                <w14:textFill>
                  <w14:solidFill>
                    <w14:schemeClr w14:val="tx1"/>
                  </w14:solidFill>
                </w14:textFill>
              </w:rPr>
              <w:t>梯型</w:t>
            </w:r>
          </w:p>
        </w:tc>
        <w:tc>
          <w:tcPr>
            <w:tcW w:w="2500" w:type="pct"/>
            <w:tcBorders>
              <w:top w:val="single" w:color="000000" w:sz="6" w:space="0"/>
              <w:left w:val="single" w:color="000000" w:sz="6" w:space="0"/>
              <w:bottom w:val="single" w:color="000000" w:sz="6" w:space="0"/>
              <w:right w:val="single" w:color="000000" w:sz="6" w:space="0"/>
            </w:tcBorders>
            <w:shd w:val="clear" w:color="auto" w:fill="D9E2F0"/>
            <w:tcMar>
              <w:top w:w="120" w:type="dxa"/>
              <w:left w:w="120" w:type="dxa"/>
              <w:bottom w:w="120" w:type="dxa"/>
              <w:right w:w="120" w:type="dxa"/>
            </w:tcMar>
            <w:vAlign w:val="center"/>
          </w:tcPr>
          <w:p w14:paraId="623A6B53">
            <w:pPr>
              <w:keepNext w:val="0"/>
              <w:keepLines w:val="0"/>
              <w:widowControl/>
              <w:suppressLineNumbers w:val="0"/>
              <w:spacing w:line="23" w:lineRule="atLeast"/>
              <w:jc w:val="center"/>
              <w:rPr>
                <w:rFonts w:hint="eastAsia" w:ascii="宋体" w:hAnsi="宋体" w:eastAsia="宋体" w:cs="宋体"/>
                <w:b w:val="0"/>
                <w:bCs/>
                <w:color w:val="000000" w:themeColor="text1"/>
                <w:sz w:val="24"/>
                <w14:textFill>
                  <w14:solidFill>
                    <w14:schemeClr w14:val="tx1"/>
                  </w14:solidFill>
                </w14:textFill>
              </w:rPr>
            </w:pPr>
            <w:r>
              <w:rPr>
                <w:rFonts w:hint="eastAsia" w:ascii="宋体" w:hAnsi="宋体" w:eastAsia="宋体" w:cs="宋体"/>
                <w:b w:val="0"/>
                <w:bCs/>
                <w:color w:val="000000" w:themeColor="text1"/>
                <w:sz w:val="24"/>
                <w:szCs w:val="24"/>
                <w14:textFill>
                  <w14:solidFill>
                    <w14:schemeClr w14:val="tx1"/>
                  </w14:solidFill>
                </w14:textFill>
              </w:rPr>
              <w:t>具体参数</w:t>
            </w:r>
          </w:p>
        </w:tc>
        <w:tc>
          <w:tcPr>
            <w:tcW w:w="750" w:type="pct"/>
            <w:tcBorders>
              <w:top w:val="single" w:color="000000" w:sz="6" w:space="0"/>
              <w:left w:val="single" w:color="000000" w:sz="6" w:space="0"/>
              <w:bottom w:val="single" w:color="000000" w:sz="6" w:space="0"/>
              <w:right w:val="single" w:color="000000" w:sz="6" w:space="0"/>
            </w:tcBorders>
            <w:shd w:val="clear" w:color="auto" w:fill="D9E2F0"/>
            <w:tcMar>
              <w:top w:w="120" w:type="dxa"/>
              <w:left w:w="120" w:type="dxa"/>
              <w:bottom w:w="120" w:type="dxa"/>
              <w:right w:w="120" w:type="dxa"/>
            </w:tcMar>
            <w:vAlign w:val="center"/>
          </w:tcPr>
          <w:p w14:paraId="4758B36C">
            <w:pPr>
              <w:keepNext w:val="0"/>
              <w:keepLines w:val="0"/>
              <w:widowControl/>
              <w:suppressLineNumbers w:val="0"/>
              <w:spacing w:line="23" w:lineRule="atLeast"/>
              <w:jc w:val="center"/>
              <w:rPr>
                <w:rFonts w:hint="eastAsia" w:ascii="宋体" w:hAnsi="宋体" w:eastAsia="宋体" w:cs="宋体"/>
                <w:b w:val="0"/>
                <w:bCs/>
                <w:color w:val="000000" w:themeColor="text1"/>
                <w:sz w:val="24"/>
                <w14:textFill>
                  <w14:solidFill>
                    <w14:schemeClr w14:val="tx1"/>
                  </w14:solidFill>
                </w14:textFill>
              </w:rPr>
            </w:pPr>
            <w:r>
              <w:rPr>
                <w:rFonts w:hint="eastAsia" w:ascii="宋体" w:hAnsi="宋体" w:eastAsia="宋体" w:cs="宋体"/>
                <w:b w:val="0"/>
                <w:bCs/>
                <w:color w:val="000000" w:themeColor="text1"/>
                <w:sz w:val="24"/>
                <w:szCs w:val="24"/>
                <w14:textFill>
                  <w14:solidFill>
                    <w14:schemeClr w14:val="tx1"/>
                  </w14:solidFill>
                </w14:textFill>
              </w:rPr>
              <w:t>数量(台)</w:t>
            </w:r>
          </w:p>
        </w:tc>
        <w:tc>
          <w:tcPr>
            <w:tcW w:w="750" w:type="pct"/>
            <w:tcBorders>
              <w:top w:val="single" w:color="000000" w:sz="6" w:space="0"/>
              <w:left w:val="single" w:color="000000" w:sz="6" w:space="0"/>
              <w:bottom w:val="single" w:color="000000" w:sz="6" w:space="0"/>
              <w:right w:val="single" w:color="000000" w:sz="6" w:space="0"/>
            </w:tcBorders>
            <w:shd w:val="clear" w:color="auto" w:fill="D9E2F0"/>
            <w:tcMar>
              <w:top w:w="120" w:type="dxa"/>
              <w:left w:w="120" w:type="dxa"/>
              <w:bottom w:w="120" w:type="dxa"/>
              <w:right w:w="120" w:type="dxa"/>
            </w:tcMar>
            <w:vAlign w:val="center"/>
          </w:tcPr>
          <w:p w14:paraId="7F400504">
            <w:pPr>
              <w:keepNext w:val="0"/>
              <w:keepLines w:val="0"/>
              <w:widowControl/>
              <w:suppressLineNumbers w:val="0"/>
              <w:spacing w:line="23" w:lineRule="atLeast"/>
              <w:jc w:val="center"/>
              <w:rPr>
                <w:rFonts w:hint="eastAsia" w:ascii="宋体" w:hAnsi="宋体" w:eastAsia="宋体" w:cs="宋体"/>
                <w:b w:val="0"/>
                <w:bCs/>
                <w:color w:val="000000" w:themeColor="text1"/>
                <w:sz w:val="24"/>
                <w14:textFill>
                  <w14:solidFill>
                    <w14:schemeClr w14:val="tx1"/>
                  </w14:solidFill>
                </w14:textFill>
              </w:rPr>
            </w:pPr>
            <w:r>
              <w:rPr>
                <w:rFonts w:hint="eastAsia" w:ascii="宋体" w:hAnsi="宋体" w:eastAsia="宋体" w:cs="宋体"/>
                <w:b w:val="0"/>
                <w:bCs/>
                <w:color w:val="000000" w:themeColor="text1"/>
                <w:sz w:val="24"/>
                <w:szCs w:val="24"/>
                <w14:textFill>
                  <w14:solidFill>
                    <w14:schemeClr w14:val="tx1"/>
                  </w14:solidFill>
                </w14:textFill>
              </w:rPr>
              <w:t>备注</w:t>
            </w:r>
          </w:p>
        </w:tc>
      </w:tr>
      <w:tr w14:paraId="1023393A">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c>
          <w:tcPr>
            <w:tcW w:w="0" w:type="auto"/>
            <w:vMerge w:val="restart"/>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1BE60DA8">
            <w:pPr>
              <w:keepNext w:val="0"/>
              <w:keepLines w:val="0"/>
              <w:widowControl/>
              <w:suppressLineNumbers w:val="0"/>
              <w:spacing w:line="23" w:lineRule="atLeast"/>
              <w:jc w:val="left"/>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color w:val="000000" w:themeColor="text1"/>
                <w:sz w:val="24"/>
                <w:szCs w:val="24"/>
                <w14:textFill>
                  <w14:solidFill>
                    <w14:schemeClr w14:val="tx1"/>
                  </w14:solidFill>
                </w14:textFill>
              </w:rPr>
              <w:t>无障碍乘客电梯</w:t>
            </w:r>
          </w:p>
        </w:tc>
        <w:tc>
          <w:tcPr>
            <w:tcW w:w="0" w:type="auto"/>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556670FA">
            <w:pPr>
              <w:keepNext w:val="0"/>
              <w:keepLines w:val="0"/>
              <w:widowControl/>
              <w:suppressLineNumbers w:val="0"/>
              <w:spacing w:line="23" w:lineRule="atLeast"/>
              <w:jc w:val="left"/>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color w:val="000000" w:themeColor="text1"/>
                <w:sz w:val="24"/>
                <w:szCs w:val="24"/>
                <w14:textFill>
                  <w14:solidFill>
                    <w14:schemeClr w14:val="tx1"/>
                  </w14:solidFill>
                </w14:textFill>
              </w:rPr>
              <w:t>载重：1000KG</w:t>
            </w:r>
          </w:p>
        </w:tc>
        <w:tc>
          <w:tcPr>
            <w:tcW w:w="0" w:type="auto"/>
            <w:vMerge w:val="restart"/>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775A8B19">
            <w:pPr>
              <w:keepNext w:val="0"/>
              <w:keepLines w:val="0"/>
              <w:widowControl/>
              <w:suppressLineNumbers w:val="0"/>
              <w:spacing w:line="23" w:lineRule="atLeast"/>
              <w:jc w:val="left"/>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color w:val="000000" w:themeColor="text1"/>
                <w:sz w:val="24"/>
                <w:szCs w:val="24"/>
                <w14:textFill>
                  <w14:solidFill>
                    <w14:schemeClr w14:val="tx1"/>
                  </w14:solidFill>
                </w14:textFill>
              </w:rPr>
              <w:t>2</w:t>
            </w:r>
          </w:p>
        </w:tc>
        <w:tc>
          <w:tcPr>
            <w:tcW w:w="0" w:type="auto"/>
            <w:vMerge w:val="restart"/>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32661E1C">
            <w:pPr>
              <w:keepNext w:val="0"/>
              <w:keepLines w:val="0"/>
              <w:widowControl/>
              <w:suppressLineNumbers w:val="0"/>
              <w:spacing w:line="23" w:lineRule="atLeast"/>
              <w:jc w:val="left"/>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color w:val="000000" w:themeColor="text1"/>
                <w:sz w:val="24"/>
                <w:szCs w:val="24"/>
                <w14:textFill>
                  <w14:solidFill>
                    <w14:schemeClr w14:val="tx1"/>
                  </w14:solidFill>
                </w14:textFill>
              </w:rPr>
              <w:t>无机房</w:t>
            </w:r>
          </w:p>
        </w:tc>
      </w:tr>
      <w:tr w14:paraId="567E9D0D">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4221FFFB">
            <w:pPr>
              <w:rPr>
                <w:rFonts w:hint="eastAsia" w:ascii="宋体" w:hAnsi="宋体" w:eastAsia="宋体" w:cs="宋体"/>
                <w:b w:val="0"/>
                <w:color w:val="000000" w:themeColor="text1"/>
                <w:sz w:val="24"/>
                <w:szCs w:val="24"/>
                <w14:textFill>
                  <w14:solidFill>
                    <w14:schemeClr w14:val="tx1"/>
                  </w14:solidFill>
                </w14:textFill>
              </w:rPr>
            </w:pPr>
          </w:p>
        </w:tc>
        <w:tc>
          <w:tcPr>
            <w:tcW w:w="0" w:type="auto"/>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6EE45E32">
            <w:pPr>
              <w:keepNext w:val="0"/>
              <w:keepLines w:val="0"/>
              <w:widowControl/>
              <w:suppressLineNumbers w:val="0"/>
              <w:spacing w:line="23" w:lineRule="atLeast"/>
              <w:jc w:val="left"/>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color w:val="000000" w:themeColor="text1"/>
                <w:sz w:val="24"/>
                <w:szCs w:val="24"/>
                <w14:textFill>
                  <w14:solidFill>
                    <w14:schemeClr w14:val="tx1"/>
                  </w14:solidFill>
                </w14:textFill>
              </w:rPr>
              <w:t>速度：1.5M/S</w:t>
            </w: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4CAEAB4F">
            <w:pPr>
              <w:rPr>
                <w:rFonts w:hint="eastAsia" w:ascii="宋体" w:hAnsi="宋体" w:eastAsia="宋体" w:cs="宋体"/>
                <w:b w:val="0"/>
                <w:color w:val="000000" w:themeColor="text1"/>
                <w:sz w:val="24"/>
                <w:szCs w:val="24"/>
                <w14:textFill>
                  <w14:solidFill>
                    <w14:schemeClr w14:val="tx1"/>
                  </w14:solidFill>
                </w14:textFill>
              </w:rPr>
            </w:pP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2ECCE1B7">
            <w:pPr>
              <w:rPr>
                <w:rFonts w:hint="eastAsia" w:ascii="宋体" w:hAnsi="宋体" w:eastAsia="宋体" w:cs="宋体"/>
                <w:b w:val="0"/>
                <w:color w:val="000000" w:themeColor="text1"/>
                <w:sz w:val="24"/>
                <w:szCs w:val="24"/>
                <w14:textFill>
                  <w14:solidFill>
                    <w14:schemeClr w14:val="tx1"/>
                  </w14:solidFill>
                </w14:textFill>
              </w:rPr>
            </w:pPr>
          </w:p>
        </w:tc>
      </w:tr>
      <w:tr w14:paraId="2ABD8F51">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4C89BBBE">
            <w:pPr>
              <w:rPr>
                <w:rFonts w:hint="eastAsia" w:ascii="宋体" w:hAnsi="宋体" w:eastAsia="宋体" w:cs="宋体"/>
                <w:b w:val="0"/>
                <w:color w:val="000000" w:themeColor="text1"/>
                <w:sz w:val="24"/>
                <w:szCs w:val="24"/>
                <w14:textFill>
                  <w14:solidFill>
                    <w14:schemeClr w14:val="tx1"/>
                  </w14:solidFill>
                </w14:textFill>
              </w:rPr>
            </w:pPr>
          </w:p>
        </w:tc>
        <w:tc>
          <w:tcPr>
            <w:tcW w:w="0" w:type="auto"/>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4B323E32">
            <w:pPr>
              <w:keepNext w:val="0"/>
              <w:keepLines w:val="0"/>
              <w:widowControl/>
              <w:suppressLineNumbers w:val="0"/>
              <w:spacing w:line="23" w:lineRule="atLeast"/>
              <w:jc w:val="left"/>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color w:val="000000" w:themeColor="text1"/>
                <w:sz w:val="24"/>
                <w:szCs w:val="24"/>
                <w14:textFill>
                  <w14:solidFill>
                    <w14:schemeClr w14:val="tx1"/>
                  </w14:solidFill>
                </w14:textFill>
              </w:rPr>
              <w:t>层/站/门：4/4/4</w:t>
            </w: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42A2AF14">
            <w:pPr>
              <w:rPr>
                <w:rFonts w:hint="eastAsia" w:ascii="宋体" w:hAnsi="宋体" w:eastAsia="宋体" w:cs="宋体"/>
                <w:b w:val="0"/>
                <w:color w:val="000000" w:themeColor="text1"/>
                <w:sz w:val="24"/>
                <w:szCs w:val="24"/>
                <w14:textFill>
                  <w14:solidFill>
                    <w14:schemeClr w14:val="tx1"/>
                  </w14:solidFill>
                </w14:textFill>
              </w:rPr>
            </w:pP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22595B35">
            <w:pPr>
              <w:rPr>
                <w:rFonts w:hint="eastAsia" w:ascii="宋体" w:hAnsi="宋体" w:eastAsia="宋体" w:cs="宋体"/>
                <w:b w:val="0"/>
                <w:color w:val="000000" w:themeColor="text1"/>
                <w:sz w:val="24"/>
                <w:szCs w:val="24"/>
                <w14:textFill>
                  <w14:solidFill>
                    <w14:schemeClr w14:val="tx1"/>
                  </w14:solidFill>
                </w14:textFill>
              </w:rPr>
            </w:pPr>
          </w:p>
        </w:tc>
      </w:tr>
      <w:tr w14:paraId="0EC09B2A">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2FACBB70">
            <w:pPr>
              <w:rPr>
                <w:rFonts w:hint="eastAsia" w:ascii="宋体" w:hAnsi="宋体" w:eastAsia="宋体" w:cs="宋体"/>
                <w:b w:val="0"/>
                <w:color w:val="000000" w:themeColor="text1"/>
                <w:sz w:val="24"/>
                <w:szCs w:val="24"/>
                <w14:textFill>
                  <w14:solidFill>
                    <w14:schemeClr w14:val="tx1"/>
                  </w14:solidFill>
                </w14:textFill>
              </w:rPr>
            </w:pPr>
          </w:p>
        </w:tc>
        <w:tc>
          <w:tcPr>
            <w:tcW w:w="0" w:type="auto"/>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20892996">
            <w:pPr>
              <w:keepNext w:val="0"/>
              <w:keepLines w:val="0"/>
              <w:widowControl/>
              <w:suppressLineNumbers w:val="0"/>
              <w:spacing w:line="23" w:lineRule="atLeast"/>
              <w:jc w:val="left"/>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color w:val="000000" w:themeColor="text1"/>
                <w:sz w:val="24"/>
                <w:szCs w:val="24"/>
                <w14:textFill>
                  <w14:solidFill>
                    <w14:schemeClr w14:val="tx1"/>
                  </w14:solidFill>
                </w14:textFill>
              </w:rPr>
              <w:t>机房：无机房</w:t>
            </w: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0D8912C4">
            <w:pPr>
              <w:rPr>
                <w:rFonts w:hint="eastAsia" w:ascii="宋体" w:hAnsi="宋体" w:eastAsia="宋体" w:cs="宋体"/>
                <w:b w:val="0"/>
                <w:color w:val="000000" w:themeColor="text1"/>
                <w:sz w:val="24"/>
                <w:szCs w:val="24"/>
                <w14:textFill>
                  <w14:solidFill>
                    <w14:schemeClr w14:val="tx1"/>
                  </w14:solidFill>
                </w14:textFill>
              </w:rPr>
            </w:pP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37AF79ED">
            <w:pPr>
              <w:rPr>
                <w:rFonts w:hint="eastAsia" w:ascii="宋体" w:hAnsi="宋体" w:eastAsia="宋体" w:cs="宋体"/>
                <w:b w:val="0"/>
                <w:color w:val="000000" w:themeColor="text1"/>
                <w:sz w:val="24"/>
                <w:szCs w:val="24"/>
                <w14:textFill>
                  <w14:solidFill>
                    <w14:schemeClr w14:val="tx1"/>
                  </w14:solidFill>
                </w14:textFill>
              </w:rPr>
            </w:pPr>
          </w:p>
        </w:tc>
      </w:tr>
      <w:tr w14:paraId="1E0F9BCF">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50370B84">
            <w:pPr>
              <w:rPr>
                <w:rFonts w:hint="eastAsia" w:ascii="宋体" w:hAnsi="宋体" w:eastAsia="宋体" w:cs="宋体"/>
                <w:b w:val="0"/>
                <w:color w:val="000000" w:themeColor="text1"/>
                <w:sz w:val="24"/>
                <w:szCs w:val="24"/>
                <w14:textFill>
                  <w14:solidFill>
                    <w14:schemeClr w14:val="tx1"/>
                  </w14:solidFill>
                </w14:textFill>
              </w:rPr>
            </w:pPr>
          </w:p>
        </w:tc>
        <w:tc>
          <w:tcPr>
            <w:tcW w:w="0" w:type="auto"/>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1C7A81CB">
            <w:pPr>
              <w:keepNext w:val="0"/>
              <w:keepLines w:val="0"/>
              <w:widowControl/>
              <w:suppressLineNumbers w:val="0"/>
              <w:spacing w:line="23" w:lineRule="atLeast"/>
              <w:jc w:val="left"/>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color w:val="000000" w:themeColor="text1"/>
                <w:sz w:val="24"/>
                <w:szCs w:val="24"/>
                <w14:textFill>
                  <w14:solidFill>
                    <w14:schemeClr w14:val="tx1"/>
                  </w14:solidFill>
                </w14:textFill>
              </w:rPr>
              <w:t>层高：1F:3.6M, 2F:3.3M, 3F:3.3M, 4F(顶层):4.3M</w:t>
            </w: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7C38BB64">
            <w:pPr>
              <w:rPr>
                <w:rFonts w:hint="eastAsia" w:ascii="宋体" w:hAnsi="宋体" w:eastAsia="宋体" w:cs="宋体"/>
                <w:b w:val="0"/>
                <w:color w:val="000000" w:themeColor="text1"/>
                <w:sz w:val="24"/>
                <w:szCs w:val="24"/>
                <w14:textFill>
                  <w14:solidFill>
                    <w14:schemeClr w14:val="tx1"/>
                  </w14:solidFill>
                </w14:textFill>
              </w:rPr>
            </w:pP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530F8DC2">
            <w:pPr>
              <w:rPr>
                <w:rFonts w:hint="eastAsia" w:ascii="宋体" w:hAnsi="宋体" w:eastAsia="宋体" w:cs="宋体"/>
                <w:b w:val="0"/>
                <w:color w:val="000000" w:themeColor="text1"/>
                <w:sz w:val="24"/>
                <w:szCs w:val="24"/>
                <w14:textFill>
                  <w14:solidFill>
                    <w14:schemeClr w14:val="tx1"/>
                  </w14:solidFill>
                </w14:textFill>
              </w:rPr>
            </w:pPr>
          </w:p>
        </w:tc>
      </w:tr>
      <w:tr w14:paraId="374BD0C1">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0A633551">
            <w:pPr>
              <w:rPr>
                <w:rFonts w:hint="eastAsia" w:ascii="宋体" w:hAnsi="宋体" w:eastAsia="宋体" w:cs="宋体"/>
                <w:b w:val="0"/>
                <w:color w:val="000000" w:themeColor="text1"/>
                <w:sz w:val="24"/>
                <w:szCs w:val="24"/>
                <w14:textFill>
                  <w14:solidFill>
                    <w14:schemeClr w14:val="tx1"/>
                  </w14:solidFill>
                </w14:textFill>
              </w:rPr>
            </w:pPr>
          </w:p>
        </w:tc>
        <w:tc>
          <w:tcPr>
            <w:tcW w:w="0" w:type="auto"/>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14355F16">
            <w:pPr>
              <w:keepNext w:val="0"/>
              <w:keepLines w:val="0"/>
              <w:widowControl/>
              <w:suppressLineNumbers w:val="0"/>
              <w:spacing w:line="23" w:lineRule="atLeast"/>
              <w:jc w:val="left"/>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color w:val="000000" w:themeColor="text1"/>
                <w:sz w:val="24"/>
                <w:szCs w:val="24"/>
                <w14:textFill>
                  <w14:solidFill>
                    <w14:schemeClr w14:val="tx1"/>
                  </w14:solidFill>
                </w14:textFill>
              </w:rPr>
              <w:t>井道尺寸：宽2400mm×深3000mm</w:t>
            </w: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41EA06A4">
            <w:pPr>
              <w:rPr>
                <w:rFonts w:hint="eastAsia" w:ascii="宋体" w:hAnsi="宋体" w:eastAsia="宋体" w:cs="宋体"/>
                <w:b w:val="0"/>
                <w:color w:val="000000" w:themeColor="text1"/>
                <w:sz w:val="24"/>
                <w:szCs w:val="24"/>
                <w14:textFill>
                  <w14:solidFill>
                    <w14:schemeClr w14:val="tx1"/>
                  </w14:solidFill>
                </w14:textFill>
              </w:rPr>
            </w:pP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18D8E190">
            <w:pPr>
              <w:rPr>
                <w:rFonts w:hint="eastAsia" w:ascii="宋体" w:hAnsi="宋体" w:eastAsia="宋体" w:cs="宋体"/>
                <w:b w:val="0"/>
                <w:color w:val="000000" w:themeColor="text1"/>
                <w:sz w:val="24"/>
                <w:szCs w:val="24"/>
                <w14:textFill>
                  <w14:solidFill>
                    <w14:schemeClr w14:val="tx1"/>
                  </w14:solidFill>
                </w14:textFill>
              </w:rPr>
            </w:pPr>
          </w:p>
        </w:tc>
      </w:tr>
      <w:tr w14:paraId="2772828F">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shd w:val="clear" w:color="auto" w:fill="auto"/>
          <w:tblCellMar>
            <w:top w:w="15" w:type="dxa"/>
            <w:left w:w="15" w:type="dxa"/>
            <w:bottom w:w="15" w:type="dxa"/>
            <w:right w:w="15" w:type="dxa"/>
          </w:tblCellMar>
        </w:tblPrEx>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31DFB887">
            <w:pPr>
              <w:rPr>
                <w:rFonts w:hint="eastAsia" w:ascii="宋体" w:hAnsi="宋体" w:eastAsia="宋体" w:cs="宋体"/>
                <w:b w:val="0"/>
                <w:color w:val="000000" w:themeColor="text1"/>
                <w:sz w:val="24"/>
                <w:szCs w:val="24"/>
                <w14:textFill>
                  <w14:solidFill>
                    <w14:schemeClr w14:val="tx1"/>
                  </w14:solidFill>
                </w14:textFill>
              </w:rPr>
            </w:pPr>
          </w:p>
        </w:tc>
        <w:tc>
          <w:tcPr>
            <w:tcW w:w="0" w:type="auto"/>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3CB65FE3">
            <w:pPr>
              <w:keepNext w:val="0"/>
              <w:keepLines w:val="0"/>
              <w:widowControl/>
              <w:suppressLineNumbers w:val="0"/>
              <w:spacing w:line="23" w:lineRule="atLeast"/>
              <w:jc w:val="left"/>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color w:val="000000" w:themeColor="text1"/>
                <w:sz w:val="24"/>
                <w:szCs w:val="24"/>
                <w14:textFill>
                  <w14:solidFill>
                    <w14:schemeClr w14:val="tx1"/>
                  </w14:solidFill>
                </w14:textFill>
              </w:rPr>
              <w:t>轿厢尺寸：宽1600mm×深1500mm</w:t>
            </w: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61E5667D">
            <w:pPr>
              <w:rPr>
                <w:rFonts w:hint="eastAsia" w:ascii="宋体" w:hAnsi="宋体" w:eastAsia="宋体" w:cs="宋体"/>
                <w:b w:val="0"/>
                <w:color w:val="000000" w:themeColor="text1"/>
                <w:sz w:val="24"/>
                <w:szCs w:val="24"/>
                <w14:textFill>
                  <w14:solidFill>
                    <w14:schemeClr w14:val="tx1"/>
                  </w14:solidFill>
                </w14:textFill>
              </w:rPr>
            </w:pP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5F21374C">
            <w:pPr>
              <w:rPr>
                <w:rFonts w:hint="eastAsia" w:ascii="宋体" w:hAnsi="宋体" w:eastAsia="宋体" w:cs="宋体"/>
                <w:b w:val="0"/>
                <w:color w:val="000000" w:themeColor="text1"/>
                <w:sz w:val="24"/>
                <w:szCs w:val="24"/>
                <w14:textFill>
                  <w14:solidFill>
                    <w14:schemeClr w14:val="tx1"/>
                  </w14:solidFill>
                </w14:textFill>
              </w:rPr>
            </w:pPr>
          </w:p>
        </w:tc>
      </w:tr>
      <w:tr w14:paraId="328150F8">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190E8EB5">
            <w:pPr>
              <w:rPr>
                <w:rFonts w:hint="eastAsia" w:ascii="宋体" w:hAnsi="宋体" w:eastAsia="宋体" w:cs="宋体"/>
                <w:b w:val="0"/>
                <w:color w:val="000000" w:themeColor="text1"/>
                <w:sz w:val="24"/>
                <w:szCs w:val="24"/>
                <w14:textFill>
                  <w14:solidFill>
                    <w14:schemeClr w14:val="tx1"/>
                  </w14:solidFill>
                </w14:textFill>
              </w:rPr>
            </w:pPr>
          </w:p>
        </w:tc>
        <w:tc>
          <w:tcPr>
            <w:tcW w:w="0" w:type="auto"/>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6144F0D9">
            <w:pPr>
              <w:keepNext w:val="0"/>
              <w:keepLines w:val="0"/>
              <w:widowControl/>
              <w:suppressLineNumbers w:val="0"/>
              <w:spacing w:line="23" w:lineRule="atLeast"/>
              <w:jc w:val="left"/>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color w:val="000000" w:themeColor="text1"/>
                <w:sz w:val="24"/>
                <w:szCs w:val="24"/>
                <w14:textFill>
                  <w14:solidFill>
                    <w14:schemeClr w14:val="tx1"/>
                  </w14:solidFill>
                </w14:textFill>
              </w:rPr>
              <w:t>门洞尺寸：宽1300mm×高2200mm</w:t>
            </w: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58375921">
            <w:pPr>
              <w:rPr>
                <w:rFonts w:hint="eastAsia" w:ascii="宋体" w:hAnsi="宋体" w:eastAsia="宋体" w:cs="宋体"/>
                <w:b w:val="0"/>
                <w:color w:val="000000" w:themeColor="text1"/>
                <w:sz w:val="24"/>
                <w:szCs w:val="24"/>
                <w14:textFill>
                  <w14:solidFill>
                    <w14:schemeClr w14:val="tx1"/>
                  </w14:solidFill>
                </w14:textFill>
              </w:rPr>
            </w:pP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2B580B73">
            <w:pPr>
              <w:rPr>
                <w:rFonts w:hint="eastAsia" w:ascii="宋体" w:hAnsi="宋体" w:eastAsia="宋体" w:cs="宋体"/>
                <w:b w:val="0"/>
                <w:color w:val="000000" w:themeColor="text1"/>
                <w:sz w:val="24"/>
                <w:szCs w:val="24"/>
                <w14:textFill>
                  <w14:solidFill>
                    <w14:schemeClr w14:val="tx1"/>
                  </w14:solidFill>
                </w14:textFill>
              </w:rPr>
            </w:pPr>
          </w:p>
        </w:tc>
      </w:tr>
      <w:tr w14:paraId="13FA7748">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77E92C43">
            <w:pPr>
              <w:rPr>
                <w:rFonts w:hint="eastAsia" w:ascii="宋体" w:hAnsi="宋体" w:eastAsia="宋体" w:cs="宋体"/>
                <w:b w:val="0"/>
                <w:color w:val="000000" w:themeColor="text1"/>
                <w:sz w:val="24"/>
                <w:szCs w:val="24"/>
                <w14:textFill>
                  <w14:solidFill>
                    <w14:schemeClr w14:val="tx1"/>
                  </w14:solidFill>
                </w14:textFill>
              </w:rPr>
            </w:pPr>
          </w:p>
        </w:tc>
        <w:tc>
          <w:tcPr>
            <w:tcW w:w="0" w:type="auto"/>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24159907">
            <w:pPr>
              <w:keepNext w:val="0"/>
              <w:keepLines w:val="0"/>
              <w:widowControl/>
              <w:suppressLineNumbers w:val="0"/>
              <w:spacing w:line="23" w:lineRule="atLeast"/>
              <w:jc w:val="left"/>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color w:val="000000" w:themeColor="text1"/>
                <w:sz w:val="24"/>
                <w:szCs w:val="24"/>
                <w14:textFill>
                  <w14:solidFill>
                    <w14:schemeClr w14:val="tx1"/>
                  </w14:solidFill>
                </w14:textFill>
              </w:rPr>
              <w:t>开门尺寸：宽1000mm×高2100mm</w:t>
            </w: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486FA029">
            <w:pPr>
              <w:rPr>
                <w:rFonts w:hint="eastAsia" w:ascii="宋体" w:hAnsi="宋体" w:eastAsia="宋体" w:cs="宋体"/>
                <w:b w:val="0"/>
                <w:color w:val="000000" w:themeColor="text1"/>
                <w:sz w:val="24"/>
                <w:szCs w:val="24"/>
                <w14:textFill>
                  <w14:solidFill>
                    <w14:schemeClr w14:val="tx1"/>
                  </w14:solidFill>
                </w14:textFill>
              </w:rPr>
            </w:pP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7ED3B8F1">
            <w:pPr>
              <w:rPr>
                <w:rFonts w:hint="eastAsia" w:ascii="宋体" w:hAnsi="宋体" w:eastAsia="宋体" w:cs="宋体"/>
                <w:b w:val="0"/>
                <w:color w:val="000000" w:themeColor="text1"/>
                <w:sz w:val="24"/>
                <w:szCs w:val="24"/>
                <w14:textFill>
                  <w14:solidFill>
                    <w14:schemeClr w14:val="tx1"/>
                  </w14:solidFill>
                </w14:textFill>
              </w:rPr>
            </w:pPr>
          </w:p>
        </w:tc>
      </w:tr>
      <w:tr w14:paraId="0F0D76D9">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15" w:type="dxa"/>
            <w:left w:w="15" w:type="dxa"/>
            <w:bottom w:w="15" w:type="dxa"/>
            <w:right w:w="15" w:type="dxa"/>
          </w:tblCellMar>
        </w:tblPrEx>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7BF9EEA0">
            <w:pPr>
              <w:rPr>
                <w:rFonts w:hint="eastAsia" w:ascii="宋体" w:hAnsi="宋体" w:eastAsia="宋体" w:cs="宋体"/>
                <w:b w:val="0"/>
                <w:color w:val="000000" w:themeColor="text1"/>
                <w:sz w:val="24"/>
                <w:szCs w:val="24"/>
                <w14:textFill>
                  <w14:solidFill>
                    <w14:schemeClr w14:val="tx1"/>
                  </w14:solidFill>
                </w14:textFill>
              </w:rPr>
            </w:pPr>
          </w:p>
        </w:tc>
        <w:tc>
          <w:tcPr>
            <w:tcW w:w="0" w:type="auto"/>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6703E151">
            <w:pPr>
              <w:keepNext w:val="0"/>
              <w:keepLines w:val="0"/>
              <w:widowControl/>
              <w:suppressLineNumbers w:val="0"/>
              <w:spacing w:line="23" w:lineRule="atLeast"/>
              <w:jc w:val="left"/>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color w:val="000000" w:themeColor="text1"/>
                <w:sz w:val="24"/>
                <w:szCs w:val="24"/>
                <w14:textFill>
                  <w14:solidFill>
                    <w14:schemeClr w14:val="tx1"/>
                  </w14:solidFill>
                </w14:textFill>
              </w:rPr>
              <w:t>底坑深度：1800mm</w:t>
            </w: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6618F409">
            <w:pPr>
              <w:rPr>
                <w:rFonts w:hint="eastAsia" w:ascii="宋体" w:hAnsi="宋体" w:eastAsia="宋体" w:cs="宋体"/>
                <w:b w:val="0"/>
                <w:color w:val="000000" w:themeColor="text1"/>
                <w:sz w:val="24"/>
                <w:szCs w:val="24"/>
                <w14:textFill>
                  <w14:solidFill>
                    <w14:schemeClr w14:val="tx1"/>
                  </w14:solidFill>
                </w14:textFill>
              </w:rPr>
            </w:pPr>
          </w:p>
        </w:tc>
        <w:tc>
          <w:tcPr>
            <w:tcW w:w="0" w:type="auto"/>
            <w:vMerge w:val="continue"/>
            <w:tcBorders>
              <w:top w:val="single" w:color="000000" w:sz="6" w:space="0"/>
              <w:left w:val="single" w:color="000000" w:sz="6" w:space="0"/>
              <w:bottom w:val="single" w:color="000000" w:sz="6" w:space="0"/>
              <w:right w:val="single" w:color="000000" w:sz="6" w:space="0"/>
            </w:tcBorders>
            <w:shd w:val="clear" w:color="auto" w:fill="auto"/>
            <w:tcMar>
              <w:top w:w="120" w:type="dxa"/>
              <w:left w:w="120" w:type="dxa"/>
              <w:bottom w:w="120" w:type="dxa"/>
              <w:right w:w="120" w:type="dxa"/>
            </w:tcMar>
            <w:vAlign w:val="center"/>
          </w:tcPr>
          <w:p w14:paraId="325D87BE">
            <w:pPr>
              <w:rPr>
                <w:rFonts w:hint="eastAsia" w:ascii="宋体" w:hAnsi="宋体" w:eastAsia="宋体" w:cs="宋体"/>
                <w:b w:val="0"/>
                <w:color w:val="000000" w:themeColor="text1"/>
                <w:sz w:val="24"/>
                <w:szCs w:val="24"/>
                <w14:textFill>
                  <w14:solidFill>
                    <w14:schemeClr w14:val="tx1"/>
                  </w14:solidFill>
                </w14:textFill>
              </w:rPr>
            </w:pPr>
          </w:p>
        </w:tc>
      </w:tr>
    </w:tbl>
    <w:p w14:paraId="4037F180">
      <w:pPr>
        <w:pStyle w:val="3"/>
        <w:keepNext w:val="0"/>
        <w:keepLines w:val="0"/>
        <w:pageBreakBefore w:val="0"/>
        <w:widowControl/>
        <w:suppressLineNumbers w:val="0"/>
        <w:kinsoku/>
        <w:wordWrap/>
        <w:overflowPunct/>
        <w:topLinePunct w:val="0"/>
        <w:autoSpaceDE/>
        <w:autoSpaceDN/>
        <w:bidi w:val="0"/>
        <w:adjustRightInd/>
        <w:snapToGrid/>
        <w:spacing w:line="23" w:lineRule="atLeast"/>
        <w:ind w:firstLine="482" w:firstLineChars="200"/>
        <w:textAlignment w:val="auto"/>
        <w:rPr>
          <w:rFonts w:eastAsia="宋体"/>
          <w:b/>
          <w:bCs w:val="0"/>
          <w:color w:val="000000" w:themeColor="text1"/>
          <w:sz w:val="24"/>
          <w14:textFill>
            <w14:solidFill>
              <w14:schemeClr w14:val="tx1"/>
            </w14:solidFill>
          </w14:textFill>
        </w:rPr>
      </w:pPr>
      <w:r>
        <w:rPr>
          <w:rFonts w:eastAsia="宋体"/>
          <w:b/>
          <w:bCs w:val="0"/>
          <w:color w:val="000000" w:themeColor="text1"/>
          <w:sz w:val="24"/>
          <w14:textFill>
            <w14:solidFill>
              <w14:schemeClr w14:val="tx1"/>
            </w14:solidFill>
          </w14:textFill>
        </w:rPr>
        <w:t>2. 电梯配置要求</w:t>
      </w:r>
    </w:p>
    <w:p w14:paraId="0CCBFB3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hint="default" w:eastAsia="宋体"/>
          <w:b w:val="0"/>
          <w:color w:val="000000" w:themeColor="text1"/>
          <w:sz w:val="24"/>
          <w:lang w:val="en-US" w:eastAsia="zh-CN"/>
          <w14:textFill>
            <w14:solidFill>
              <w14:schemeClr w14:val="tx1"/>
            </w14:solidFill>
          </w14:textFill>
        </w:rPr>
      </w:pPr>
      <w:r>
        <w:rPr>
          <w:rFonts w:hint="eastAsia" w:eastAsia="宋体" w:cstheme="minorEastAsia"/>
          <w:b/>
          <w:bCs w:val="0"/>
          <w:color w:val="000000" w:themeColor="text1"/>
          <w:kern w:val="0"/>
          <w:sz w:val="24"/>
          <w:szCs w:val="24"/>
          <w:lang w:val="en-US" w:eastAsia="zh-CN" w:bidi="ar"/>
          <w14:textFill>
            <w14:solidFill>
              <w14:schemeClr w14:val="tx1"/>
            </w14:solidFill>
          </w14:textFill>
        </w:rPr>
        <w:t>（1）</w:t>
      </w:r>
      <w:r>
        <w:rPr>
          <w:rStyle w:val="8"/>
          <w:rFonts w:hint="eastAsia" w:ascii="宋体" w:hAnsi="宋体" w:eastAsia="宋体" w:cs="宋体"/>
          <w:b/>
          <w:bCs w:val="0"/>
          <w:color w:val="000000" w:themeColor="text1"/>
          <w:sz w:val="24"/>
          <w14:textFill>
            <w14:solidFill>
              <w14:schemeClr w14:val="tx1"/>
            </w14:solidFill>
          </w14:textFill>
        </w:rPr>
        <w:t>曳引机：</w:t>
      </w:r>
      <w:r>
        <w:rPr>
          <w:rFonts w:hint="eastAsia" w:ascii="宋体" w:hAnsi="宋体" w:eastAsia="宋体" w:cs="宋体"/>
          <w:b w:val="0"/>
          <w:color w:val="000000" w:themeColor="text1"/>
          <w:sz w:val="24"/>
          <w14:textFill>
            <w14:solidFill>
              <w14:schemeClr w14:val="tx1"/>
            </w14:solidFill>
          </w14:textFill>
        </w:rPr>
        <w:t>永磁同步无齿轮曳引机，高效节能</w:t>
      </w:r>
      <w:r>
        <w:rPr>
          <w:rFonts w:hint="eastAsia" w:ascii="宋体" w:hAnsi="宋体" w:eastAsia="宋体" w:cs="宋体"/>
          <w:b w:val="0"/>
          <w:color w:val="000000" w:themeColor="text1"/>
          <w:sz w:val="24"/>
          <w:lang w:eastAsia="zh-CN"/>
          <w14:textFill>
            <w14:solidFill>
              <w14:schemeClr w14:val="tx1"/>
            </w14:solidFill>
          </w14:textFill>
        </w:rPr>
        <w:t>；</w:t>
      </w:r>
    </w:p>
    <w:p w14:paraId="345C7E68">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eastAsia="宋体"/>
          <w:b w:val="0"/>
          <w:color w:val="000000" w:themeColor="text1"/>
          <w:sz w:val="24"/>
          <w14:textFill>
            <w14:solidFill>
              <w14:schemeClr w14:val="tx1"/>
            </w14:solidFill>
          </w14:textFill>
        </w:rPr>
      </w:pPr>
      <w:r>
        <w:rPr>
          <w:rFonts w:hint="eastAsia" w:eastAsia="宋体" w:cstheme="minorEastAsia"/>
          <w:b/>
          <w:bCs w:val="0"/>
          <w:color w:val="000000" w:themeColor="text1"/>
          <w:kern w:val="0"/>
          <w:sz w:val="24"/>
          <w:szCs w:val="24"/>
          <w:lang w:val="en-US" w:eastAsia="zh-CN" w:bidi="ar"/>
          <w14:textFill>
            <w14:solidFill>
              <w14:schemeClr w14:val="tx1"/>
            </w14:solidFill>
          </w14:textFill>
        </w:rPr>
        <w:t>（2）</w:t>
      </w:r>
      <w:r>
        <w:rPr>
          <w:rStyle w:val="8"/>
          <w:rFonts w:hint="eastAsia" w:ascii="宋体" w:hAnsi="宋体" w:eastAsia="宋体" w:cs="宋体"/>
          <w:b/>
          <w:bCs w:val="0"/>
          <w:color w:val="000000" w:themeColor="text1"/>
          <w:sz w:val="24"/>
          <w14:textFill>
            <w14:solidFill>
              <w14:schemeClr w14:val="tx1"/>
            </w14:solidFill>
          </w14:textFill>
        </w:rPr>
        <w:t>门机系统：</w:t>
      </w:r>
      <w:r>
        <w:rPr>
          <w:rFonts w:hint="eastAsia" w:ascii="宋体" w:hAnsi="宋体" w:eastAsia="宋体" w:cs="宋体"/>
          <w:b w:val="0"/>
          <w:color w:val="000000" w:themeColor="text1"/>
          <w:sz w:val="24"/>
          <w14:textFill>
            <w14:solidFill>
              <w14:schemeClr w14:val="tx1"/>
            </w14:solidFill>
          </w14:textFill>
        </w:rPr>
        <w:t>交流变频变压(VVVF)调速，32位电脑模块控制。</w:t>
      </w:r>
    </w:p>
    <w:p w14:paraId="60D839D2">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eastAsia="宋体"/>
          <w:b w:val="0"/>
          <w:color w:val="000000" w:themeColor="text1"/>
          <w:sz w:val="24"/>
          <w14:textFill>
            <w14:solidFill>
              <w14:schemeClr w14:val="tx1"/>
            </w14:solidFill>
          </w14:textFill>
        </w:rPr>
      </w:pPr>
      <w:r>
        <w:rPr>
          <w:rFonts w:hint="eastAsia" w:eastAsia="宋体" w:cstheme="minorEastAsia"/>
          <w:b/>
          <w:bCs w:val="0"/>
          <w:color w:val="000000" w:themeColor="text1"/>
          <w:kern w:val="0"/>
          <w:sz w:val="24"/>
          <w:szCs w:val="24"/>
          <w:lang w:val="en-US" w:eastAsia="zh-CN" w:bidi="ar"/>
          <w14:textFill>
            <w14:solidFill>
              <w14:schemeClr w14:val="tx1"/>
            </w14:solidFill>
          </w14:textFill>
        </w:rPr>
        <w:t>（3）</w:t>
      </w:r>
      <w:r>
        <w:rPr>
          <w:rStyle w:val="8"/>
          <w:rFonts w:hint="eastAsia" w:ascii="宋体" w:hAnsi="宋体" w:eastAsia="宋体" w:cs="宋体"/>
          <w:b/>
          <w:bCs w:val="0"/>
          <w:color w:val="000000" w:themeColor="text1"/>
          <w:sz w:val="24"/>
          <w14:textFill>
            <w14:solidFill>
              <w14:schemeClr w14:val="tx1"/>
            </w14:solidFill>
          </w14:textFill>
        </w:rPr>
        <w:t>控制柜：</w:t>
      </w:r>
      <w:r>
        <w:rPr>
          <w:rFonts w:hint="eastAsia" w:ascii="宋体" w:hAnsi="宋体" w:eastAsia="宋体" w:cs="宋体"/>
          <w:b w:val="0"/>
          <w:color w:val="000000" w:themeColor="text1"/>
          <w:sz w:val="24"/>
          <w14:textFill>
            <w14:solidFill>
              <w14:schemeClr w14:val="tx1"/>
            </w14:solidFill>
          </w14:textFill>
        </w:rPr>
        <w:t>全模块化控制系统，具备故障显示功能。</w:t>
      </w:r>
    </w:p>
    <w:p w14:paraId="7CB8623C">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eastAsia="宋体"/>
          <w:b w:val="0"/>
          <w:color w:val="000000" w:themeColor="text1"/>
          <w:sz w:val="24"/>
          <w14:textFill>
            <w14:solidFill>
              <w14:schemeClr w14:val="tx1"/>
            </w14:solidFill>
          </w14:textFill>
        </w:rPr>
      </w:pPr>
      <w:r>
        <w:rPr>
          <w:rFonts w:hint="eastAsia" w:eastAsia="宋体" w:cstheme="minorEastAsia"/>
          <w:b/>
          <w:bCs w:val="0"/>
          <w:color w:val="000000" w:themeColor="text1"/>
          <w:kern w:val="0"/>
          <w:sz w:val="24"/>
          <w:szCs w:val="24"/>
          <w:lang w:val="en-US" w:eastAsia="zh-CN" w:bidi="ar"/>
          <w14:textFill>
            <w14:solidFill>
              <w14:schemeClr w14:val="tx1"/>
            </w14:solidFill>
          </w14:textFill>
        </w:rPr>
        <w:t>（4）</w:t>
      </w:r>
      <w:r>
        <w:rPr>
          <w:rStyle w:val="8"/>
          <w:rFonts w:hint="eastAsia" w:ascii="宋体" w:hAnsi="宋体" w:eastAsia="宋体" w:cs="宋体"/>
          <w:b/>
          <w:bCs w:val="0"/>
          <w:color w:val="000000" w:themeColor="text1"/>
          <w:sz w:val="24"/>
          <w14:textFill>
            <w14:solidFill>
              <w14:schemeClr w14:val="tx1"/>
            </w14:solidFill>
          </w14:textFill>
        </w:rPr>
        <w:t>驱动方式：</w:t>
      </w:r>
      <w:r>
        <w:rPr>
          <w:rFonts w:hint="eastAsia" w:ascii="宋体" w:hAnsi="宋体" w:eastAsia="宋体" w:cs="宋体"/>
          <w:b w:val="0"/>
          <w:color w:val="000000" w:themeColor="text1"/>
          <w:sz w:val="24"/>
          <w14:textFill>
            <w14:solidFill>
              <w14:schemeClr w14:val="tx1"/>
            </w14:solidFill>
          </w14:textFill>
        </w:rPr>
        <w:t>32位微机控制变压变频调速(VVVF)，具有防干扰系统。</w:t>
      </w:r>
    </w:p>
    <w:p w14:paraId="0F54B828">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hint="eastAsia" w:ascii="宋体" w:hAnsi="宋体" w:eastAsia="宋体" w:cs="宋体"/>
          <w:b w:val="0"/>
          <w:color w:val="000000" w:themeColor="text1"/>
          <w:sz w:val="24"/>
          <w:lang w:val="en-US" w:eastAsia="zh-CN"/>
          <w14:textFill>
            <w14:solidFill>
              <w14:schemeClr w14:val="tx1"/>
            </w14:solidFill>
          </w14:textFill>
        </w:rPr>
      </w:pPr>
      <w:r>
        <w:rPr>
          <w:rStyle w:val="8"/>
          <w:rFonts w:hint="eastAsia" w:ascii="宋体" w:hAnsi="宋体" w:eastAsia="宋体" w:cs="宋体"/>
          <w:b/>
          <w:bCs w:val="0"/>
          <w:color w:val="000000" w:themeColor="text1"/>
          <w:sz w:val="24"/>
          <w:lang w:val="en-US" w:eastAsia="zh-CN"/>
          <w14:textFill>
            <w14:solidFill>
              <w14:schemeClr w14:val="tx1"/>
            </w14:solidFill>
          </w14:textFill>
        </w:rPr>
        <w:t>（5）</w:t>
      </w:r>
      <w:r>
        <w:rPr>
          <w:rStyle w:val="8"/>
          <w:rFonts w:hint="eastAsia" w:ascii="宋体" w:hAnsi="宋体" w:eastAsia="宋体" w:cs="宋体"/>
          <w:b/>
          <w:bCs w:val="0"/>
          <w:color w:val="000000" w:themeColor="text1"/>
          <w:sz w:val="24"/>
          <w14:textFill>
            <w14:solidFill>
              <w14:schemeClr w14:val="tx1"/>
            </w14:solidFill>
          </w14:textFill>
        </w:rPr>
        <w:t>光幕：</w:t>
      </w:r>
      <w:r>
        <w:rPr>
          <w:rFonts w:hint="eastAsia" w:ascii="宋体" w:hAnsi="宋体" w:eastAsia="宋体" w:cs="宋体"/>
          <w:b w:val="0"/>
          <w:color w:val="000000" w:themeColor="text1"/>
          <w:sz w:val="24"/>
          <w14:textFill>
            <w14:solidFill>
              <w14:schemeClr w14:val="tx1"/>
            </w14:solidFill>
          </w14:textFill>
        </w:rPr>
        <w:t>红外线光幕门保护，光束≥128束。</w:t>
      </w:r>
    </w:p>
    <w:p w14:paraId="1863241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hint="default" w:eastAsia="宋体"/>
          <w:b/>
          <w:bCs/>
          <w:color w:val="000000" w:themeColor="text1"/>
          <w:sz w:val="24"/>
          <w:u w:val="single"/>
          <w:lang w:val="en-US" w:eastAsia="zh-CN"/>
          <w14:textFill>
            <w14:solidFill>
              <w14:schemeClr w14:val="tx1"/>
            </w14:solidFill>
          </w14:textFill>
        </w:rPr>
      </w:pPr>
      <w:r>
        <w:rPr>
          <w:rFonts w:hint="eastAsia" w:eastAsia="宋体" w:cstheme="minorEastAsia"/>
          <w:b/>
          <w:bCs w:val="0"/>
          <w:color w:val="000000" w:themeColor="text1"/>
          <w:kern w:val="0"/>
          <w:sz w:val="24"/>
          <w:szCs w:val="24"/>
          <w:lang w:val="en-US" w:eastAsia="zh-CN" w:bidi="ar"/>
          <w14:textFill>
            <w14:solidFill>
              <w14:schemeClr w14:val="tx1"/>
            </w14:solidFill>
          </w14:textFill>
        </w:rPr>
        <w:t>（6）</w:t>
      </w:r>
      <w:r>
        <w:rPr>
          <w:rStyle w:val="8"/>
          <w:rFonts w:hint="eastAsia" w:ascii="宋体" w:hAnsi="宋体" w:eastAsia="宋体" w:cs="宋体"/>
          <w:b/>
          <w:bCs w:val="0"/>
          <w:color w:val="000000" w:themeColor="text1"/>
          <w:sz w:val="24"/>
          <w14:textFill>
            <w14:solidFill>
              <w14:schemeClr w14:val="tx1"/>
            </w14:solidFill>
          </w14:textFill>
        </w:rPr>
        <w:t>平层精度：</w:t>
      </w:r>
      <w:r>
        <w:rPr>
          <w:rFonts w:hint="eastAsia" w:ascii="宋体" w:hAnsi="宋体" w:eastAsia="宋体" w:cs="宋体"/>
          <w:b w:val="0"/>
          <w:color w:val="000000" w:themeColor="text1"/>
          <w:sz w:val="24"/>
          <w14:textFill>
            <w14:solidFill>
              <w14:schemeClr w14:val="tx1"/>
            </w14:solidFill>
          </w14:textFill>
        </w:rPr>
        <w:t>±3mm范围内(含±3mm)。</w:t>
      </w:r>
    </w:p>
    <w:p w14:paraId="279934CB">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eastAsia="宋体"/>
          <w:b w:val="0"/>
          <w:color w:val="000000" w:themeColor="text1"/>
          <w:sz w:val="24"/>
          <w14:textFill>
            <w14:solidFill>
              <w14:schemeClr w14:val="tx1"/>
            </w14:solidFill>
          </w14:textFill>
        </w:rPr>
      </w:pPr>
      <w:r>
        <w:rPr>
          <w:rFonts w:hint="eastAsia" w:eastAsia="宋体" w:cstheme="minorEastAsia"/>
          <w:b/>
          <w:bCs w:val="0"/>
          <w:color w:val="000000" w:themeColor="text1"/>
          <w:kern w:val="0"/>
          <w:sz w:val="24"/>
          <w:szCs w:val="24"/>
          <w:lang w:val="en-US" w:eastAsia="zh-CN" w:bidi="ar"/>
          <w14:textFill>
            <w14:solidFill>
              <w14:schemeClr w14:val="tx1"/>
            </w14:solidFill>
          </w14:textFill>
        </w:rPr>
        <w:t>（7）</w:t>
      </w:r>
      <w:r>
        <w:rPr>
          <w:rStyle w:val="8"/>
          <w:rFonts w:hint="eastAsia" w:ascii="宋体" w:hAnsi="宋体" w:eastAsia="宋体" w:cs="宋体"/>
          <w:b/>
          <w:bCs w:val="0"/>
          <w:color w:val="000000" w:themeColor="text1"/>
          <w:sz w:val="24"/>
          <w14:textFill>
            <w14:solidFill>
              <w14:schemeClr w14:val="tx1"/>
            </w14:solidFill>
          </w14:textFill>
        </w:rPr>
        <w:t>故障率：</w:t>
      </w:r>
      <w:r>
        <w:rPr>
          <w:rFonts w:hint="eastAsia" w:ascii="宋体" w:hAnsi="宋体" w:eastAsia="宋体" w:cs="宋体"/>
          <w:b w:val="0"/>
          <w:color w:val="000000" w:themeColor="text1"/>
          <w:sz w:val="24"/>
          <w14:textFill>
            <w14:solidFill>
              <w14:schemeClr w14:val="tx1"/>
            </w14:solidFill>
          </w14:textFill>
        </w:rPr>
        <w:t xml:space="preserve">年平均故障次数≤2次（易损件更换不计）。 </w:t>
      </w:r>
    </w:p>
    <w:p w14:paraId="07E33E2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bCs/>
          <w:color w:val="000000" w:themeColor="text1"/>
          <w:sz w:val="24"/>
          <w:lang w:val="en-US" w:eastAsia="zh-CN"/>
          <w14:textFill>
            <w14:solidFill>
              <w14:schemeClr w14:val="tx1"/>
            </w14:solidFill>
          </w14:textFill>
        </w:rPr>
        <w:t>（8）</w:t>
      </w:r>
      <w:r>
        <w:rPr>
          <w:rFonts w:hint="eastAsia" w:ascii="宋体" w:hAnsi="宋体" w:eastAsia="宋体" w:cs="宋体"/>
          <w:b/>
          <w:bCs/>
          <w:color w:val="000000" w:themeColor="text1"/>
          <w:sz w:val="24"/>
          <w14:textFill>
            <w14:solidFill>
              <w14:schemeClr w14:val="tx1"/>
            </w14:solidFill>
          </w14:textFill>
        </w:rPr>
        <w:t>电源要求：</w:t>
      </w:r>
      <w:r>
        <w:rPr>
          <w:rFonts w:hint="eastAsia" w:ascii="宋体" w:hAnsi="宋体" w:eastAsia="宋体" w:cs="宋体"/>
          <w:b w:val="0"/>
          <w:color w:val="000000" w:themeColor="text1"/>
          <w:sz w:val="24"/>
          <w14:textFill>
            <w14:solidFill>
              <w14:schemeClr w14:val="tx1"/>
            </w14:solidFill>
          </w14:textFill>
        </w:rPr>
        <w:t>动力380V/50Hz三相五线；照明220V/50Hz单相三线。</w:t>
      </w:r>
    </w:p>
    <w:p w14:paraId="2FFCDBC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hint="eastAsia" w:ascii="宋体" w:hAnsi="宋体" w:eastAsia="宋体" w:cs="宋体"/>
          <w:b w:val="0"/>
          <w:bCs w:val="0"/>
          <w:color w:val="000000" w:themeColor="text1"/>
          <w:sz w:val="24"/>
          <w:lang w:val="en-US" w:eastAsia="zh-CN"/>
          <w14:textFill>
            <w14:solidFill>
              <w14:schemeClr w14:val="tx1"/>
            </w14:solidFill>
          </w14:textFill>
        </w:rPr>
      </w:pPr>
      <w:r>
        <w:rPr>
          <w:rFonts w:hint="eastAsia" w:ascii="宋体" w:hAnsi="宋体" w:eastAsia="宋体" w:cs="宋体"/>
          <w:b/>
          <w:bCs/>
          <w:color w:val="000000" w:themeColor="text1"/>
          <w:sz w:val="24"/>
          <w:lang w:eastAsia="zh-CN"/>
          <w14:textFill>
            <w14:solidFill>
              <w14:schemeClr w14:val="tx1"/>
            </w14:solidFill>
          </w14:textFill>
        </w:rPr>
        <w:t>（</w:t>
      </w:r>
      <w:r>
        <w:rPr>
          <w:rFonts w:hint="eastAsia" w:ascii="宋体" w:hAnsi="宋体" w:eastAsia="宋体" w:cs="宋体"/>
          <w:b/>
          <w:bCs/>
          <w:color w:val="000000" w:themeColor="text1"/>
          <w:sz w:val="24"/>
          <w:lang w:val="en-US" w:eastAsia="zh-CN"/>
          <w14:textFill>
            <w14:solidFill>
              <w14:schemeClr w14:val="tx1"/>
            </w14:solidFill>
          </w14:textFill>
        </w:rPr>
        <w:t>9</w:t>
      </w:r>
      <w:r>
        <w:rPr>
          <w:rFonts w:hint="eastAsia" w:ascii="宋体" w:hAnsi="宋体" w:eastAsia="宋体" w:cs="宋体"/>
          <w:b/>
          <w:bCs/>
          <w:color w:val="000000" w:themeColor="text1"/>
          <w:sz w:val="24"/>
          <w:lang w:eastAsia="zh-CN"/>
          <w14:textFill>
            <w14:solidFill>
              <w14:schemeClr w14:val="tx1"/>
            </w14:solidFill>
          </w14:textFill>
        </w:rPr>
        <w:t>）</w:t>
      </w:r>
      <w:r>
        <w:rPr>
          <w:rFonts w:hint="eastAsia" w:ascii="宋体" w:hAnsi="宋体" w:eastAsia="宋体" w:cs="宋体"/>
          <w:b/>
          <w:bCs/>
          <w:color w:val="000000" w:themeColor="text1"/>
          <w:sz w:val="24"/>
          <w:lang w:val="en-US" w:eastAsia="zh-CN"/>
          <w14:textFill>
            <w14:solidFill>
              <w14:schemeClr w14:val="tx1"/>
            </w14:solidFill>
          </w14:textFill>
        </w:rPr>
        <w:t>★</w:t>
      </w:r>
      <w:r>
        <w:rPr>
          <w:rFonts w:hint="eastAsia" w:ascii="宋体" w:hAnsi="宋体" w:eastAsia="宋体" w:cs="宋体"/>
          <w:b w:val="0"/>
          <w:bCs w:val="0"/>
          <w:color w:val="000000" w:themeColor="text1"/>
          <w:sz w:val="24"/>
          <w:lang w:val="en-US" w:eastAsia="zh-CN"/>
          <w14:textFill>
            <w14:solidFill>
              <w14:schemeClr w14:val="tx1"/>
            </w14:solidFill>
          </w14:textFill>
        </w:rPr>
        <w:t>为保证电梯不打滑或坠落，电梯制动器制动力需保证：</w:t>
      </w:r>
    </w:p>
    <w:p w14:paraId="12C85E3C">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hint="eastAsia" w:ascii="宋体" w:hAnsi="宋体" w:eastAsia="宋体" w:cs="宋体"/>
          <w:b w:val="0"/>
          <w:bCs w:val="0"/>
          <w:color w:val="000000" w:themeColor="text1"/>
          <w:sz w:val="24"/>
          <w:lang w:val="en-US" w:eastAsia="zh-CN"/>
          <w14:textFill>
            <w14:solidFill>
              <w14:schemeClr w14:val="tx1"/>
            </w14:solidFill>
          </w14:textFill>
        </w:rPr>
      </w:pPr>
      <w:r>
        <w:rPr>
          <w:rFonts w:hint="eastAsia" w:ascii="宋体" w:hAnsi="宋体" w:eastAsia="宋体" w:cs="宋体"/>
          <w:b w:val="0"/>
          <w:bCs w:val="0"/>
          <w:color w:val="000000" w:themeColor="text1"/>
          <w:sz w:val="24"/>
          <w:lang w:val="en-US" w:eastAsia="zh-CN"/>
          <w14:textFill>
            <w14:solidFill>
              <w14:schemeClr w14:val="tx1"/>
            </w14:solidFill>
          </w14:textFill>
        </w:rPr>
        <w:t>A:双边抱闸：加载2倍额载时，制动器双边合闸制动，电梯能保持20分钟及以上静止不滑移，且各部件完好，无永久变形、无损坏，钢丝绳无打滑：</w:t>
      </w:r>
    </w:p>
    <w:p w14:paraId="6C981B1F">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hint="eastAsia" w:ascii="宋体" w:hAnsi="宋体" w:eastAsia="宋体" w:cs="宋体"/>
          <w:b w:val="0"/>
          <w:bCs w:val="0"/>
          <w:color w:val="000000" w:themeColor="text1"/>
          <w:sz w:val="24"/>
          <w:lang w:val="en-US" w:eastAsia="zh-CN"/>
          <w14:textFill>
            <w14:solidFill>
              <w14:schemeClr w14:val="tx1"/>
            </w14:solidFill>
          </w14:textFill>
        </w:rPr>
      </w:pPr>
      <w:r>
        <w:rPr>
          <w:rFonts w:hint="eastAsia" w:ascii="宋体" w:hAnsi="宋体" w:eastAsia="宋体" w:cs="宋体"/>
          <w:b w:val="0"/>
          <w:bCs w:val="0"/>
          <w:color w:val="000000" w:themeColor="text1"/>
          <w:sz w:val="24"/>
          <w:lang w:val="en-US" w:eastAsia="zh-CN"/>
          <w14:textFill>
            <w14:solidFill>
              <w14:schemeClr w14:val="tx1"/>
            </w14:solidFill>
          </w14:textFill>
        </w:rPr>
        <w:t>B:单边抱闸：单边抱闸力极限值大于额定载荷1.35倍；</w:t>
      </w:r>
    </w:p>
    <w:p w14:paraId="60375A5D">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hint="eastAsia" w:ascii="宋体" w:hAnsi="宋体" w:eastAsia="宋体" w:cs="宋体"/>
          <w:b w:val="0"/>
          <w:bCs w:val="0"/>
          <w:color w:val="000000" w:themeColor="text1"/>
          <w:sz w:val="24"/>
          <w:lang w:val="en-US" w:eastAsia="zh-CN"/>
          <w14:textFill>
            <w14:solidFill>
              <w14:schemeClr w14:val="tx1"/>
            </w14:solidFill>
          </w14:textFill>
        </w:rPr>
      </w:pPr>
      <w:r>
        <w:rPr>
          <w:rFonts w:hint="eastAsia" w:ascii="宋体" w:hAnsi="宋体" w:eastAsia="宋体" w:cs="宋体"/>
          <w:b w:val="0"/>
          <w:bCs w:val="0"/>
          <w:color w:val="000000" w:themeColor="text1"/>
          <w:sz w:val="24"/>
          <w:lang w:val="en-US" w:eastAsia="zh-CN"/>
          <w14:textFill>
            <w14:solidFill>
              <w14:schemeClr w14:val="tx1"/>
            </w14:solidFill>
          </w14:textFill>
        </w:rPr>
        <w:t>C:依据TSGT7007-2022 电梯制动器应当进行不少于200万次的动作试验；试验过程中不得进行任何维护，试验期间制动器不允许出现任何故障，试验后仍应工作正常；</w:t>
      </w:r>
    </w:p>
    <w:p w14:paraId="2FC5DFC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hint="default" w:ascii="宋体" w:hAnsi="宋体" w:eastAsia="宋体" w:cs="宋体"/>
          <w:b w:val="0"/>
          <w:bCs w:val="0"/>
          <w:color w:val="000000" w:themeColor="text1"/>
          <w:sz w:val="24"/>
          <w:lang w:val="en-US" w:eastAsia="zh-CN"/>
          <w14:textFill>
            <w14:solidFill>
              <w14:schemeClr w14:val="tx1"/>
            </w14:solidFill>
          </w14:textFill>
        </w:rPr>
      </w:pPr>
      <w:r>
        <w:rPr>
          <w:rFonts w:hint="eastAsia" w:ascii="宋体" w:hAnsi="宋体" w:eastAsia="宋体" w:cs="宋体"/>
          <w:b/>
          <w:bCs/>
          <w:color w:val="000000" w:themeColor="text1"/>
          <w:sz w:val="24"/>
          <w:lang w:val="en-US" w:eastAsia="zh-CN"/>
          <w14:textFill>
            <w14:solidFill>
              <w14:schemeClr w14:val="tx1"/>
            </w14:solidFill>
          </w14:textFill>
        </w:rPr>
        <w:t>（10）</w:t>
      </w:r>
      <w:r>
        <w:rPr>
          <w:rFonts w:hint="default" w:ascii="宋体" w:hAnsi="宋体" w:eastAsia="宋体" w:cs="宋体"/>
          <w:b/>
          <w:bCs/>
          <w:color w:val="000000" w:themeColor="text1"/>
          <w:sz w:val="24"/>
          <w:lang w:val="en-US" w:eastAsia="zh-CN"/>
          <w14:textFill>
            <w14:solidFill>
              <w14:schemeClr w14:val="tx1"/>
            </w14:solidFill>
          </w14:textFill>
        </w:rPr>
        <w:t>★</w:t>
      </w:r>
      <w:r>
        <w:rPr>
          <w:rFonts w:hint="default" w:ascii="宋体" w:hAnsi="宋体" w:eastAsia="宋体" w:cs="宋体"/>
          <w:b w:val="0"/>
          <w:bCs w:val="0"/>
          <w:color w:val="000000" w:themeColor="text1"/>
          <w:sz w:val="24"/>
          <w:lang w:val="en-US" w:eastAsia="zh-CN"/>
          <w14:textFill>
            <w14:solidFill>
              <w14:schemeClr w14:val="tx1"/>
            </w14:solidFill>
          </w14:textFill>
        </w:rPr>
        <w:t>为保证电梯平层的精度和稳度性，要求电梯的光电开关满足以下条件：</w:t>
      </w:r>
    </w:p>
    <w:p w14:paraId="6304D7D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hint="default" w:ascii="宋体" w:hAnsi="宋体" w:eastAsia="宋体" w:cs="宋体"/>
          <w:b w:val="0"/>
          <w:bCs w:val="0"/>
          <w:color w:val="000000" w:themeColor="text1"/>
          <w:sz w:val="24"/>
          <w:lang w:val="en-US" w:eastAsia="zh-CN"/>
          <w14:textFill>
            <w14:solidFill>
              <w14:schemeClr w14:val="tx1"/>
            </w14:solidFill>
          </w14:textFill>
        </w:rPr>
      </w:pPr>
      <w:r>
        <w:rPr>
          <w:rFonts w:hint="default" w:ascii="宋体" w:hAnsi="宋体" w:eastAsia="宋体" w:cs="宋体"/>
          <w:b w:val="0"/>
          <w:bCs w:val="0"/>
          <w:color w:val="000000" w:themeColor="text1"/>
          <w:sz w:val="24"/>
          <w:lang w:val="en-US" w:eastAsia="zh-CN"/>
          <w14:textFill>
            <w14:solidFill>
              <w14:schemeClr w14:val="tx1"/>
            </w14:solidFill>
          </w14:textFill>
        </w:rPr>
        <w:t>A、当电压在 10V~30V 之间时，其工作应当正常。</w:t>
      </w:r>
    </w:p>
    <w:p w14:paraId="4F4B422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hint="default" w:ascii="宋体" w:hAnsi="宋体" w:eastAsia="宋体" w:cs="宋体"/>
          <w:b w:val="0"/>
          <w:bCs w:val="0"/>
          <w:color w:val="000000" w:themeColor="text1"/>
          <w:sz w:val="24"/>
          <w:lang w:val="en-US" w:eastAsia="zh-CN"/>
          <w14:textFill>
            <w14:solidFill>
              <w14:schemeClr w14:val="tx1"/>
            </w14:solidFill>
          </w14:textFill>
        </w:rPr>
      </w:pPr>
      <w:r>
        <w:rPr>
          <w:rFonts w:hint="default" w:ascii="宋体" w:hAnsi="宋体" w:eastAsia="宋体" w:cs="宋体"/>
          <w:b w:val="0"/>
          <w:bCs w:val="0"/>
          <w:color w:val="000000" w:themeColor="text1"/>
          <w:sz w:val="24"/>
          <w:lang w:val="en-US" w:eastAsia="zh-CN"/>
          <w14:textFill>
            <w14:solidFill>
              <w14:schemeClr w14:val="tx1"/>
            </w14:solidFill>
          </w14:textFill>
        </w:rPr>
        <w:t>B、脉冲上升时间必须小于0.2ms</w:t>
      </w:r>
    </w:p>
    <w:p w14:paraId="6B6AAC04">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hint="default" w:ascii="宋体" w:hAnsi="宋体" w:eastAsia="宋体" w:cs="宋体"/>
          <w:b w:val="0"/>
          <w:bCs w:val="0"/>
          <w:color w:val="000000" w:themeColor="text1"/>
          <w:sz w:val="24"/>
          <w:lang w:val="en-US" w:eastAsia="zh-CN"/>
          <w14:textFill>
            <w14:solidFill>
              <w14:schemeClr w14:val="tx1"/>
            </w14:solidFill>
          </w14:textFill>
        </w:rPr>
      </w:pPr>
      <w:r>
        <w:rPr>
          <w:rFonts w:hint="default" w:ascii="宋体" w:hAnsi="宋体" w:eastAsia="宋体" w:cs="宋体"/>
          <w:b w:val="0"/>
          <w:bCs w:val="0"/>
          <w:color w:val="000000" w:themeColor="text1"/>
          <w:sz w:val="24"/>
          <w:lang w:val="en-US" w:eastAsia="zh-CN"/>
          <w14:textFill>
            <w14:solidFill>
              <w14:schemeClr w14:val="tx1"/>
            </w14:solidFill>
          </w14:textFill>
        </w:rPr>
        <w:t>C、脉冲下降时间必须小于 0.2ms</w:t>
      </w:r>
    </w:p>
    <w:p w14:paraId="1F64C000">
      <w:pPr>
        <w:pStyle w:val="3"/>
        <w:keepNext w:val="0"/>
        <w:keepLines w:val="0"/>
        <w:pageBreakBefore w:val="0"/>
        <w:widowControl/>
        <w:suppressLineNumbers w:val="0"/>
        <w:kinsoku/>
        <w:wordWrap/>
        <w:overflowPunct/>
        <w:topLinePunct w:val="0"/>
        <w:autoSpaceDE/>
        <w:autoSpaceDN/>
        <w:bidi w:val="0"/>
        <w:adjustRightInd/>
        <w:snapToGrid/>
        <w:spacing w:line="23" w:lineRule="atLeast"/>
        <w:ind w:firstLine="482" w:firstLineChars="200"/>
        <w:jc w:val="left"/>
        <w:textAlignment w:val="auto"/>
        <w:rPr>
          <w:rFonts w:eastAsia="宋体"/>
          <w:b/>
          <w:bCs w:val="0"/>
          <w:color w:val="000000" w:themeColor="text1"/>
          <w:sz w:val="24"/>
          <w14:textFill>
            <w14:solidFill>
              <w14:schemeClr w14:val="tx1"/>
            </w14:solidFill>
          </w14:textFill>
        </w:rPr>
      </w:pPr>
      <w:r>
        <w:rPr>
          <w:rFonts w:eastAsia="宋体"/>
          <w:b/>
          <w:bCs w:val="0"/>
          <w:color w:val="000000" w:themeColor="text1"/>
          <w:sz w:val="24"/>
          <w14:textFill>
            <w14:solidFill>
              <w14:schemeClr w14:val="tx1"/>
            </w14:solidFill>
          </w14:textFill>
        </w:rPr>
        <w:t>3. 轿厢及厅门</w:t>
      </w:r>
    </w:p>
    <w:p w14:paraId="6ED1130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jc w:val="left"/>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bCs w:val="0"/>
          <w:color w:val="000000" w:themeColor="text1"/>
          <w:sz w:val="24"/>
          <w:lang w:val="en-US" w:eastAsia="zh-CN"/>
          <w14:textFill>
            <w14:solidFill>
              <w14:schemeClr w14:val="tx1"/>
            </w14:solidFill>
          </w14:textFill>
        </w:rPr>
        <w:t>（1）</w:t>
      </w:r>
      <w:r>
        <w:rPr>
          <w:rFonts w:hint="eastAsia" w:ascii="宋体" w:hAnsi="宋体" w:eastAsia="宋体" w:cs="宋体"/>
          <w:b/>
          <w:bCs w:val="0"/>
          <w:color w:val="000000" w:themeColor="text1"/>
          <w:sz w:val="24"/>
          <w14:textFill>
            <w14:solidFill>
              <w14:schemeClr w14:val="tx1"/>
            </w14:solidFill>
          </w14:textFill>
        </w:rPr>
        <w:t>轿厢及轿门材质：</w:t>
      </w:r>
      <w:r>
        <w:rPr>
          <w:rFonts w:hint="eastAsia" w:ascii="宋体" w:hAnsi="宋体" w:eastAsia="宋体" w:cs="宋体"/>
          <w:b w:val="0"/>
          <w:color w:val="000000" w:themeColor="text1"/>
          <w:sz w:val="24"/>
          <w14:textFill>
            <w14:solidFill>
              <w14:schemeClr w14:val="tx1"/>
            </w14:solidFill>
          </w14:textFill>
        </w:rPr>
        <w:t>304发纹不锈钢，轿壁厚度≥1.2MM，后壁中间一块为镜面蚀刻,轿箱净高≥2400mm,轿底地面采用</w:t>
      </w:r>
      <w:r>
        <w:rPr>
          <w:rFonts w:hint="eastAsia" w:ascii="宋体" w:hAnsi="宋体" w:eastAsia="宋体" w:cs="宋体"/>
          <w:b w:val="0"/>
          <w:color w:val="000000" w:themeColor="text1"/>
          <w:sz w:val="24"/>
          <w:lang w:val="en-US" w:eastAsia="zh-CN"/>
          <w14:textFill>
            <w14:solidFill>
              <w14:schemeClr w14:val="tx1"/>
            </w14:solidFill>
          </w14:textFill>
        </w:rPr>
        <w:t>仿大理石</w:t>
      </w:r>
      <w:r>
        <w:rPr>
          <w:rFonts w:hint="eastAsia" w:ascii="宋体" w:hAnsi="宋体" w:eastAsia="宋体" w:cs="宋体"/>
          <w:b w:val="0"/>
          <w:color w:val="000000" w:themeColor="text1"/>
          <w:sz w:val="24"/>
          <w14:textFill>
            <w14:solidFill>
              <w14:schemeClr w14:val="tx1"/>
            </w14:solidFill>
          </w14:textFill>
        </w:rPr>
        <w:t>材质。</w:t>
      </w:r>
    </w:p>
    <w:p w14:paraId="7B2D94FE">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jc w:val="left"/>
        <w:textAlignment w:val="auto"/>
        <w:rPr>
          <w:rFonts w:hint="eastAsia" w:ascii="宋体" w:hAnsi="宋体" w:eastAsia="宋体" w:cs="宋体"/>
          <w:b w:val="0"/>
          <w:color w:val="000000" w:themeColor="text1"/>
          <w:sz w:val="24"/>
          <w:lang w:eastAsia="zh-CN"/>
          <w14:textFill>
            <w14:solidFill>
              <w14:schemeClr w14:val="tx1"/>
            </w14:solidFill>
          </w14:textFill>
        </w:rPr>
      </w:pPr>
      <w:r>
        <w:rPr>
          <w:rFonts w:hint="eastAsia" w:ascii="宋体" w:hAnsi="宋体" w:eastAsia="宋体" w:cs="宋体"/>
          <w:b/>
          <w:bCs w:val="0"/>
          <w:color w:val="000000" w:themeColor="text1"/>
          <w:sz w:val="24"/>
          <w:lang w:val="en-US" w:eastAsia="zh-CN"/>
          <w14:textFill>
            <w14:solidFill>
              <w14:schemeClr w14:val="tx1"/>
            </w14:solidFill>
          </w14:textFill>
        </w:rPr>
        <w:t>（2）</w:t>
      </w:r>
      <w:r>
        <w:rPr>
          <w:rFonts w:hint="eastAsia" w:ascii="宋体" w:hAnsi="宋体" w:eastAsia="宋体" w:cs="宋体"/>
          <w:b/>
          <w:bCs w:val="0"/>
          <w:color w:val="000000" w:themeColor="text1"/>
          <w:sz w:val="24"/>
          <w14:textFill>
            <w14:solidFill>
              <w14:schemeClr w14:val="tx1"/>
            </w14:solidFill>
          </w14:textFill>
        </w:rPr>
        <w:t>层门：</w:t>
      </w:r>
      <w:r>
        <w:rPr>
          <w:rFonts w:hint="eastAsia" w:ascii="宋体" w:hAnsi="宋体" w:eastAsia="宋体" w:cs="宋体"/>
          <w:b w:val="0"/>
          <w:color w:val="000000" w:themeColor="text1"/>
          <w:sz w:val="24"/>
          <w14:textFill>
            <w14:solidFill>
              <w14:schemeClr w14:val="tx1"/>
            </w14:solidFill>
          </w14:textFill>
        </w:rPr>
        <w:t>所有层门均为发纹不锈钢，厚度≥1.2MM</w:t>
      </w:r>
      <w:r>
        <w:rPr>
          <w:rFonts w:hint="eastAsia" w:ascii="宋体" w:hAnsi="宋体" w:eastAsia="宋体" w:cs="宋体"/>
          <w:b w:val="0"/>
          <w:color w:val="000000" w:themeColor="text1"/>
          <w:sz w:val="24"/>
          <w:lang w:eastAsia="zh-CN"/>
          <w14:textFill>
            <w14:solidFill>
              <w14:schemeClr w14:val="tx1"/>
            </w14:solidFill>
          </w14:textFill>
        </w:rPr>
        <w:t>。</w:t>
      </w:r>
    </w:p>
    <w:p w14:paraId="70EFBE07">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jc w:val="left"/>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bCs w:val="0"/>
          <w:color w:val="000000" w:themeColor="text1"/>
          <w:sz w:val="24"/>
          <w:lang w:val="en-US" w:eastAsia="zh-CN"/>
          <w14:textFill>
            <w14:solidFill>
              <w14:schemeClr w14:val="tx1"/>
            </w14:solidFill>
          </w14:textFill>
        </w:rPr>
        <w:t>（3）</w:t>
      </w:r>
      <w:r>
        <w:rPr>
          <w:rFonts w:hint="eastAsia" w:ascii="宋体" w:hAnsi="宋体" w:eastAsia="宋体" w:cs="宋体"/>
          <w:b w:val="0"/>
          <w:color w:val="000000" w:themeColor="text1"/>
          <w:sz w:val="24"/>
          <w14:textFill>
            <w14:solidFill>
              <w14:schemeClr w14:val="tx1"/>
            </w14:solidFill>
          </w14:textFill>
        </w:rPr>
        <w:t>轿厢内照明设备要求不少于两组照明灯具，光源为 LED；轿厢顶安装换气风扇；</w:t>
      </w:r>
    </w:p>
    <w:p w14:paraId="3E85B23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jc w:val="left"/>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bCs w:val="0"/>
          <w:color w:val="000000" w:themeColor="text1"/>
          <w:sz w:val="24"/>
          <w:lang w:val="en-US" w:eastAsia="zh-CN"/>
          <w14:textFill>
            <w14:solidFill>
              <w14:schemeClr w14:val="tx1"/>
            </w14:solidFill>
          </w14:textFill>
        </w:rPr>
        <w:t>（4）</w:t>
      </w:r>
      <w:r>
        <w:rPr>
          <w:rFonts w:hint="eastAsia" w:ascii="宋体" w:hAnsi="宋体" w:eastAsia="宋体" w:cs="宋体"/>
          <w:b w:val="0"/>
          <w:color w:val="000000" w:themeColor="text1"/>
          <w:sz w:val="24"/>
          <w14:textFill>
            <w14:solidFill>
              <w14:schemeClr w14:val="tx1"/>
            </w14:solidFill>
          </w14:textFill>
        </w:rPr>
        <w:t>轿内数字式位置/方向等液晶显示器，显示器为液晶图片显示，显示器尺寸≥7 寸。厅外显示为液晶显示。</w:t>
      </w:r>
    </w:p>
    <w:p w14:paraId="373BB63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jc w:val="left"/>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bCs w:val="0"/>
          <w:color w:val="000000" w:themeColor="text1"/>
          <w:sz w:val="24"/>
          <w:lang w:val="en-US" w:eastAsia="zh-CN"/>
          <w14:textFill>
            <w14:solidFill>
              <w14:schemeClr w14:val="tx1"/>
            </w14:solidFill>
          </w14:textFill>
        </w:rPr>
        <w:t>（5）</w:t>
      </w:r>
      <w:r>
        <w:rPr>
          <w:rFonts w:hint="eastAsia" w:ascii="宋体" w:hAnsi="宋体" w:eastAsia="宋体" w:cs="宋体"/>
          <w:b w:val="0"/>
          <w:color w:val="000000" w:themeColor="text1"/>
          <w:sz w:val="24"/>
          <w14:textFill>
            <w14:solidFill>
              <w14:schemeClr w14:val="tx1"/>
            </w14:solidFill>
          </w14:textFill>
        </w:rPr>
        <w:t>无障碍电梯，配副操纵箱，后壁加一根扶手，配到站钟。</w:t>
      </w:r>
    </w:p>
    <w:p w14:paraId="358AEACB">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firstLine="0" w:firstLineChars="0"/>
        <w:jc w:val="left"/>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bCs w:val="0"/>
          <w:color w:val="000000" w:themeColor="text1"/>
          <w:sz w:val="24"/>
          <w:lang w:val="en-US" w:eastAsia="zh-CN"/>
          <w14:textFill>
            <w14:solidFill>
              <w14:schemeClr w14:val="tx1"/>
            </w14:solidFill>
          </w14:textFill>
        </w:rPr>
        <w:t>（6）</w:t>
      </w:r>
      <w:r>
        <w:rPr>
          <w:rFonts w:hint="eastAsia" w:ascii="宋体" w:hAnsi="宋体" w:eastAsia="宋体" w:cs="宋体"/>
          <w:b w:val="0"/>
          <w:color w:val="000000" w:themeColor="text1"/>
          <w:sz w:val="24"/>
          <w14:textFill>
            <w14:solidFill>
              <w14:schemeClr w14:val="tx1"/>
            </w14:solidFill>
          </w14:textFill>
        </w:rPr>
        <w:t>轿厢门地坎为实心浇铸硬质铝型材；</w:t>
      </w:r>
    </w:p>
    <w:p w14:paraId="161BCC8F">
      <w:pPr>
        <w:pStyle w:val="3"/>
        <w:keepNext w:val="0"/>
        <w:keepLines w:val="0"/>
        <w:pageBreakBefore w:val="0"/>
        <w:widowControl/>
        <w:suppressLineNumbers w:val="0"/>
        <w:kinsoku/>
        <w:wordWrap/>
        <w:overflowPunct/>
        <w:topLinePunct w:val="0"/>
        <w:autoSpaceDE/>
        <w:autoSpaceDN/>
        <w:bidi w:val="0"/>
        <w:adjustRightInd/>
        <w:snapToGrid/>
        <w:spacing w:line="23" w:lineRule="atLeast"/>
        <w:ind w:firstLine="482" w:firstLineChars="200"/>
        <w:jc w:val="left"/>
        <w:textAlignment w:val="auto"/>
        <w:rPr>
          <w:rFonts w:hint="eastAsia" w:eastAsia="宋体"/>
          <w:b/>
          <w:bCs w:val="0"/>
          <w:color w:val="000000" w:themeColor="text1"/>
          <w:sz w:val="24"/>
          <w14:textFill>
            <w14:solidFill>
              <w14:schemeClr w14:val="tx1"/>
            </w14:solidFill>
          </w14:textFill>
        </w:rPr>
      </w:pPr>
      <w:r>
        <w:rPr>
          <w:rFonts w:hint="eastAsia" w:eastAsia="宋体"/>
          <w:b/>
          <w:bCs w:val="0"/>
          <w:color w:val="000000" w:themeColor="text1"/>
          <w:sz w:val="24"/>
          <w:lang w:val="en-US" w:eastAsia="zh-CN"/>
          <w14:textFill>
            <w14:solidFill>
              <w14:schemeClr w14:val="tx1"/>
            </w14:solidFill>
          </w14:textFill>
        </w:rPr>
        <w:t>4.</w:t>
      </w:r>
      <w:r>
        <w:rPr>
          <w:rFonts w:hint="eastAsia" w:eastAsia="宋体"/>
          <w:b/>
          <w:bCs w:val="0"/>
          <w:color w:val="000000" w:themeColor="text1"/>
          <w:sz w:val="24"/>
          <w14:textFill>
            <w14:solidFill>
              <w14:schemeClr w14:val="tx1"/>
            </w14:solidFill>
          </w14:textFill>
        </w:rPr>
        <w:t>配置五方通话功能；</w:t>
      </w:r>
    </w:p>
    <w:p w14:paraId="44A789ED">
      <w:pPr>
        <w:pStyle w:val="3"/>
        <w:keepNext w:val="0"/>
        <w:keepLines w:val="0"/>
        <w:pageBreakBefore w:val="0"/>
        <w:widowControl/>
        <w:suppressLineNumbers w:val="0"/>
        <w:kinsoku/>
        <w:wordWrap/>
        <w:overflowPunct/>
        <w:topLinePunct w:val="0"/>
        <w:autoSpaceDE/>
        <w:autoSpaceDN/>
        <w:bidi w:val="0"/>
        <w:adjustRightInd/>
        <w:snapToGrid/>
        <w:spacing w:line="23" w:lineRule="atLeast"/>
        <w:ind w:firstLine="482" w:firstLineChars="200"/>
        <w:jc w:val="left"/>
        <w:textAlignment w:val="auto"/>
        <w:rPr>
          <w:rFonts w:hint="eastAsia" w:eastAsia="宋体"/>
          <w:b/>
          <w:bCs w:val="0"/>
          <w:color w:val="000000" w:themeColor="text1"/>
          <w:sz w:val="24"/>
          <w14:textFill>
            <w14:solidFill>
              <w14:schemeClr w14:val="tx1"/>
            </w14:solidFill>
          </w14:textFill>
        </w:rPr>
      </w:pPr>
      <w:r>
        <w:rPr>
          <w:rFonts w:hint="eastAsia" w:eastAsia="宋体"/>
          <w:b/>
          <w:bCs w:val="0"/>
          <w:color w:val="000000" w:themeColor="text1"/>
          <w:sz w:val="24"/>
          <w:lang w:val="en-US" w:eastAsia="zh-CN"/>
          <w14:textFill>
            <w14:solidFill>
              <w14:schemeClr w14:val="tx1"/>
            </w14:solidFill>
          </w14:textFill>
        </w:rPr>
        <w:t>5.</w:t>
      </w:r>
      <w:r>
        <w:rPr>
          <w:rFonts w:hint="eastAsia" w:eastAsia="宋体"/>
          <w:b/>
          <w:bCs w:val="0"/>
          <w:color w:val="000000" w:themeColor="text1"/>
          <w:sz w:val="24"/>
          <w14:textFill>
            <w14:solidFill>
              <w14:schemeClr w14:val="tx1"/>
            </w14:solidFill>
          </w14:textFill>
        </w:rPr>
        <w:t>配置停电应急平层功能；</w:t>
      </w:r>
    </w:p>
    <w:p w14:paraId="0D6F83E5">
      <w:pPr>
        <w:pStyle w:val="3"/>
        <w:keepNext w:val="0"/>
        <w:keepLines w:val="0"/>
        <w:pageBreakBefore w:val="0"/>
        <w:widowControl/>
        <w:suppressLineNumbers w:val="0"/>
        <w:kinsoku/>
        <w:wordWrap/>
        <w:overflowPunct/>
        <w:topLinePunct w:val="0"/>
        <w:autoSpaceDE/>
        <w:autoSpaceDN/>
        <w:bidi w:val="0"/>
        <w:adjustRightInd/>
        <w:snapToGrid/>
        <w:spacing w:line="23" w:lineRule="atLeast"/>
        <w:ind w:firstLine="482" w:firstLineChars="200"/>
        <w:jc w:val="left"/>
        <w:textAlignment w:val="auto"/>
        <w:rPr>
          <w:rFonts w:hint="eastAsia" w:eastAsia="宋体"/>
          <w:b/>
          <w:bCs w:val="0"/>
          <w:color w:val="000000" w:themeColor="text1"/>
          <w:sz w:val="24"/>
          <w:lang w:val="en-US" w:eastAsia="zh-CN"/>
          <w14:textFill>
            <w14:solidFill>
              <w14:schemeClr w14:val="tx1"/>
            </w14:solidFill>
          </w14:textFill>
        </w:rPr>
      </w:pPr>
      <w:r>
        <w:rPr>
          <w:rFonts w:hint="eastAsia" w:eastAsia="宋体"/>
          <w:b/>
          <w:bCs w:val="0"/>
          <w:color w:val="000000" w:themeColor="text1"/>
          <w:sz w:val="24"/>
          <w:lang w:val="en-US" w:eastAsia="zh-CN"/>
          <w14:textFill>
            <w14:solidFill>
              <w14:schemeClr w14:val="tx1"/>
            </w14:solidFill>
          </w14:textFill>
        </w:rPr>
        <w:t>6.</w:t>
      </w:r>
      <w:r>
        <w:rPr>
          <w:rFonts w:hint="eastAsia" w:eastAsia="宋体"/>
          <w:b/>
          <w:bCs w:val="0"/>
          <w:color w:val="000000" w:themeColor="text1"/>
          <w:sz w:val="24"/>
          <w14:textFill>
            <w14:solidFill>
              <w14:schemeClr w14:val="tx1"/>
            </w14:solidFill>
          </w14:textFill>
        </w:rPr>
        <w:t>功能要求</w:t>
      </w:r>
    </w:p>
    <w:tbl>
      <w:tblPr>
        <w:tblStyle w:val="10"/>
        <w:tblW w:w="822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65"/>
        <w:gridCol w:w="3275"/>
        <w:gridCol w:w="655"/>
        <w:gridCol w:w="3534"/>
      </w:tblGrid>
      <w:tr w14:paraId="068253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765" w:type="dxa"/>
            <w:noWrap w:val="0"/>
            <w:vAlign w:val="top"/>
          </w:tcPr>
          <w:p w14:paraId="38D85BBA">
            <w:pPr>
              <w:pStyle w:val="9"/>
              <w:spacing w:before="177" w:line="241" w:lineRule="auto"/>
              <w:ind w:left="340"/>
              <w:rPr>
                <w:rFonts w:eastAsia="宋体"/>
                <w:b w:val="0"/>
                <w:color w:val="000000" w:themeColor="text1"/>
                <w:sz w:val="24"/>
                <w:szCs w:val="20"/>
                <w14:textFill>
                  <w14:solidFill>
                    <w14:schemeClr w14:val="tx1"/>
                  </w14:solidFill>
                </w14:textFill>
              </w:rPr>
            </w:pPr>
            <w:r>
              <w:rPr>
                <w:rFonts w:eastAsia="宋体"/>
                <w:b w:val="0"/>
                <w:color w:val="000000" w:themeColor="text1"/>
                <w:spacing w:val="-7"/>
                <w:sz w:val="24"/>
                <w:szCs w:val="20"/>
                <w14:textFill>
                  <w14:solidFill>
                    <w14:schemeClr w14:val="tx1"/>
                  </w14:solidFill>
                </w14:textFill>
              </w:rPr>
              <w:t>1.</w:t>
            </w:r>
          </w:p>
        </w:tc>
        <w:tc>
          <w:tcPr>
            <w:tcW w:w="3275" w:type="dxa"/>
            <w:noWrap w:val="0"/>
            <w:vAlign w:val="top"/>
          </w:tcPr>
          <w:p w14:paraId="23FE9E06">
            <w:pPr>
              <w:pStyle w:val="9"/>
              <w:spacing w:before="177" w:line="228" w:lineRule="auto"/>
              <w:ind w:left="111"/>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全集选控制运行功能</w:t>
            </w:r>
          </w:p>
        </w:tc>
        <w:tc>
          <w:tcPr>
            <w:tcW w:w="655" w:type="dxa"/>
            <w:noWrap w:val="0"/>
            <w:vAlign w:val="top"/>
          </w:tcPr>
          <w:p w14:paraId="702AEA3D">
            <w:pPr>
              <w:pStyle w:val="9"/>
              <w:spacing w:before="177" w:line="241" w:lineRule="auto"/>
              <w:ind w:left="116"/>
              <w:rPr>
                <w:rFonts w:hint="default" w:eastAsia="宋体"/>
                <w:b w:val="0"/>
                <w:color w:val="000000" w:themeColor="text1"/>
                <w:sz w:val="24"/>
                <w:szCs w:val="20"/>
                <w:lang w:val="en-US" w:eastAsia="zh-CN"/>
                <w14:textFill>
                  <w14:solidFill>
                    <w14:schemeClr w14:val="tx1"/>
                  </w14:solidFill>
                </w14:textFill>
              </w:rPr>
            </w:pPr>
            <w:r>
              <w:rPr>
                <w:rFonts w:hint="eastAsia" w:eastAsia="宋体"/>
                <w:b w:val="0"/>
                <w:color w:val="000000" w:themeColor="text1"/>
                <w:sz w:val="24"/>
                <w:szCs w:val="20"/>
                <w:lang w:val="en-US" w:eastAsia="zh-CN"/>
                <w14:textFill>
                  <w14:solidFill>
                    <w14:schemeClr w14:val="tx1"/>
                  </w14:solidFill>
                </w14:textFill>
              </w:rPr>
              <w:t>25</w:t>
            </w:r>
          </w:p>
        </w:tc>
        <w:tc>
          <w:tcPr>
            <w:tcW w:w="3534" w:type="dxa"/>
            <w:noWrap w:val="0"/>
            <w:vAlign w:val="top"/>
          </w:tcPr>
          <w:p w14:paraId="19C0940F">
            <w:pPr>
              <w:pStyle w:val="9"/>
              <w:spacing w:before="178" w:line="228" w:lineRule="auto"/>
              <w:ind w:left="113"/>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超载保护功能</w:t>
            </w:r>
          </w:p>
        </w:tc>
      </w:tr>
      <w:tr w14:paraId="1971EE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trPr>
        <w:tc>
          <w:tcPr>
            <w:tcW w:w="765" w:type="dxa"/>
            <w:noWrap w:val="0"/>
            <w:vAlign w:val="top"/>
          </w:tcPr>
          <w:p w14:paraId="3D56137E">
            <w:pPr>
              <w:pStyle w:val="9"/>
              <w:spacing w:before="172" w:line="241" w:lineRule="auto"/>
              <w:ind w:left="327"/>
              <w:rPr>
                <w:rFonts w:eastAsia="宋体"/>
                <w:b w:val="0"/>
                <w:color w:val="000000" w:themeColor="text1"/>
                <w:sz w:val="24"/>
                <w:szCs w:val="20"/>
                <w14:textFill>
                  <w14:solidFill>
                    <w14:schemeClr w14:val="tx1"/>
                  </w14:solidFill>
                </w14:textFill>
              </w:rPr>
            </w:pPr>
            <w:r>
              <w:rPr>
                <w:rFonts w:eastAsia="宋体"/>
                <w:b w:val="0"/>
                <w:color w:val="000000" w:themeColor="text1"/>
                <w:spacing w:val="-1"/>
                <w:sz w:val="24"/>
                <w:szCs w:val="20"/>
                <w14:textFill>
                  <w14:solidFill>
                    <w14:schemeClr w14:val="tx1"/>
                  </w14:solidFill>
                </w14:textFill>
              </w:rPr>
              <w:t>2.</w:t>
            </w:r>
          </w:p>
        </w:tc>
        <w:tc>
          <w:tcPr>
            <w:tcW w:w="3275" w:type="dxa"/>
            <w:noWrap w:val="0"/>
            <w:vAlign w:val="top"/>
          </w:tcPr>
          <w:p w14:paraId="66BD5915">
            <w:pPr>
              <w:pStyle w:val="9"/>
              <w:spacing w:before="172" w:line="228" w:lineRule="auto"/>
              <w:ind w:left="110"/>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超载报警功能</w:t>
            </w:r>
          </w:p>
        </w:tc>
        <w:tc>
          <w:tcPr>
            <w:tcW w:w="655" w:type="dxa"/>
            <w:shd w:val="clear" w:color="auto" w:fill="auto"/>
            <w:noWrap w:val="0"/>
            <w:vAlign w:val="top"/>
          </w:tcPr>
          <w:p w14:paraId="67F079EB">
            <w:pPr>
              <w:pStyle w:val="9"/>
              <w:spacing w:before="177" w:line="241" w:lineRule="auto"/>
              <w:ind w:left="116"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1"/>
                <w:sz w:val="24"/>
                <w:szCs w:val="20"/>
                <w14:textFill>
                  <w14:solidFill>
                    <w14:schemeClr w14:val="tx1"/>
                  </w14:solidFill>
                </w14:textFill>
              </w:rPr>
              <w:t>26</w:t>
            </w:r>
          </w:p>
        </w:tc>
        <w:tc>
          <w:tcPr>
            <w:tcW w:w="3534" w:type="dxa"/>
            <w:noWrap w:val="0"/>
            <w:vAlign w:val="top"/>
          </w:tcPr>
          <w:p w14:paraId="4C0AAD07">
            <w:pPr>
              <w:pStyle w:val="9"/>
              <w:spacing w:before="173" w:line="228" w:lineRule="auto"/>
              <w:ind w:left="113"/>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超速电气保护功能</w:t>
            </w:r>
          </w:p>
        </w:tc>
      </w:tr>
      <w:tr w14:paraId="7CB8C3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trPr>
        <w:tc>
          <w:tcPr>
            <w:tcW w:w="765" w:type="dxa"/>
            <w:noWrap w:val="0"/>
            <w:vAlign w:val="top"/>
          </w:tcPr>
          <w:p w14:paraId="482440B9">
            <w:pPr>
              <w:pStyle w:val="9"/>
              <w:spacing w:before="175" w:line="239" w:lineRule="auto"/>
              <w:ind w:left="328"/>
              <w:rPr>
                <w:rFonts w:eastAsia="宋体"/>
                <w:b w:val="0"/>
                <w:color w:val="000000" w:themeColor="text1"/>
                <w:sz w:val="24"/>
                <w:szCs w:val="20"/>
                <w14:textFill>
                  <w14:solidFill>
                    <w14:schemeClr w14:val="tx1"/>
                  </w14:solidFill>
                </w14:textFill>
              </w:rPr>
            </w:pPr>
            <w:r>
              <w:rPr>
                <w:rFonts w:eastAsia="宋体"/>
                <w:b w:val="0"/>
                <w:color w:val="000000" w:themeColor="text1"/>
                <w:spacing w:val="-2"/>
                <w:sz w:val="24"/>
                <w:szCs w:val="20"/>
                <w14:textFill>
                  <w14:solidFill>
                    <w14:schemeClr w14:val="tx1"/>
                  </w14:solidFill>
                </w14:textFill>
              </w:rPr>
              <w:t>3.</w:t>
            </w:r>
          </w:p>
        </w:tc>
        <w:tc>
          <w:tcPr>
            <w:tcW w:w="3275" w:type="dxa"/>
            <w:noWrap w:val="0"/>
            <w:vAlign w:val="top"/>
          </w:tcPr>
          <w:p w14:paraId="1D4CA41B">
            <w:pPr>
              <w:pStyle w:val="9"/>
              <w:spacing w:before="174" w:line="227" w:lineRule="auto"/>
              <w:ind w:left="110"/>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超速机械保护功能</w:t>
            </w:r>
          </w:p>
        </w:tc>
        <w:tc>
          <w:tcPr>
            <w:tcW w:w="655" w:type="dxa"/>
            <w:shd w:val="clear" w:color="auto" w:fill="auto"/>
            <w:noWrap w:val="0"/>
            <w:vAlign w:val="top"/>
          </w:tcPr>
          <w:p w14:paraId="39BDF644">
            <w:pPr>
              <w:pStyle w:val="9"/>
              <w:spacing w:before="172" w:line="241" w:lineRule="auto"/>
              <w:ind w:left="116"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1"/>
                <w:sz w:val="24"/>
                <w:szCs w:val="20"/>
                <w14:textFill>
                  <w14:solidFill>
                    <w14:schemeClr w14:val="tx1"/>
                  </w14:solidFill>
                </w14:textFill>
              </w:rPr>
              <w:t>27</w:t>
            </w:r>
          </w:p>
        </w:tc>
        <w:tc>
          <w:tcPr>
            <w:tcW w:w="3534" w:type="dxa"/>
            <w:noWrap w:val="0"/>
            <w:vAlign w:val="top"/>
          </w:tcPr>
          <w:p w14:paraId="111EFED1">
            <w:pPr>
              <w:pStyle w:val="9"/>
              <w:spacing w:before="174" w:line="227" w:lineRule="auto"/>
              <w:ind w:left="116"/>
              <w:rPr>
                <w:rFonts w:eastAsia="宋体"/>
                <w:b w:val="0"/>
                <w:color w:val="000000" w:themeColor="text1"/>
                <w:sz w:val="24"/>
                <w:szCs w:val="20"/>
                <w14:textFill>
                  <w14:solidFill>
                    <w14:schemeClr w14:val="tx1"/>
                  </w14:solidFill>
                </w14:textFill>
              </w:rPr>
            </w:pPr>
            <w:r>
              <w:rPr>
                <w:rFonts w:eastAsia="宋体"/>
                <w:b w:val="0"/>
                <w:color w:val="000000" w:themeColor="text1"/>
                <w:spacing w:val="7"/>
                <w:sz w:val="24"/>
                <w:szCs w:val="20"/>
                <w14:textFill>
                  <w14:solidFill>
                    <w14:schemeClr w14:val="tx1"/>
                  </w14:solidFill>
                </w14:textFill>
              </w:rPr>
              <w:t>光幕保护功能</w:t>
            </w:r>
          </w:p>
        </w:tc>
      </w:tr>
      <w:tr w14:paraId="0D009B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trPr>
        <w:tc>
          <w:tcPr>
            <w:tcW w:w="765" w:type="dxa"/>
            <w:noWrap w:val="0"/>
            <w:vAlign w:val="top"/>
          </w:tcPr>
          <w:p w14:paraId="765AA350">
            <w:pPr>
              <w:pStyle w:val="9"/>
              <w:spacing w:before="175" w:line="239" w:lineRule="auto"/>
              <w:ind w:left="323"/>
              <w:rPr>
                <w:rFonts w:eastAsia="宋体"/>
                <w:b w:val="0"/>
                <w:color w:val="000000" w:themeColor="text1"/>
                <w:sz w:val="24"/>
                <w:szCs w:val="20"/>
                <w14:textFill>
                  <w14:solidFill>
                    <w14:schemeClr w14:val="tx1"/>
                  </w14:solidFill>
                </w14:textFill>
              </w:rPr>
            </w:pPr>
            <w:r>
              <w:rPr>
                <w:rFonts w:eastAsia="宋体"/>
                <w:b w:val="0"/>
                <w:color w:val="000000" w:themeColor="text1"/>
                <w:spacing w:val="1"/>
                <w:sz w:val="24"/>
                <w:szCs w:val="20"/>
                <w14:textFill>
                  <w14:solidFill>
                    <w14:schemeClr w14:val="tx1"/>
                  </w14:solidFill>
                </w14:textFill>
              </w:rPr>
              <w:t>4.</w:t>
            </w:r>
          </w:p>
        </w:tc>
        <w:tc>
          <w:tcPr>
            <w:tcW w:w="3275" w:type="dxa"/>
            <w:noWrap w:val="0"/>
            <w:vAlign w:val="top"/>
          </w:tcPr>
          <w:p w14:paraId="00BB59B7">
            <w:pPr>
              <w:pStyle w:val="9"/>
              <w:spacing w:before="175" w:line="228" w:lineRule="auto"/>
              <w:ind w:left="135"/>
              <w:rPr>
                <w:rFonts w:eastAsia="宋体"/>
                <w:b w:val="0"/>
                <w:color w:val="000000" w:themeColor="text1"/>
                <w:sz w:val="24"/>
                <w:szCs w:val="20"/>
                <w14:textFill>
                  <w14:solidFill>
                    <w14:schemeClr w14:val="tx1"/>
                  </w14:solidFill>
                </w14:textFill>
              </w:rPr>
            </w:pPr>
            <w:r>
              <w:rPr>
                <w:rFonts w:eastAsia="宋体"/>
                <w:b w:val="0"/>
                <w:color w:val="000000" w:themeColor="text1"/>
                <w:spacing w:val="5"/>
                <w:sz w:val="24"/>
                <w:szCs w:val="20"/>
                <w14:textFill>
                  <w14:solidFill>
                    <w14:schemeClr w14:val="tx1"/>
                  </w14:solidFill>
                </w14:textFill>
              </w:rPr>
              <w:t>门过载保护功能</w:t>
            </w:r>
          </w:p>
        </w:tc>
        <w:tc>
          <w:tcPr>
            <w:tcW w:w="655" w:type="dxa"/>
            <w:shd w:val="clear" w:color="auto" w:fill="auto"/>
            <w:noWrap w:val="0"/>
            <w:vAlign w:val="top"/>
          </w:tcPr>
          <w:p w14:paraId="0C34296B">
            <w:pPr>
              <w:pStyle w:val="9"/>
              <w:spacing w:before="175" w:line="239" w:lineRule="auto"/>
              <w:ind w:left="116"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1"/>
                <w:sz w:val="24"/>
                <w:szCs w:val="20"/>
                <w14:textFill>
                  <w14:solidFill>
                    <w14:schemeClr w14:val="tx1"/>
                  </w14:solidFill>
                </w14:textFill>
              </w:rPr>
              <w:t>28</w:t>
            </w:r>
          </w:p>
        </w:tc>
        <w:tc>
          <w:tcPr>
            <w:tcW w:w="3534" w:type="dxa"/>
            <w:noWrap w:val="0"/>
            <w:vAlign w:val="top"/>
          </w:tcPr>
          <w:p w14:paraId="06C1B296">
            <w:pPr>
              <w:pStyle w:val="9"/>
              <w:spacing w:before="175" w:line="228" w:lineRule="auto"/>
              <w:ind w:left="115"/>
              <w:rPr>
                <w:rFonts w:eastAsia="宋体"/>
                <w:b w:val="0"/>
                <w:color w:val="000000" w:themeColor="text1"/>
                <w:sz w:val="24"/>
                <w:szCs w:val="20"/>
                <w14:textFill>
                  <w14:solidFill>
                    <w14:schemeClr w14:val="tx1"/>
                  </w14:solidFill>
                </w14:textFill>
              </w:rPr>
            </w:pPr>
            <w:r>
              <w:rPr>
                <w:rFonts w:eastAsia="宋体"/>
                <w:b w:val="0"/>
                <w:color w:val="000000" w:themeColor="text1"/>
                <w:spacing w:val="9"/>
                <w:sz w:val="24"/>
                <w:szCs w:val="20"/>
                <w14:textFill>
                  <w14:solidFill>
                    <w14:schemeClr w14:val="tx1"/>
                  </w14:solidFill>
                </w14:textFill>
              </w:rPr>
              <w:t>开关门时间超常保护功能</w:t>
            </w:r>
          </w:p>
        </w:tc>
      </w:tr>
      <w:tr w14:paraId="7DF491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trPr>
        <w:tc>
          <w:tcPr>
            <w:tcW w:w="765" w:type="dxa"/>
            <w:noWrap w:val="0"/>
            <w:vAlign w:val="top"/>
          </w:tcPr>
          <w:p w14:paraId="77205F02">
            <w:pPr>
              <w:pStyle w:val="9"/>
              <w:spacing w:before="177" w:line="237" w:lineRule="auto"/>
              <w:ind w:left="328"/>
              <w:rPr>
                <w:rFonts w:eastAsia="宋体"/>
                <w:b w:val="0"/>
                <w:color w:val="000000" w:themeColor="text1"/>
                <w:sz w:val="24"/>
                <w:szCs w:val="20"/>
                <w14:textFill>
                  <w14:solidFill>
                    <w14:schemeClr w14:val="tx1"/>
                  </w14:solidFill>
                </w14:textFill>
              </w:rPr>
            </w:pPr>
            <w:r>
              <w:rPr>
                <w:rFonts w:eastAsia="宋体"/>
                <w:b w:val="0"/>
                <w:color w:val="000000" w:themeColor="text1"/>
                <w:spacing w:val="-2"/>
                <w:sz w:val="24"/>
                <w:szCs w:val="20"/>
                <w14:textFill>
                  <w14:solidFill>
                    <w14:schemeClr w14:val="tx1"/>
                  </w14:solidFill>
                </w14:textFill>
              </w:rPr>
              <w:t>5.</w:t>
            </w:r>
          </w:p>
        </w:tc>
        <w:tc>
          <w:tcPr>
            <w:tcW w:w="3275" w:type="dxa"/>
            <w:noWrap w:val="0"/>
            <w:vAlign w:val="top"/>
          </w:tcPr>
          <w:p w14:paraId="5E44C5C8">
            <w:pPr>
              <w:pStyle w:val="9"/>
              <w:spacing w:before="176" w:line="228" w:lineRule="auto"/>
              <w:ind w:left="112"/>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开门异常自动选层功能</w:t>
            </w:r>
          </w:p>
        </w:tc>
        <w:tc>
          <w:tcPr>
            <w:tcW w:w="655" w:type="dxa"/>
            <w:shd w:val="clear" w:color="auto" w:fill="auto"/>
            <w:noWrap w:val="0"/>
            <w:vAlign w:val="top"/>
          </w:tcPr>
          <w:p w14:paraId="2BDC5281">
            <w:pPr>
              <w:pStyle w:val="9"/>
              <w:spacing w:before="175" w:line="239" w:lineRule="auto"/>
              <w:ind w:left="116"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1"/>
                <w:sz w:val="24"/>
                <w:szCs w:val="20"/>
                <w14:textFill>
                  <w14:solidFill>
                    <w14:schemeClr w14:val="tx1"/>
                  </w14:solidFill>
                </w14:textFill>
              </w:rPr>
              <w:t>29</w:t>
            </w:r>
          </w:p>
        </w:tc>
        <w:tc>
          <w:tcPr>
            <w:tcW w:w="3534" w:type="dxa"/>
            <w:noWrap w:val="0"/>
            <w:vAlign w:val="top"/>
          </w:tcPr>
          <w:p w14:paraId="4323AD5D">
            <w:pPr>
              <w:pStyle w:val="9"/>
              <w:spacing w:before="176" w:line="227" w:lineRule="auto"/>
              <w:ind w:left="139"/>
              <w:rPr>
                <w:rFonts w:eastAsia="宋体"/>
                <w:b w:val="0"/>
                <w:color w:val="000000" w:themeColor="text1"/>
                <w:sz w:val="24"/>
                <w:szCs w:val="20"/>
                <w14:textFill>
                  <w14:solidFill>
                    <w14:schemeClr w14:val="tx1"/>
                  </w14:solidFill>
                </w14:textFill>
              </w:rPr>
            </w:pPr>
            <w:r>
              <w:rPr>
                <w:rFonts w:eastAsia="宋体"/>
                <w:b w:val="0"/>
                <w:color w:val="000000" w:themeColor="text1"/>
                <w:spacing w:val="6"/>
                <w:sz w:val="24"/>
                <w:szCs w:val="20"/>
                <w14:textFill>
                  <w14:solidFill>
                    <w14:schemeClr w14:val="tx1"/>
                  </w14:solidFill>
                </w14:textFill>
              </w:rPr>
              <w:t>电动机空转保护功能</w:t>
            </w:r>
          </w:p>
        </w:tc>
      </w:tr>
      <w:tr w14:paraId="34EB13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570B1E04">
            <w:pPr>
              <w:pStyle w:val="9"/>
              <w:spacing w:before="177" w:line="238" w:lineRule="auto"/>
              <w:ind w:left="326"/>
              <w:rPr>
                <w:rFonts w:eastAsia="宋体"/>
                <w:b w:val="0"/>
                <w:color w:val="000000" w:themeColor="text1"/>
                <w:sz w:val="24"/>
                <w:szCs w:val="20"/>
                <w14:textFill>
                  <w14:solidFill>
                    <w14:schemeClr w14:val="tx1"/>
                  </w14:solidFill>
                </w14:textFill>
              </w:rPr>
            </w:pPr>
            <w:r>
              <w:rPr>
                <w:rFonts w:eastAsia="宋体"/>
                <w:b w:val="0"/>
                <w:color w:val="000000" w:themeColor="text1"/>
                <w:sz w:val="24"/>
                <w:szCs w:val="20"/>
                <w14:textFill>
                  <w14:solidFill>
                    <w14:schemeClr w14:val="tx1"/>
                  </w14:solidFill>
                </w14:textFill>
              </w:rPr>
              <w:t>6.</w:t>
            </w:r>
          </w:p>
        </w:tc>
        <w:tc>
          <w:tcPr>
            <w:tcW w:w="3275" w:type="dxa"/>
            <w:noWrap w:val="0"/>
            <w:vAlign w:val="top"/>
          </w:tcPr>
          <w:p w14:paraId="41F11552">
            <w:pPr>
              <w:pStyle w:val="9"/>
              <w:spacing w:before="176" w:line="227" w:lineRule="auto"/>
              <w:ind w:left="136"/>
              <w:rPr>
                <w:rFonts w:eastAsia="宋体"/>
                <w:b w:val="0"/>
                <w:color w:val="000000" w:themeColor="text1"/>
                <w:sz w:val="24"/>
                <w:szCs w:val="20"/>
                <w14:textFill>
                  <w14:solidFill>
                    <w14:schemeClr w14:val="tx1"/>
                  </w14:solidFill>
                </w14:textFill>
              </w:rPr>
            </w:pPr>
            <w:r>
              <w:rPr>
                <w:rFonts w:eastAsia="宋体"/>
                <w:b w:val="0"/>
                <w:color w:val="000000" w:themeColor="text1"/>
                <w:spacing w:val="5"/>
                <w:sz w:val="24"/>
                <w:szCs w:val="20"/>
                <w14:textFill>
                  <w14:solidFill>
                    <w14:schemeClr w14:val="tx1"/>
                  </w14:solidFill>
                </w14:textFill>
              </w:rPr>
              <w:t>电动机过载保护</w:t>
            </w:r>
          </w:p>
        </w:tc>
        <w:tc>
          <w:tcPr>
            <w:tcW w:w="655" w:type="dxa"/>
            <w:shd w:val="clear" w:color="auto" w:fill="auto"/>
            <w:noWrap w:val="0"/>
            <w:vAlign w:val="top"/>
          </w:tcPr>
          <w:p w14:paraId="06DD45BB">
            <w:pPr>
              <w:pStyle w:val="9"/>
              <w:spacing w:before="177" w:line="237" w:lineRule="auto"/>
              <w:ind w:left="117"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2"/>
                <w:sz w:val="24"/>
                <w:szCs w:val="20"/>
                <w14:textFill>
                  <w14:solidFill>
                    <w14:schemeClr w14:val="tx1"/>
                  </w14:solidFill>
                </w14:textFill>
              </w:rPr>
              <w:t>30</w:t>
            </w:r>
          </w:p>
        </w:tc>
        <w:tc>
          <w:tcPr>
            <w:tcW w:w="3534" w:type="dxa"/>
            <w:noWrap w:val="0"/>
            <w:vAlign w:val="top"/>
          </w:tcPr>
          <w:p w14:paraId="09B5189A">
            <w:pPr>
              <w:pStyle w:val="9"/>
              <w:spacing w:before="176" w:line="228" w:lineRule="auto"/>
              <w:ind w:left="120"/>
              <w:rPr>
                <w:rFonts w:eastAsia="宋体"/>
                <w:b w:val="0"/>
                <w:color w:val="000000" w:themeColor="text1"/>
                <w:sz w:val="24"/>
                <w:szCs w:val="20"/>
                <w14:textFill>
                  <w14:solidFill>
                    <w14:schemeClr w14:val="tx1"/>
                  </w14:solidFill>
                </w14:textFill>
              </w:rPr>
            </w:pPr>
            <w:r>
              <w:rPr>
                <w:rFonts w:eastAsia="宋体"/>
                <w:b w:val="0"/>
                <w:color w:val="000000" w:themeColor="text1"/>
                <w:spacing w:val="7"/>
                <w:sz w:val="24"/>
                <w:szCs w:val="20"/>
                <w14:textFill>
                  <w14:solidFill>
                    <w14:schemeClr w14:val="tx1"/>
                  </w14:solidFill>
                </w14:textFill>
              </w:rPr>
              <w:t>泊梯功能（泊梯层：可选）</w:t>
            </w:r>
          </w:p>
        </w:tc>
      </w:tr>
      <w:tr w14:paraId="5C65EC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6800D3C4">
            <w:pPr>
              <w:pStyle w:val="9"/>
              <w:spacing w:before="178" w:line="237" w:lineRule="auto"/>
              <w:ind w:left="329"/>
              <w:rPr>
                <w:rFonts w:eastAsia="宋体"/>
                <w:b w:val="0"/>
                <w:color w:val="000000" w:themeColor="text1"/>
                <w:sz w:val="24"/>
                <w:szCs w:val="20"/>
                <w14:textFill>
                  <w14:solidFill>
                    <w14:schemeClr w14:val="tx1"/>
                  </w14:solidFill>
                </w14:textFill>
              </w:rPr>
            </w:pPr>
            <w:r>
              <w:rPr>
                <w:rFonts w:eastAsia="宋体"/>
                <w:b w:val="0"/>
                <w:color w:val="000000" w:themeColor="text1"/>
                <w:spacing w:val="-2"/>
                <w:sz w:val="24"/>
                <w:szCs w:val="20"/>
                <w14:textFill>
                  <w14:solidFill>
                    <w14:schemeClr w14:val="tx1"/>
                  </w14:solidFill>
                </w14:textFill>
              </w:rPr>
              <w:t>7.</w:t>
            </w:r>
          </w:p>
        </w:tc>
        <w:tc>
          <w:tcPr>
            <w:tcW w:w="3275" w:type="dxa"/>
            <w:noWrap w:val="0"/>
            <w:vAlign w:val="top"/>
          </w:tcPr>
          <w:p w14:paraId="626E8B30">
            <w:pPr>
              <w:pStyle w:val="9"/>
              <w:spacing w:before="177" w:line="227" w:lineRule="auto"/>
              <w:ind w:left="110"/>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对讲机通讯功能</w:t>
            </w:r>
          </w:p>
        </w:tc>
        <w:tc>
          <w:tcPr>
            <w:tcW w:w="655" w:type="dxa"/>
            <w:shd w:val="clear" w:color="auto" w:fill="auto"/>
            <w:noWrap w:val="0"/>
            <w:vAlign w:val="top"/>
          </w:tcPr>
          <w:p w14:paraId="3845A5BB">
            <w:pPr>
              <w:pStyle w:val="9"/>
              <w:spacing w:before="177" w:line="238" w:lineRule="auto"/>
              <w:ind w:left="117"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2"/>
                <w:sz w:val="24"/>
                <w:szCs w:val="20"/>
                <w14:textFill>
                  <w14:solidFill>
                    <w14:schemeClr w14:val="tx1"/>
                  </w14:solidFill>
                </w14:textFill>
              </w:rPr>
              <w:t>31</w:t>
            </w:r>
          </w:p>
        </w:tc>
        <w:tc>
          <w:tcPr>
            <w:tcW w:w="3534" w:type="dxa"/>
            <w:noWrap w:val="0"/>
            <w:vAlign w:val="top"/>
          </w:tcPr>
          <w:p w14:paraId="4B2498CA">
            <w:pPr>
              <w:pStyle w:val="9"/>
              <w:spacing w:before="177" w:line="228" w:lineRule="auto"/>
              <w:ind w:left="118"/>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警铃报警联络功能</w:t>
            </w:r>
          </w:p>
        </w:tc>
      </w:tr>
      <w:tr w14:paraId="359E6B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32959E9F">
            <w:pPr>
              <w:pStyle w:val="9"/>
              <w:spacing w:before="177" w:line="238" w:lineRule="auto"/>
              <w:ind w:left="325"/>
              <w:rPr>
                <w:rFonts w:eastAsia="宋体"/>
                <w:b w:val="0"/>
                <w:color w:val="000000" w:themeColor="text1"/>
                <w:sz w:val="24"/>
                <w:szCs w:val="20"/>
                <w14:textFill>
                  <w14:solidFill>
                    <w14:schemeClr w14:val="tx1"/>
                  </w14:solidFill>
                </w14:textFill>
              </w:rPr>
            </w:pPr>
            <w:r>
              <w:rPr>
                <w:rFonts w:eastAsia="宋体"/>
                <w:b w:val="0"/>
                <w:color w:val="000000" w:themeColor="text1"/>
                <w:sz w:val="24"/>
                <w:szCs w:val="20"/>
                <w14:textFill>
                  <w14:solidFill>
                    <w14:schemeClr w14:val="tx1"/>
                  </w14:solidFill>
                </w14:textFill>
              </w:rPr>
              <w:t>8.</w:t>
            </w:r>
          </w:p>
        </w:tc>
        <w:tc>
          <w:tcPr>
            <w:tcW w:w="3275" w:type="dxa"/>
            <w:noWrap w:val="0"/>
            <w:vAlign w:val="top"/>
          </w:tcPr>
          <w:p w14:paraId="0E7436A9">
            <w:pPr>
              <w:pStyle w:val="9"/>
              <w:spacing w:before="176" w:line="228" w:lineRule="auto"/>
              <w:ind w:left="110"/>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低速自救运行功能</w:t>
            </w:r>
          </w:p>
        </w:tc>
        <w:tc>
          <w:tcPr>
            <w:tcW w:w="655" w:type="dxa"/>
            <w:shd w:val="clear" w:color="auto" w:fill="auto"/>
            <w:noWrap w:val="0"/>
            <w:vAlign w:val="top"/>
          </w:tcPr>
          <w:p w14:paraId="7A6B3F79">
            <w:pPr>
              <w:pStyle w:val="9"/>
              <w:spacing w:before="178" w:line="237" w:lineRule="auto"/>
              <w:ind w:left="117"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2"/>
                <w:sz w:val="24"/>
                <w:szCs w:val="20"/>
                <w14:textFill>
                  <w14:solidFill>
                    <w14:schemeClr w14:val="tx1"/>
                  </w14:solidFill>
                </w14:textFill>
              </w:rPr>
              <w:t>32</w:t>
            </w:r>
          </w:p>
        </w:tc>
        <w:tc>
          <w:tcPr>
            <w:tcW w:w="3534" w:type="dxa"/>
            <w:noWrap w:val="0"/>
            <w:vAlign w:val="top"/>
          </w:tcPr>
          <w:p w14:paraId="38C24812">
            <w:pPr>
              <w:pStyle w:val="9"/>
              <w:spacing w:before="176" w:line="228" w:lineRule="auto"/>
              <w:ind w:left="114"/>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位置异常自动校正功能</w:t>
            </w:r>
          </w:p>
        </w:tc>
      </w:tr>
      <w:tr w14:paraId="13DF0A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2F1FEF2D">
            <w:pPr>
              <w:pStyle w:val="9"/>
              <w:spacing w:before="178" w:line="237" w:lineRule="auto"/>
              <w:ind w:left="325"/>
              <w:rPr>
                <w:rFonts w:eastAsia="宋体"/>
                <w:b w:val="0"/>
                <w:color w:val="000000" w:themeColor="text1"/>
                <w:sz w:val="24"/>
                <w:szCs w:val="20"/>
                <w14:textFill>
                  <w14:solidFill>
                    <w14:schemeClr w14:val="tx1"/>
                  </w14:solidFill>
                </w14:textFill>
              </w:rPr>
            </w:pPr>
            <w:r>
              <w:rPr>
                <w:rFonts w:eastAsia="宋体"/>
                <w:b w:val="0"/>
                <w:color w:val="000000" w:themeColor="text1"/>
                <w:sz w:val="24"/>
                <w:szCs w:val="20"/>
                <w14:textFill>
                  <w14:solidFill>
                    <w14:schemeClr w14:val="tx1"/>
                  </w14:solidFill>
                </w14:textFill>
              </w:rPr>
              <w:t>9.</w:t>
            </w:r>
          </w:p>
        </w:tc>
        <w:tc>
          <w:tcPr>
            <w:tcW w:w="3275" w:type="dxa"/>
            <w:noWrap w:val="0"/>
            <w:vAlign w:val="top"/>
          </w:tcPr>
          <w:p w14:paraId="6580F256">
            <w:pPr>
              <w:pStyle w:val="9"/>
              <w:spacing w:before="177" w:line="228" w:lineRule="auto"/>
              <w:ind w:left="112"/>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停电应急照明功能</w:t>
            </w:r>
          </w:p>
        </w:tc>
        <w:tc>
          <w:tcPr>
            <w:tcW w:w="655" w:type="dxa"/>
            <w:shd w:val="clear" w:color="auto" w:fill="auto"/>
            <w:noWrap w:val="0"/>
            <w:vAlign w:val="top"/>
          </w:tcPr>
          <w:p w14:paraId="644B2B50">
            <w:pPr>
              <w:pStyle w:val="9"/>
              <w:spacing w:before="177" w:line="238" w:lineRule="auto"/>
              <w:ind w:left="117"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2"/>
                <w:sz w:val="24"/>
                <w:szCs w:val="20"/>
                <w14:textFill>
                  <w14:solidFill>
                    <w14:schemeClr w14:val="tx1"/>
                  </w14:solidFill>
                </w14:textFill>
              </w:rPr>
              <w:t>33</w:t>
            </w:r>
          </w:p>
        </w:tc>
        <w:tc>
          <w:tcPr>
            <w:tcW w:w="3534" w:type="dxa"/>
            <w:noWrap w:val="0"/>
            <w:vAlign w:val="top"/>
          </w:tcPr>
          <w:p w14:paraId="124649D3">
            <w:pPr>
              <w:pStyle w:val="9"/>
              <w:spacing w:before="177" w:line="228" w:lineRule="auto"/>
              <w:ind w:left="114"/>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轿顶检修操作功能</w:t>
            </w:r>
          </w:p>
        </w:tc>
      </w:tr>
      <w:tr w14:paraId="47A3A4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2A5C5981">
            <w:pPr>
              <w:pStyle w:val="9"/>
              <w:spacing w:before="177" w:line="238" w:lineRule="auto"/>
              <w:ind w:left="340"/>
              <w:rPr>
                <w:rFonts w:eastAsia="宋体"/>
                <w:b w:val="0"/>
                <w:color w:val="000000" w:themeColor="text1"/>
                <w:sz w:val="24"/>
                <w:szCs w:val="20"/>
                <w14:textFill>
                  <w14:solidFill>
                    <w14:schemeClr w14:val="tx1"/>
                  </w14:solidFill>
                </w14:textFill>
              </w:rPr>
            </w:pPr>
            <w:r>
              <w:rPr>
                <w:rFonts w:eastAsia="宋体"/>
                <w:b w:val="0"/>
                <w:color w:val="000000" w:themeColor="text1"/>
                <w:spacing w:val="-3"/>
                <w:sz w:val="24"/>
                <w:szCs w:val="20"/>
                <w14:textFill>
                  <w14:solidFill>
                    <w14:schemeClr w14:val="tx1"/>
                  </w14:solidFill>
                </w14:textFill>
              </w:rPr>
              <w:t>10.</w:t>
            </w:r>
          </w:p>
        </w:tc>
        <w:tc>
          <w:tcPr>
            <w:tcW w:w="3275" w:type="dxa"/>
            <w:noWrap w:val="0"/>
            <w:vAlign w:val="top"/>
          </w:tcPr>
          <w:p w14:paraId="0997385F">
            <w:pPr>
              <w:pStyle w:val="9"/>
              <w:spacing w:before="176" w:line="228" w:lineRule="auto"/>
              <w:ind w:left="117"/>
              <w:rPr>
                <w:rFonts w:eastAsia="宋体"/>
                <w:b w:val="0"/>
                <w:color w:val="000000" w:themeColor="text1"/>
                <w:sz w:val="24"/>
                <w:szCs w:val="20"/>
                <w14:textFill>
                  <w14:solidFill>
                    <w14:schemeClr w14:val="tx1"/>
                  </w14:solidFill>
                </w14:textFill>
              </w:rPr>
            </w:pPr>
            <w:r>
              <w:rPr>
                <w:rFonts w:eastAsia="宋体"/>
                <w:b w:val="0"/>
                <w:color w:val="000000" w:themeColor="text1"/>
                <w:spacing w:val="7"/>
                <w:sz w:val="24"/>
                <w:szCs w:val="20"/>
                <w14:textFill>
                  <w14:solidFill>
                    <w14:schemeClr w14:val="tx1"/>
                  </w14:solidFill>
                </w14:textFill>
              </w:rPr>
              <w:t>紧急电动运行</w:t>
            </w:r>
          </w:p>
        </w:tc>
        <w:tc>
          <w:tcPr>
            <w:tcW w:w="655" w:type="dxa"/>
            <w:shd w:val="clear" w:color="auto" w:fill="auto"/>
            <w:noWrap w:val="0"/>
            <w:vAlign w:val="top"/>
          </w:tcPr>
          <w:p w14:paraId="68658673">
            <w:pPr>
              <w:pStyle w:val="9"/>
              <w:spacing w:before="178" w:line="237" w:lineRule="auto"/>
              <w:ind w:left="117"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2"/>
                <w:sz w:val="24"/>
                <w:szCs w:val="20"/>
                <w14:textFill>
                  <w14:solidFill>
                    <w14:schemeClr w14:val="tx1"/>
                  </w14:solidFill>
                </w14:textFill>
              </w:rPr>
              <w:t>34</w:t>
            </w:r>
          </w:p>
        </w:tc>
        <w:tc>
          <w:tcPr>
            <w:tcW w:w="3534" w:type="dxa"/>
            <w:noWrap w:val="0"/>
            <w:vAlign w:val="top"/>
          </w:tcPr>
          <w:p w14:paraId="29CCC333">
            <w:pPr>
              <w:pStyle w:val="9"/>
              <w:spacing w:before="176" w:line="227" w:lineRule="auto"/>
              <w:ind w:left="113"/>
              <w:rPr>
                <w:rFonts w:eastAsia="宋体"/>
                <w:b w:val="0"/>
                <w:color w:val="000000" w:themeColor="text1"/>
                <w:sz w:val="24"/>
                <w:szCs w:val="20"/>
                <w14:textFill>
                  <w14:solidFill>
                    <w14:schemeClr w14:val="tx1"/>
                  </w14:solidFill>
                </w14:textFill>
              </w:rPr>
            </w:pPr>
            <w:r>
              <w:rPr>
                <w:rFonts w:eastAsia="宋体"/>
                <w:b w:val="0"/>
                <w:color w:val="000000" w:themeColor="text1"/>
                <w:spacing w:val="9"/>
                <w:sz w:val="24"/>
                <w:szCs w:val="20"/>
                <w14:textFill>
                  <w14:solidFill>
                    <w14:schemeClr w14:val="tx1"/>
                  </w14:solidFill>
                </w14:textFill>
              </w:rPr>
              <w:t>机房内紧急电动操作功能</w:t>
            </w:r>
          </w:p>
        </w:tc>
      </w:tr>
      <w:tr w14:paraId="6D6B48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75109CF3">
            <w:pPr>
              <w:pStyle w:val="9"/>
              <w:spacing w:before="178" w:line="237" w:lineRule="auto"/>
              <w:ind w:left="340"/>
              <w:rPr>
                <w:rFonts w:eastAsia="宋体"/>
                <w:b w:val="0"/>
                <w:color w:val="000000" w:themeColor="text1"/>
                <w:sz w:val="24"/>
                <w:szCs w:val="20"/>
                <w14:textFill>
                  <w14:solidFill>
                    <w14:schemeClr w14:val="tx1"/>
                  </w14:solidFill>
                </w14:textFill>
              </w:rPr>
            </w:pPr>
            <w:r>
              <w:rPr>
                <w:rFonts w:eastAsia="宋体"/>
                <w:b w:val="0"/>
                <w:color w:val="000000" w:themeColor="text1"/>
                <w:spacing w:val="-3"/>
                <w:sz w:val="24"/>
                <w:szCs w:val="20"/>
                <w14:textFill>
                  <w14:solidFill>
                    <w14:schemeClr w14:val="tx1"/>
                  </w14:solidFill>
                </w14:textFill>
              </w:rPr>
              <w:t>11.</w:t>
            </w:r>
          </w:p>
        </w:tc>
        <w:tc>
          <w:tcPr>
            <w:tcW w:w="3275" w:type="dxa"/>
            <w:noWrap w:val="0"/>
            <w:vAlign w:val="top"/>
          </w:tcPr>
          <w:p w14:paraId="20BBF634">
            <w:pPr>
              <w:pStyle w:val="9"/>
              <w:spacing w:before="178" w:line="228" w:lineRule="auto"/>
              <w:ind w:left="112"/>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开门时间自动调整功能</w:t>
            </w:r>
          </w:p>
        </w:tc>
        <w:tc>
          <w:tcPr>
            <w:tcW w:w="655" w:type="dxa"/>
            <w:shd w:val="clear" w:color="auto" w:fill="auto"/>
            <w:noWrap w:val="0"/>
            <w:vAlign w:val="top"/>
          </w:tcPr>
          <w:p w14:paraId="72306823">
            <w:pPr>
              <w:pStyle w:val="9"/>
              <w:spacing w:before="177" w:line="238" w:lineRule="auto"/>
              <w:ind w:left="117"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2"/>
                <w:sz w:val="24"/>
                <w:szCs w:val="20"/>
                <w14:textFill>
                  <w14:solidFill>
                    <w14:schemeClr w14:val="tx1"/>
                  </w14:solidFill>
                </w14:textFill>
              </w:rPr>
              <w:t>35</w:t>
            </w:r>
          </w:p>
        </w:tc>
        <w:tc>
          <w:tcPr>
            <w:tcW w:w="3534" w:type="dxa"/>
            <w:noWrap w:val="0"/>
            <w:vAlign w:val="top"/>
          </w:tcPr>
          <w:p w14:paraId="67956366">
            <w:pPr>
              <w:pStyle w:val="9"/>
              <w:spacing w:before="177" w:line="228" w:lineRule="auto"/>
              <w:ind w:left="114"/>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满载直驶运行功能</w:t>
            </w:r>
          </w:p>
        </w:tc>
      </w:tr>
      <w:tr w14:paraId="2A254E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3CEC5AC7">
            <w:pPr>
              <w:pStyle w:val="9"/>
              <w:spacing w:before="177" w:line="238" w:lineRule="auto"/>
              <w:ind w:left="340"/>
              <w:rPr>
                <w:rFonts w:eastAsia="宋体"/>
                <w:b w:val="0"/>
                <w:color w:val="000000" w:themeColor="text1"/>
                <w:sz w:val="24"/>
                <w:szCs w:val="20"/>
                <w14:textFill>
                  <w14:solidFill>
                    <w14:schemeClr w14:val="tx1"/>
                  </w14:solidFill>
                </w14:textFill>
              </w:rPr>
            </w:pPr>
            <w:r>
              <w:rPr>
                <w:rFonts w:eastAsia="宋体"/>
                <w:b w:val="0"/>
                <w:color w:val="000000" w:themeColor="text1"/>
                <w:spacing w:val="-3"/>
                <w:sz w:val="24"/>
                <w:szCs w:val="20"/>
                <w14:textFill>
                  <w14:solidFill>
                    <w14:schemeClr w14:val="tx1"/>
                  </w14:solidFill>
                </w14:textFill>
              </w:rPr>
              <w:t>12.</w:t>
            </w:r>
          </w:p>
        </w:tc>
        <w:tc>
          <w:tcPr>
            <w:tcW w:w="3275" w:type="dxa"/>
            <w:noWrap w:val="0"/>
            <w:vAlign w:val="top"/>
          </w:tcPr>
          <w:p w14:paraId="61030DD5">
            <w:pPr>
              <w:pStyle w:val="9"/>
              <w:spacing w:before="176" w:line="228" w:lineRule="auto"/>
              <w:ind w:left="111"/>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运行次数显示功能</w:t>
            </w:r>
          </w:p>
        </w:tc>
        <w:tc>
          <w:tcPr>
            <w:tcW w:w="655" w:type="dxa"/>
            <w:shd w:val="clear" w:color="auto" w:fill="auto"/>
            <w:noWrap w:val="0"/>
            <w:vAlign w:val="top"/>
          </w:tcPr>
          <w:p w14:paraId="32CB7EBC">
            <w:pPr>
              <w:pStyle w:val="9"/>
              <w:spacing w:before="178" w:line="237" w:lineRule="auto"/>
              <w:ind w:left="117"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2"/>
                <w:sz w:val="24"/>
                <w:szCs w:val="20"/>
                <w14:textFill>
                  <w14:solidFill>
                    <w14:schemeClr w14:val="tx1"/>
                  </w14:solidFill>
                </w14:textFill>
              </w:rPr>
              <w:t>36</w:t>
            </w:r>
          </w:p>
        </w:tc>
        <w:tc>
          <w:tcPr>
            <w:tcW w:w="3534" w:type="dxa"/>
            <w:noWrap w:val="0"/>
            <w:vAlign w:val="top"/>
          </w:tcPr>
          <w:p w14:paraId="5A782DCC">
            <w:pPr>
              <w:pStyle w:val="9"/>
              <w:spacing w:before="176" w:line="227" w:lineRule="auto"/>
              <w:ind w:left="115"/>
              <w:rPr>
                <w:rFonts w:eastAsia="宋体"/>
                <w:b w:val="0"/>
                <w:color w:val="000000" w:themeColor="text1"/>
                <w:sz w:val="24"/>
                <w:szCs w:val="20"/>
                <w14:textFill>
                  <w14:solidFill>
                    <w14:schemeClr w14:val="tx1"/>
                  </w14:solidFill>
                </w14:textFill>
              </w:rPr>
            </w:pPr>
            <w:r>
              <w:rPr>
                <w:rFonts w:eastAsia="宋体"/>
                <w:b w:val="0"/>
                <w:color w:val="000000" w:themeColor="text1"/>
                <w:spacing w:val="9"/>
                <w:sz w:val="24"/>
                <w:szCs w:val="20"/>
                <w14:textFill>
                  <w14:solidFill>
                    <w14:schemeClr w14:val="tx1"/>
                  </w14:solidFill>
                </w14:textFill>
              </w:rPr>
              <w:t>反向内指令自动消除功能</w:t>
            </w:r>
          </w:p>
        </w:tc>
      </w:tr>
      <w:tr w14:paraId="7B2192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61119797">
            <w:pPr>
              <w:pStyle w:val="9"/>
              <w:spacing w:before="178" w:line="237" w:lineRule="auto"/>
              <w:ind w:left="340"/>
              <w:rPr>
                <w:rFonts w:eastAsia="宋体"/>
                <w:b w:val="0"/>
                <w:color w:val="000000" w:themeColor="text1"/>
                <w:sz w:val="24"/>
                <w:szCs w:val="20"/>
                <w14:textFill>
                  <w14:solidFill>
                    <w14:schemeClr w14:val="tx1"/>
                  </w14:solidFill>
                </w14:textFill>
              </w:rPr>
            </w:pPr>
            <w:r>
              <w:rPr>
                <w:rFonts w:eastAsia="宋体"/>
                <w:b w:val="0"/>
                <w:color w:val="000000" w:themeColor="text1"/>
                <w:spacing w:val="-3"/>
                <w:sz w:val="24"/>
                <w:szCs w:val="20"/>
                <w14:textFill>
                  <w14:solidFill>
                    <w14:schemeClr w14:val="tx1"/>
                  </w14:solidFill>
                </w14:textFill>
              </w:rPr>
              <w:t>13.</w:t>
            </w:r>
          </w:p>
        </w:tc>
        <w:tc>
          <w:tcPr>
            <w:tcW w:w="3275" w:type="dxa"/>
            <w:noWrap w:val="0"/>
            <w:vAlign w:val="top"/>
          </w:tcPr>
          <w:p w14:paraId="36C2400D">
            <w:pPr>
              <w:pStyle w:val="9"/>
              <w:spacing w:before="177" w:line="228" w:lineRule="auto"/>
              <w:ind w:left="111"/>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轿内通风自动控制功能</w:t>
            </w:r>
          </w:p>
        </w:tc>
        <w:tc>
          <w:tcPr>
            <w:tcW w:w="655" w:type="dxa"/>
            <w:shd w:val="clear" w:color="auto" w:fill="auto"/>
            <w:noWrap w:val="0"/>
            <w:vAlign w:val="top"/>
          </w:tcPr>
          <w:p w14:paraId="03D60DE9">
            <w:pPr>
              <w:pStyle w:val="9"/>
              <w:spacing w:before="177" w:line="238" w:lineRule="auto"/>
              <w:ind w:left="117"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2"/>
                <w:sz w:val="24"/>
                <w:szCs w:val="20"/>
                <w14:textFill>
                  <w14:solidFill>
                    <w14:schemeClr w14:val="tx1"/>
                  </w14:solidFill>
                </w14:textFill>
              </w:rPr>
              <w:t>37</w:t>
            </w:r>
          </w:p>
        </w:tc>
        <w:tc>
          <w:tcPr>
            <w:tcW w:w="3534" w:type="dxa"/>
            <w:noWrap w:val="0"/>
            <w:vAlign w:val="top"/>
          </w:tcPr>
          <w:p w14:paraId="1B19D8FC">
            <w:pPr>
              <w:pStyle w:val="9"/>
              <w:spacing w:before="178" w:line="228" w:lineRule="auto"/>
              <w:ind w:left="115"/>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开门时间自动控制功能</w:t>
            </w:r>
          </w:p>
        </w:tc>
      </w:tr>
      <w:tr w14:paraId="36465F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1CF06637">
            <w:pPr>
              <w:pStyle w:val="9"/>
              <w:spacing w:before="177" w:line="238" w:lineRule="auto"/>
              <w:ind w:left="340"/>
              <w:rPr>
                <w:rFonts w:eastAsia="宋体"/>
                <w:b w:val="0"/>
                <w:color w:val="000000" w:themeColor="text1"/>
                <w:sz w:val="24"/>
                <w:szCs w:val="20"/>
                <w14:textFill>
                  <w14:solidFill>
                    <w14:schemeClr w14:val="tx1"/>
                  </w14:solidFill>
                </w14:textFill>
              </w:rPr>
            </w:pPr>
            <w:r>
              <w:rPr>
                <w:rFonts w:eastAsia="宋体"/>
                <w:b w:val="0"/>
                <w:color w:val="000000" w:themeColor="text1"/>
                <w:spacing w:val="-3"/>
                <w:sz w:val="24"/>
                <w:szCs w:val="20"/>
                <w14:textFill>
                  <w14:solidFill>
                    <w14:schemeClr w14:val="tx1"/>
                  </w14:solidFill>
                </w14:textFill>
              </w:rPr>
              <w:t>14.</w:t>
            </w:r>
          </w:p>
        </w:tc>
        <w:tc>
          <w:tcPr>
            <w:tcW w:w="3275" w:type="dxa"/>
            <w:noWrap w:val="0"/>
            <w:vAlign w:val="top"/>
          </w:tcPr>
          <w:p w14:paraId="1E4667EC">
            <w:pPr>
              <w:pStyle w:val="9"/>
              <w:spacing w:before="176" w:line="228" w:lineRule="auto"/>
              <w:ind w:left="115"/>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故障自动存储功能</w:t>
            </w:r>
          </w:p>
        </w:tc>
        <w:tc>
          <w:tcPr>
            <w:tcW w:w="655" w:type="dxa"/>
            <w:shd w:val="clear" w:color="auto" w:fill="auto"/>
            <w:noWrap w:val="0"/>
            <w:vAlign w:val="top"/>
          </w:tcPr>
          <w:p w14:paraId="7FC0C3AB">
            <w:pPr>
              <w:pStyle w:val="9"/>
              <w:spacing w:before="178" w:line="237" w:lineRule="auto"/>
              <w:ind w:left="117"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2"/>
                <w:sz w:val="24"/>
                <w:szCs w:val="20"/>
                <w14:textFill>
                  <w14:solidFill>
                    <w14:schemeClr w14:val="tx1"/>
                  </w14:solidFill>
                </w14:textFill>
              </w:rPr>
              <w:t>38</w:t>
            </w:r>
          </w:p>
        </w:tc>
        <w:tc>
          <w:tcPr>
            <w:tcW w:w="3534" w:type="dxa"/>
            <w:noWrap w:val="0"/>
            <w:vAlign w:val="top"/>
          </w:tcPr>
          <w:p w14:paraId="01201B0D">
            <w:pPr>
              <w:pStyle w:val="9"/>
              <w:spacing w:before="176" w:line="228" w:lineRule="auto"/>
              <w:ind w:left="114"/>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轿内照明自动控制功能</w:t>
            </w:r>
          </w:p>
        </w:tc>
      </w:tr>
      <w:tr w14:paraId="3891A9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396E5010">
            <w:pPr>
              <w:pStyle w:val="9"/>
              <w:spacing w:before="178" w:line="237" w:lineRule="auto"/>
              <w:ind w:left="340"/>
              <w:rPr>
                <w:rFonts w:eastAsia="宋体"/>
                <w:b w:val="0"/>
                <w:color w:val="000000" w:themeColor="text1"/>
                <w:sz w:val="24"/>
                <w:szCs w:val="20"/>
                <w14:textFill>
                  <w14:solidFill>
                    <w14:schemeClr w14:val="tx1"/>
                  </w14:solidFill>
                </w14:textFill>
              </w:rPr>
            </w:pPr>
            <w:r>
              <w:rPr>
                <w:rFonts w:eastAsia="宋体"/>
                <w:b w:val="0"/>
                <w:color w:val="000000" w:themeColor="text1"/>
                <w:spacing w:val="-3"/>
                <w:sz w:val="24"/>
                <w:szCs w:val="20"/>
                <w14:textFill>
                  <w14:solidFill>
                    <w14:schemeClr w14:val="tx1"/>
                  </w14:solidFill>
                </w14:textFill>
              </w:rPr>
              <w:t>15.</w:t>
            </w:r>
          </w:p>
        </w:tc>
        <w:tc>
          <w:tcPr>
            <w:tcW w:w="3275" w:type="dxa"/>
            <w:noWrap w:val="0"/>
            <w:vAlign w:val="top"/>
          </w:tcPr>
          <w:p w14:paraId="3843B234">
            <w:pPr>
              <w:pStyle w:val="9"/>
              <w:spacing w:before="177" w:line="228" w:lineRule="auto"/>
              <w:ind w:left="115"/>
              <w:rPr>
                <w:rFonts w:eastAsia="宋体"/>
                <w:b w:val="0"/>
                <w:color w:val="000000" w:themeColor="text1"/>
                <w:sz w:val="24"/>
                <w:szCs w:val="20"/>
                <w14:textFill>
                  <w14:solidFill>
                    <w14:schemeClr w14:val="tx1"/>
                  </w14:solidFill>
                </w14:textFill>
              </w:rPr>
            </w:pPr>
            <w:r>
              <w:rPr>
                <w:rFonts w:eastAsia="宋体"/>
                <w:b w:val="0"/>
                <w:color w:val="000000" w:themeColor="text1"/>
                <w:spacing w:val="7"/>
                <w:sz w:val="24"/>
                <w:szCs w:val="20"/>
                <w14:textFill>
                  <w14:solidFill>
                    <w14:schemeClr w14:val="tx1"/>
                  </w14:solidFill>
                </w14:textFill>
              </w:rPr>
              <w:t>消防迫降功能</w:t>
            </w:r>
          </w:p>
        </w:tc>
        <w:tc>
          <w:tcPr>
            <w:tcW w:w="655" w:type="dxa"/>
            <w:shd w:val="clear" w:color="auto" w:fill="auto"/>
            <w:noWrap w:val="0"/>
            <w:vAlign w:val="top"/>
          </w:tcPr>
          <w:p w14:paraId="52FAA55C">
            <w:pPr>
              <w:pStyle w:val="9"/>
              <w:spacing w:before="177" w:line="238" w:lineRule="auto"/>
              <w:ind w:left="117"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2"/>
                <w:sz w:val="24"/>
                <w:szCs w:val="20"/>
                <w14:textFill>
                  <w14:solidFill>
                    <w14:schemeClr w14:val="tx1"/>
                  </w14:solidFill>
                </w14:textFill>
              </w:rPr>
              <w:t>39</w:t>
            </w:r>
          </w:p>
        </w:tc>
        <w:tc>
          <w:tcPr>
            <w:tcW w:w="3534" w:type="dxa"/>
            <w:noWrap w:val="0"/>
            <w:vAlign w:val="top"/>
          </w:tcPr>
          <w:p w14:paraId="5EA60F28">
            <w:pPr>
              <w:pStyle w:val="9"/>
              <w:spacing w:before="177" w:line="228" w:lineRule="auto"/>
              <w:ind w:left="118"/>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故障自动检测功能</w:t>
            </w:r>
          </w:p>
        </w:tc>
      </w:tr>
      <w:tr w14:paraId="098D0A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2B0D2EC3">
            <w:pPr>
              <w:pStyle w:val="9"/>
              <w:spacing w:before="177" w:line="238" w:lineRule="auto"/>
              <w:ind w:left="340"/>
              <w:rPr>
                <w:rFonts w:eastAsia="宋体"/>
                <w:b w:val="0"/>
                <w:color w:val="000000" w:themeColor="text1"/>
                <w:sz w:val="24"/>
                <w:szCs w:val="20"/>
                <w14:textFill>
                  <w14:solidFill>
                    <w14:schemeClr w14:val="tx1"/>
                  </w14:solidFill>
                </w14:textFill>
              </w:rPr>
            </w:pPr>
            <w:r>
              <w:rPr>
                <w:rFonts w:eastAsia="宋体"/>
                <w:b w:val="0"/>
                <w:color w:val="000000" w:themeColor="text1"/>
                <w:spacing w:val="-3"/>
                <w:sz w:val="24"/>
                <w:szCs w:val="20"/>
                <w14:textFill>
                  <w14:solidFill>
                    <w14:schemeClr w14:val="tx1"/>
                  </w14:solidFill>
                </w14:textFill>
              </w:rPr>
              <w:t>16.</w:t>
            </w:r>
          </w:p>
        </w:tc>
        <w:tc>
          <w:tcPr>
            <w:tcW w:w="3275" w:type="dxa"/>
            <w:noWrap w:val="0"/>
            <w:vAlign w:val="top"/>
          </w:tcPr>
          <w:p w14:paraId="0A8F1E37">
            <w:pPr>
              <w:pStyle w:val="9"/>
              <w:spacing w:before="177" w:line="228" w:lineRule="auto"/>
              <w:ind w:left="135"/>
              <w:rPr>
                <w:rFonts w:eastAsia="宋体"/>
                <w:b w:val="0"/>
                <w:color w:val="000000" w:themeColor="text1"/>
                <w:sz w:val="24"/>
                <w:szCs w:val="20"/>
                <w14:textFill>
                  <w14:solidFill>
                    <w14:schemeClr w14:val="tx1"/>
                  </w14:solidFill>
                </w14:textFill>
              </w:rPr>
            </w:pPr>
            <w:r>
              <w:rPr>
                <w:rFonts w:eastAsia="宋体"/>
                <w:b w:val="0"/>
                <w:color w:val="000000" w:themeColor="text1"/>
                <w:spacing w:val="5"/>
                <w:sz w:val="24"/>
                <w:szCs w:val="20"/>
                <w14:textFill>
                  <w14:solidFill>
                    <w14:schemeClr w14:val="tx1"/>
                  </w14:solidFill>
                </w14:textFill>
              </w:rPr>
              <w:t>门停止运行功能</w:t>
            </w:r>
          </w:p>
        </w:tc>
        <w:tc>
          <w:tcPr>
            <w:tcW w:w="655" w:type="dxa"/>
            <w:shd w:val="clear" w:color="auto" w:fill="auto"/>
            <w:noWrap w:val="0"/>
            <w:vAlign w:val="top"/>
          </w:tcPr>
          <w:p w14:paraId="18864073">
            <w:pPr>
              <w:pStyle w:val="9"/>
              <w:spacing w:before="178" w:line="237" w:lineRule="auto"/>
              <w:ind w:left="112"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1"/>
                <w:sz w:val="24"/>
                <w:szCs w:val="20"/>
                <w14:textFill>
                  <w14:solidFill>
                    <w14:schemeClr w14:val="tx1"/>
                  </w14:solidFill>
                </w14:textFill>
              </w:rPr>
              <w:t>40</w:t>
            </w:r>
          </w:p>
        </w:tc>
        <w:tc>
          <w:tcPr>
            <w:tcW w:w="3534" w:type="dxa"/>
            <w:noWrap w:val="0"/>
            <w:vAlign w:val="top"/>
          </w:tcPr>
          <w:p w14:paraId="0F1E03FB">
            <w:pPr>
              <w:pStyle w:val="9"/>
              <w:spacing w:before="176" w:line="228" w:lineRule="auto"/>
              <w:ind w:left="114"/>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层高自测功能</w:t>
            </w:r>
          </w:p>
        </w:tc>
      </w:tr>
      <w:tr w14:paraId="1530A7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534799D4">
            <w:pPr>
              <w:pStyle w:val="9"/>
              <w:spacing w:before="178" w:line="237" w:lineRule="auto"/>
              <w:ind w:left="340"/>
              <w:rPr>
                <w:rFonts w:eastAsia="宋体"/>
                <w:b w:val="0"/>
                <w:color w:val="000000" w:themeColor="text1"/>
                <w:sz w:val="24"/>
                <w:szCs w:val="20"/>
                <w14:textFill>
                  <w14:solidFill>
                    <w14:schemeClr w14:val="tx1"/>
                  </w14:solidFill>
                </w14:textFill>
              </w:rPr>
            </w:pPr>
            <w:r>
              <w:rPr>
                <w:rFonts w:eastAsia="宋体"/>
                <w:b w:val="0"/>
                <w:color w:val="000000" w:themeColor="text1"/>
                <w:spacing w:val="-3"/>
                <w:sz w:val="24"/>
                <w:szCs w:val="20"/>
                <w14:textFill>
                  <w14:solidFill>
                    <w14:schemeClr w14:val="tx1"/>
                  </w14:solidFill>
                </w14:textFill>
              </w:rPr>
              <w:t>17.</w:t>
            </w:r>
          </w:p>
        </w:tc>
        <w:tc>
          <w:tcPr>
            <w:tcW w:w="3275" w:type="dxa"/>
            <w:noWrap w:val="0"/>
            <w:vAlign w:val="top"/>
          </w:tcPr>
          <w:p w14:paraId="09D4FD4D">
            <w:pPr>
              <w:pStyle w:val="9"/>
              <w:spacing w:before="178" w:line="228" w:lineRule="auto"/>
              <w:ind w:left="136"/>
              <w:rPr>
                <w:rFonts w:eastAsia="宋体"/>
                <w:b w:val="0"/>
                <w:color w:val="000000" w:themeColor="text1"/>
                <w:sz w:val="24"/>
                <w:szCs w:val="20"/>
                <w14:textFill>
                  <w14:solidFill>
                    <w14:schemeClr w14:val="tx1"/>
                  </w14:solidFill>
                </w14:textFill>
              </w:rPr>
            </w:pPr>
            <w:r>
              <w:rPr>
                <w:rFonts w:eastAsia="宋体"/>
                <w:b w:val="0"/>
                <w:color w:val="000000" w:themeColor="text1"/>
                <w:spacing w:val="4"/>
                <w:sz w:val="24"/>
                <w:szCs w:val="20"/>
                <w14:textFill>
                  <w14:solidFill>
                    <w14:schemeClr w14:val="tx1"/>
                  </w14:solidFill>
                </w14:textFill>
              </w:rPr>
              <w:t>电梯运行监视</w:t>
            </w:r>
          </w:p>
        </w:tc>
        <w:tc>
          <w:tcPr>
            <w:tcW w:w="655" w:type="dxa"/>
            <w:shd w:val="clear" w:color="auto" w:fill="auto"/>
            <w:noWrap w:val="0"/>
            <w:vAlign w:val="top"/>
          </w:tcPr>
          <w:p w14:paraId="34F58D5C">
            <w:pPr>
              <w:pStyle w:val="9"/>
              <w:spacing w:before="177" w:line="238" w:lineRule="auto"/>
              <w:ind w:left="112"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1"/>
                <w:sz w:val="24"/>
                <w:szCs w:val="20"/>
                <w14:textFill>
                  <w14:solidFill>
                    <w14:schemeClr w14:val="tx1"/>
                  </w14:solidFill>
                </w14:textFill>
              </w:rPr>
              <w:t>41</w:t>
            </w:r>
          </w:p>
        </w:tc>
        <w:tc>
          <w:tcPr>
            <w:tcW w:w="3534" w:type="dxa"/>
            <w:noWrap w:val="0"/>
            <w:vAlign w:val="top"/>
          </w:tcPr>
          <w:p w14:paraId="15D9A791">
            <w:pPr>
              <w:pStyle w:val="9"/>
              <w:spacing w:before="177" w:line="227" w:lineRule="auto"/>
              <w:ind w:left="113"/>
              <w:rPr>
                <w:rFonts w:eastAsia="宋体"/>
                <w:b w:val="0"/>
                <w:color w:val="000000" w:themeColor="text1"/>
                <w:sz w:val="24"/>
                <w:szCs w:val="20"/>
                <w14:textFill>
                  <w14:solidFill>
                    <w14:schemeClr w14:val="tx1"/>
                  </w14:solidFill>
                </w14:textFill>
              </w:rPr>
            </w:pPr>
            <w:r>
              <w:rPr>
                <w:rFonts w:eastAsia="宋体"/>
                <w:b w:val="0"/>
                <w:color w:val="000000" w:themeColor="text1"/>
                <w:spacing w:val="9"/>
                <w:sz w:val="24"/>
                <w:szCs w:val="20"/>
                <w14:textFill>
                  <w14:solidFill>
                    <w14:schemeClr w14:val="tx1"/>
                  </w14:solidFill>
                </w14:textFill>
              </w:rPr>
              <w:t>底坑对讲机通讯功能</w:t>
            </w:r>
          </w:p>
        </w:tc>
      </w:tr>
      <w:tr w14:paraId="3391FC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5BCAB41A">
            <w:pPr>
              <w:pStyle w:val="9"/>
              <w:spacing w:before="177" w:line="238" w:lineRule="auto"/>
              <w:ind w:left="340"/>
              <w:rPr>
                <w:rFonts w:eastAsia="宋体"/>
                <w:b w:val="0"/>
                <w:color w:val="000000" w:themeColor="text1"/>
                <w:sz w:val="24"/>
                <w:szCs w:val="20"/>
                <w14:textFill>
                  <w14:solidFill>
                    <w14:schemeClr w14:val="tx1"/>
                  </w14:solidFill>
                </w14:textFill>
              </w:rPr>
            </w:pPr>
            <w:r>
              <w:rPr>
                <w:rFonts w:eastAsia="宋体"/>
                <w:b w:val="0"/>
                <w:color w:val="000000" w:themeColor="text1"/>
                <w:spacing w:val="-3"/>
                <w:sz w:val="24"/>
                <w:szCs w:val="20"/>
                <w14:textFill>
                  <w14:solidFill>
                    <w14:schemeClr w14:val="tx1"/>
                  </w14:solidFill>
                </w14:textFill>
              </w:rPr>
              <w:t>18.</w:t>
            </w:r>
          </w:p>
        </w:tc>
        <w:tc>
          <w:tcPr>
            <w:tcW w:w="3275" w:type="dxa"/>
            <w:noWrap w:val="0"/>
            <w:vAlign w:val="top"/>
          </w:tcPr>
          <w:p w14:paraId="4A000622">
            <w:pPr>
              <w:pStyle w:val="9"/>
              <w:spacing w:before="177" w:line="228" w:lineRule="auto"/>
              <w:ind w:left="113"/>
              <w:rPr>
                <w:rFonts w:eastAsia="宋体"/>
                <w:b w:val="0"/>
                <w:color w:val="000000" w:themeColor="text1"/>
                <w:sz w:val="24"/>
                <w:szCs w:val="20"/>
                <w14:textFill>
                  <w14:solidFill>
                    <w14:schemeClr w14:val="tx1"/>
                  </w14:solidFill>
                </w14:textFill>
              </w:rPr>
            </w:pPr>
            <w:r>
              <w:rPr>
                <w:rFonts w:eastAsia="宋体"/>
                <w:b w:val="0"/>
                <w:color w:val="000000" w:themeColor="text1"/>
                <w:spacing w:val="6"/>
                <w:sz w:val="24"/>
                <w:szCs w:val="20"/>
                <w14:textFill>
                  <w14:solidFill>
                    <w14:schemeClr w14:val="tx1"/>
                  </w14:solidFill>
                </w14:textFill>
              </w:rPr>
              <w:t>直接停靠</w:t>
            </w:r>
          </w:p>
        </w:tc>
        <w:tc>
          <w:tcPr>
            <w:tcW w:w="655" w:type="dxa"/>
            <w:shd w:val="clear" w:color="auto" w:fill="auto"/>
            <w:noWrap w:val="0"/>
            <w:vAlign w:val="top"/>
          </w:tcPr>
          <w:p w14:paraId="2FAC53C4">
            <w:pPr>
              <w:pStyle w:val="9"/>
              <w:spacing w:before="178" w:line="237" w:lineRule="auto"/>
              <w:ind w:left="112"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1"/>
                <w:sz w:val="24"/>
                <w:szCs w:val="20"/>
                <w14:textFill>
                  <w14:solidFill>
                    <w14:schemeClr w14:val="tx1"/>
                  </w14:solidFill>
                </w14:textFill>
              </w:rPr>
              <w:t>42</w:t>
            </w:r>
          </w:p>
        </w:tc>
        <w:tc>
          <w:tcPr>
            <w:tcW w:w="3534" w:type="dxa"/>
            <w:noWrap w:val="0"/>
            <w:vAlign w:val="top"/>
          </w:tcPr>
          <w:p w14:paraId="64FC5B7D">
            <w:pPr>
              <w:pStyle w:val="9"/>
              <w:spacing w:before="176" w:line="228" w:lineRule="auto"/>
              <w:ind w:left="113"/>
              <w:rPr>
                <w:rFonts w:eastAsia="宋体"/>
                <w:b w:val="0"/>
                <w:color w:val="000000" w:themeColor="text1"/>
                <w:sz w:val="24"/>
                <w:szCs w:val="20"/>
                <w14:textFill>
                  <w14:solidFill>
                    <w14:schemeClr w14:val="tx1"/>
                  </w14:solidFill>
                </w14:textFill>
              </w:rPr>
            </w:pPr>
            <w:r>
              <w:rPr>
                <w:rFonts w:eastAsia="宋体"/>
                <w:b w:val="0"/>
                <w:color w:val="000000" w:themeColor="text1"/>
                <w:spacing w:val="9"/>
                <w:sz w:val="24"/>
                <w:szCs w:val="20"/>
                <w14:textFill>
                  <w14:solidFill>
                    <w14:schemeClr w14:val="tx1"/>
                  </w14:solidFill>
                </w14:textFill>
              </w:rPr>
              <w:t>抱闸动作的双安全检测</w:t>
            </w:r>
          </w:p>
        </w:tc>
      </w:tr>
      <w:tr w14:paraId="24A6D0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3279EB2A">
            <w:pPr>
              <w:pStyle w:val="9"/>
              <w:spacing w:before="178" w:line="237" w:lineRule="auto"/>
              <w:ind w:left="340"/>
              <w:rPr>
                <w:rFonts w:eastAsia="宋体"/>
                <w:b w:val="0"/>
                <w:color w:val="000000" w:themeColor="text1"/>
                <w:sz w:val="24"/>
                <w:szCs w:val="20"/>
                <w14:textFill>
                  <w14:solidFill>
                    <w14:schemeClr w14:val="tx1"/>
                  </w14:solidFill>
                </w14:textFill>
              </w:rPr>
            </w:pPr>
            <w:r>
              <w:rPr>
                <w:rFonts w:eastAsia="宋体"/>
                <w:b w:val="0"/>
                <w:color w:val="000000" w:themeColor="text1"/>
                <w:spacing w:val="-3"/>
                <w:sz w:val="24"/>
                <w:szCs w:val="20"/>
                <w14:textFill>
                  <w14:solidFill>
                    <w14:schemeClr w14:val="tx1"/>
                  </w14:solidFill>
                </w14:textFill>
              </w:rPr>
              <w:t>19.</w:t>
            </w:r>
          </w:p>
        </w:tc>
        <w:tc>
          <w:tcPr>
            <w:tcW w:w="3275" w:type="dxa"/>
            <w:noWrap w:val="0"/>
            <w:vAlign w:val="top"/>
          </w:tcPr>
          <w:p w14:paraId="0D112014">
            <w:pPr>
              <w:pStyle w:val="9"/>
              <w:spacing w:before="177" w:line="228" w:lineRule="auto"/>
              <w:ind w:left="113"/>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主回路故障保护</w:t>
            </w:r>
          </w:p>
        </w:tc>
        <w:tc>
          <w:tcPr>
            <w:tcW w:w="655" w:type="dxa"/>
            <w:shd w:val="clear" w:color="auto" w:fill="auto"/>
            <w:noWrap w:val="0"/>
            <w:vAlign w:val="top"/>
          </w:tcPr>
          <w:p w14:paraId="7BDE1AB6">
            <w:pPr>
              <w:pStyle w:val="9"/>
              <w:spacing w:before="177" w:line="238" w:lineRule="auto"/>
              <w:ind w:left="112"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1"/>
                <w:sz w:val="24"/>
                <w:szCs w:val="20"/>
                <w14:textFill>
                  <w14:solidFill>
                    <w14:schemeClr w14:val="tx1"/>
                  </w14:solidFill>
                </w14:textFill>
              </w:rPr>
              <w:t>43</w:t>
            </w:r>
          </w:p>
        </w:tc>
        <w:tc>
          <w:tcPr>
            <w:tcW w:w="3534" w:type="dxa"/>
            <w:shd w:val="clear" w:color="auto" w:fill="auto"/>
            <w:noWrap w:val="0"/>
            <w:vAlign w:val="top"/>
          </w:tcPr>
          <w:p w14:paraId="56B872CD">
            <w:pPr>
              <w:pStyle w:val="9"/>
              <w:spacing w:before="176" w:line="228" w:lineRule="auto"/>
              <w:ind w:left="113" w:leftChars="0"/>
              <w:rPr>
                <w:rFonts w:hint="eastAsia" w:ascii="Arial" w:hAnsi="Arial" w:eastAsia="宋体" w:cs="Arial"/>
                <w:b w:val="0"/>
                <w:snapToGrid w:val="0"/>
                <w:color w:val="000000" w:themeColor="text1"/>
                <w:sz w:val="24"/>
                <w:szCs w:val="20"/>
                <w:lang w:val="en-US" w:eastAsia="zh-CN" w:bidi="ar-SA"/>
                <w14:textFill>
                  <w14:solidFill>
                    <w14:schemeClr w14:val="tx1"/>
                  </w14:solidFill>
                </w14:textFill>
              </w:rPr>
            </w:pPr>
            <w:r>
              <w:rPr>
                <w:rFonts w:eastAsia="宋体"/>
                <w:b w:val="0"/>
                <w:color w:val="000000" w:themeColor="text1"/>
                <w:sz w:val="24"/>
                <w:szCs w:val="20"/>
                <w14:textFill>
                  <w14:solidFill>
                    <w14:schemeClr w14:val="tx1"/>
                  </w14:solidFill>
                </w14:textFill>
              </w:rPr>
              <w:t>CAN</w:t>
            </w:r>
            <w:r>
              <w:rPr>
                <w:rFonts w:eastAsia="宋体"/>
                <w:b w:val="0"/>
                <w:color w:val="000000" w:themeColor="text1"/>
                <w:spacing w:val="-37"/>
                <w:sz w:val="24"/>
                <w:szCs w:val="20"/>
                <w14:textFill>
                  <w14:solidFill>
                    <w14:schemeClr w14:val="tx1"/>
                  </w14:solidFill>
                </w14:textFill>
              </w:rPr>
              <w:t xml:space="preserve"> </w:t>
            </w:r>
            <w:r>
              <w:rPr>
                <w:rFonts w:eastAsia="宋体"/>
                <w:b w:val="0"/>
                <w:color w:val="000000" w:themeColor="text1"/>
                <w:spacing w:val="9"/>
                <w:sz w:val="24"/>
                <w:szCs w:val="20"/>
                <w14:textFill>
                  <w14:solidFill>
                    <w14:schemeClr w14:val="tx1"/>
                  </w14:solidFill>
                </w14:textFill>
              </w:rPr>
              <w:t>通讯故障监控</w:t>
            </w:r>
          </w:p>
        </w:tc>
      </w:tr>
      <w:tr w14:paraId="581D8A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029D3092">
            <w:pPr>
              <w:pStyle w:val="9"/>
              <w:spacing w:before="177" w:line="238" w:lineRule="auto"/>
              <w:ind w:left="327"/>
              <w:rPr>
                <w:rFonts w:eastAsia="宋体"/>
                <w:b w:val="0"/>
                <w:color w:val="000000" w:themeColor="text1"/>
                <w:sz w:val="24"/>
                <w:szCs w:val="20"/>
                <w14:textFill>
                  <w14:solidFill>
                    <w14:schemeClr w14:val="tx1"/>
                  </w14:solidFill>
                </w14:textFill>
              </w:rPr>
            </w:pPr>
            <w:r>
              <w:rPr>
                <w:rFonts w:eastAsia="宋体"/>
                <w:b w:val="0"/>
                <w:color w:val="000000" w:themeColor="text1"/>
                <w:spacing w:val="1"/>
                <w:sz w:val="24"/>
                <w:szCs w:val="20"/>
                <w14:textFill>
                  <w14:solidFill>
                    <w14:schemeClr w14:val="tx1"/>
                  </w14:solidFill>
                </w14:textFill>
              </w:rPr>
              <w:t>20.</w:t>
            </w:r>
          </w:p>
        </w:tc>
        <w:tc>
          <w:tcPr>
            <w:tcW w:w="3275" w:type="dxa"/>
            <w:noWrap w:val="0"/>
            <w:vAlign w:val="top"/>
          </w:tcPr>
          <w:p w14:paraId="21755594">
            <w:pPr>
              <w:pStyle w:val="9"/>
              <w:spacing w:before="177" w:line="228" w:lineRule="auto"/>
              <w:ind w:left="135"/>
              <w:rPr>
                <w:rFonts w:eastAsia="宋体"/>
                <w:b w:val="0"/>
                <w:color w:val="000000" w:themeColor="text1"/>
                <w:sz w:val="24"/>
                <w:szCs w:val="20"/>
                <w14:textFill>
                  <w14:solidFill>
                    <w14:schemeClr w14:val="tx1"/>
                  </w14:solidFill>
                </w14:textFill>
              </w:rPr>
            </w:pPr>
            <w:r>
              <w:rPr>
                <w:rFonts w:eastAsia="宋体"/>
                <w:b w:val="0"/>
                <w:color w:val="000000" w:themeColor="text1"/>
                <w:spacing w:val="6"/>
                <w:sz w:val="24"/>
                <w:szCs w:val="20"/>
                <w14:textFill>
                  <w14:solidFill>
                    <w14:schemeClr w14:val="tx1"/>
                  </w14:solidFill>
                </w14:textFill>
              </w:rPr>
              <w:t>门区外不能开门保护</w:t>
            </w:r>
          </w:p>
        </w:tc>
        <w:tc>
          <w:tcPr>
            <w:tcW w:w="655" w:type="dxa"/>
            <w:shd w:val="clear" w:color="auto" w:fill="auto"/>
            <w:noWrap w:val="0"/>
            <w:vAlign w:val="top"/>
          </w:tcPr>
          <w:p w14:paraId="34D08C7D">
            <w:pPr>
              <w:pStyle w:val="9"/>
              <w:spacing w:before="177" w:line="238" w:lineRule="auto"/>
              <w:ind w:left="112" w:leftChars="0"/>
              <w:rPr>
                <w:rFonts w:hint="default" w:ascii="Arial" w:hAnsi="Arial" w:eastAsia="宋体" w:cs="Arial"/>
                <w:b w:val="0"/>
                <w:snapToGrid w:val="0"/>
                <w:color w:val="000000" w:themeColor="text1"/>
                <w:sz w:val="24"/>
                <w:szCs w:val="20"/>
                <w:lang w:val="en-US" w:eastAsia="zh-CN" w:bidi="ar-SA"/>
                <w14:textFill>
                  <w14:solidFill>
                    <w14:schemeClr w14:val="tx1"/>
                  </w14:solidFill>
                </w14:textFill>
              </w:rPr>
            </w:pPr>
            <w:r>
              <w:rPr>
                <w:rFonts w:hint="eastAsia" w:eastAsia="宋体" w:cs="Arial"/>
                <w:b w:val="0"/>
                <w:snapToGrid w:val="0"/>
                <w:color w:val="000000" w:themeColor="text1"/>
                <w:sz w:val="24"/>
                <w:szCs w:val="20"/>
                <w:lang w:val="en-US" w:eastAsia="zh-CN" w:bidi="ar-SA"/>
                <w14:textFill>
                  <w14:solidFill>
                    <w14:schemeClr w14:val="tx1"/>
                  </w14:solidFill>
                </w14:textFill>
              </w:rPr>
              <w:t>44</w:t>
            </w:r>
          </w:p>
        </w:tc>
        <w:tc>
          <w:tcPr>
            <w:tcW w:w="3534" w:type="dxa"/>
            <w:shd w:val="clear" w:color="auto" w:fill="auto"/>
            <w:noWrap w:val="0"/>
            <w:vAlign w:val="top"/>
          </w:tcPr>
          <w:p w14:paraId="2E5DA481">
            <w:pPr>
              <w:pStyle w:val="9"/>
              <w:spacing w:before="177" w:line="228" w:lineRule="auto"/>
              <w:ind w:left="138"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5"/>
                <w:sz w:val="24"/>
                <w:szCs w:val="20"/>
                <w14:textFill>
                  <w14:solidFill>
                    <w14:schemeClr w14:val="tx1"/>
                  </w14:solidFill>
                </w14:textFill>
              </w:rPr>
              <w:t>门联锁故障保护</w:t>
            </w:r>
          </w:p>
        </w:tc>
      </w:tr>
      <w:tr w14:paraId="733D58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50C83ECE">
            <w:pPr>
              <w:pStyle w:val="9"/>
              <w:spacing w:before="178" w:line="237" w:lineRule="auto"/>
              <w:ind w:left="327"/>
              <w:rPr>
                <w:rFonts w:eastAsia="宋体"/>
                <w:b w:val="0"/>
                <w:color w:val="000000" w:themeColor="text1"/>
                <w:sz w:val="24"/>
                <w:szCs w:val="20"/>
                <w14:textFill>
                  <w14:solidFill>
                    <w14:schemeClr w14:val="tx1"/>
                  </w14:solidFill>
                </w14:textFill>
              </w:rPr>
            </w:pPr>
            <w:r>
              <w:rPr>
                <w:rFonts w:eastAsia="宋体"/>
                <w:b w:val="0"/>
                <w:color w:val="000000" w:themeColor="text1"/>
                <w:spacing w:val="1"/>
                <w:sz w:val="24"/>
                <w:szCs w:val="20"/>
                <w14:textFill>
                  <w14:solidFill>
                    <w14:schemeClr w14:val="tx1"/>
                  </w14:solidFill>
                </w14:textFill>
              </w:rPr>
              <w:t>21.</w:t>
            </w:r>
          </w:p>
        </w:tc>
        <w:tc>
          <w:tcPr>
            <w:tcW w:w="3275" w:type="dxa"/>
            <w:noWrap w:val="0"/>
            <w:vAlign w:val="top"/>
          </w:tcPr>
          <w:p w14:paraId="410AD857">
            <w:pPr>
              <w:pStyle w:val="9"/>
              <w:spacing w:before="177" w:line="227" w:lineRule="auto"/>
              <w:ind w:left="119"/>
              <w:rPr>
                <w:rFonts w:eastAsia="宋体"/>
                <w:b w:val="0"/>
                <w:color w:val="000000" w:themeColor="text1"/>
                <w:sz w:val="24"/>
                <w:szCs w:val="20"/>
                <w14:textFill>
                  <w14:solidFill>
                    <w14:schemeClr w14:val="tx1"/>
                  </w14:solidFill>
                </w14:textFill>
              </w:rPr>
            </w:pPr>
            <w:r>
              <w:rPr>
                <w:rFonts w:eastAsia="宋体"/>
                <w:b w:val="0"/>
                <w:color w:val="000000" w:themeColor="text1"/>
                <w:spacing w:val="5"/>
                <w:sz w:val="24"/>
                <w:szCs w:val="20"/>
                <w14:textFill>
                  <w14:solidFill>
                    <w14:schemeClr w14:val="tx1"/>
                  </w14:solidFill>
                </w14:textFill>
              </w:rPr>
              <w:t>司机操作</w:t>
            </w:r>
          </w:p>
        </w:tc>
        <w:tc>
          <w:tcPr>
            <w:tcW w:w="655" w:type="dxa"/>
            <w:shd w:val="clear" w:color="auto" w:fill="auto"/>
            <w:noWrap w:val="0"/>
            <w:vAlign w:val="top"/>
          </w:tcPr>
          <w:p w14:paraId="66CBF742">
            <w:pPr>
              <w:pStyle w:val="9"/>
              <w:spacing w:before="178" w:line="237" w:lineRule="auto"/>
              <w:ind w:left="112" w:leftChars="0"/>
              <w:rPr>
                <w:rFonts w:hint="default" w:ascii="Arial" w:hAnsi="Arial" w:eastAsia="宋体" w:cs="Arial"/>
                <w:b w:val="0"/>
                <w:snapToGrid w:val="0"/>
                <w:color w:val="000000" w:themeColor="text1"/>
                <w:sz w:val="24"/>
                <w:szCs w:val="20"/>
                <w:lang w:val="en-US" w:eastAsia="zh-CN" w:bidi="ar-SA"/>
                <w14:textFill>
                  <w14:solidFill>
                    <w14:schemeClr w14:val="tx1"/>
                  </w14:solidFill>
                </w14:textFill>
              </w:rPr>
            </w:pPr>
            <w:r>
              <w:rPr>
                <w:rFonts w:hint="eastAsia" w:eastAsia="宋体" w:cs="Arial"/>
                <w:b w:val="0"/>
                <w:snapToGrid w:val="0"/>
                <w:color w:val="000000" w:themeColor="text1"/>
                <w:sz w:val="24"/>
                <w:szCs w:val="20"/>
                <w:lang w:val="en-US" w:eastAsia="zh-CN" w:bidi="ar-SA"/>
                <w14:textFill>
                  <w14:solidFill>
                    <w14:schemeClr w14:val="tx1"/>
                  </w14:solidFill>
                </w14:textFill>
              </w:rPr>
              <w:t>45</w:t>
            </w:r>
          </w:p>
        </w:tc>
        <w:tc>
          <w:tcPr>
            <w:tcW w:w="3534" w:type="dxa"/>
            <w:shd w:val="clear" w:color="auto" w:fill="auto"/>
            <w:noWrap w:val="0"/>
            <w:vAlign w:val="top"/>
          </w:tcPr>
          <w:p w14:paraId="7F9A1FB6">
            <w:pPr>
              <w:pStyle w:val="9"/>
              <w:spacing w:before="177" w:line="228" w:lineRule="auto"/>
              <w:ind w:left="114"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7"/>
                <w:sz w:val="24"/>
                <w:szCs w:val="20"/>
                <w14:textFill>
                  <w14:solidFill>
                    <w14:schemeClr w14:val="tx1"/>
                  </w14:solidFill>
                </w14:textFill>
              </w:rPr>
              <w:t>独立运行</w:t>
            </w:r>
          </w:p>
        </w:tc>
      </w:tr>
      <w:tr w14:paraId="2F1726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1B939D84">
            <w:pPr>
              <w:pStyle w:val="9"/>
              <w:spacing w:before="177" w:line="238" w:lineRule="auto"/>
              <w:ind w:left="327"/>
              <w:rPr>
                <w:rFonts w:eastAsia="宋体"/>
                <w:b w:val="0"/>
                <w:color w:val="000000" w:themeColor="text1"/>
                <w:sz w:val="24"/>
                <w:szCs w:val="20"/>
                <w14:textFill>
                  <w14:solidFill>
                    <w14:schemeClr w14:val="tx1"/>
                  </w14:solidFill>
                </w14:textFill>
              </w:rPr>
            </w:pPr>
            <w:r>
              <w:rPr>
                <w:rFonts w:eastAsia="宋体"/>
                <w:b w:val="0"/>
                <w:color w:val="000000" w:themeColor="text1"/>
                <w:spacing w:val="1"/>
                <w:sz w:val="24"/>
                <w:szCs w:val="20"/>
                <w14:textFill>
                  <w14:solidFill>
                    <w14:schemeClr w14:val="tx1"/>
                  </w14:solidFill>
                </w14:textFill>
              </w:rPr>
              <w:t>22.</w:t>
            </w:r>
          </w:p>
        </w:tc>
        <w:tc>
          <w:tcPr>
            <w:tcW w:w="3275" w:type="dxa"/>
            <w:noWrap w:val="0"/>
            <w:vAlign w:val="top"/>
          </w:tcPr>
          <w:p w14:paraId="470246C1">
            <w:pPr>
              <w:pStyle w:val="9"/>
              <w:spacing w:before="176" w:line="228" w:lineRule="auto"/>
              <w:ind w:left="111"/>
              <w:rPr>
                <w:rFonts w:eastAsia="宋体"/>
                <w:b w:val="0"/>
                <w:color w:val="000000" w:themeColor="text1"/>
                <w:sz w:val="24"/>
                <w:szCs w:val="20"/>
                <w14:textFill>
                  <w14:solidFill>
                    <w14:schemeClr w14:val="tx1"/>
                  </w14:solidFill>
                </w14:textFill>
              </w:rPr>
            </w:pPr>
            <w:r>
              <w:rPr>
                <w:rFonts w:eastAsia="宋体"/>
                <w:b w:val="0"/>
                <w:color w:val="000000" w:themeColor="text1"/>
                <w:spacing w:val="8"/>
                <w:sz w:val="24"/>
                <w:szCs w:val="20"/>
                <w14:textFill>
                  <w14:solidFill>
                    <w14:schemeClr w14:val="tx1"/>
                  </w14:solidFill>
                </w14:textFill>
              </w:rPr>
              <w:t>层楼显示字符设置</w:t>
            </w:r>
          </w:p>
        </w:tc>
        <w:tc>
          <w:tcPr>
            <w:tcW w:w="655" w:type="dxa"/>
            <w:shd w:val="clear" w:color="auto" w:fill="auto"/>
            <w:noWrap w:val="0"/>
            <w:vAlign w:val="top"/>
          </w:tcPr>
          <w:p w14:paraId="0D2E65CB">
            <w:pPr>
              <w:pStyle w:val="9"/>
              <w:spacing w:before="177" w:line="238" w:lineRule="auto"/>
              <w:ind w:left="112" w:leftChars="0"/>
              <w:rPr>
                <w:rFonts w:hint="default" w:ascii="Arial" w:hAnsi="Arial" w:eastAsia="宋体" w:cs="Arial"/>
                <w:b w:val="0"/>
                <w:snapToGrid w:val="0"/>
                <w:color w:val="000000" w:themeColor="text1"/>
                <w:sz w:val="24"/>
                <w:szCs w:val="20"/>
                <w:lang w:val="en-US" w:eastAsia="zh-CN" w:bidi="ar-SA"/>
                <w14:textFill>
                  <w14:solidFill>
                    <w14:schemeClr w14:val="tx1"/>
                  </w14:solidFill>
                </w14:textFill>
              </w:rPr>
            </w:pPr>
            <w:r>
              <w:rPr>
                <w:rFonts w:hint="eastAsia" w:eastAsia="宋体" w:cs="Arial"/>
                <w:b w:val="0"/>
                <w:snapToGrid w:val="0"/>
                <w:color w:val="000000" w:themeColor="text1"/>
                <w:sz w:val="24"/>
                <w:szCs w:val="20"/>
                <w:lang w:val="en-US" w:eastAsia="zh-CN" w:bidi="ar-SA"/>
                <w14:textFill>
                  <w14:solidFill>
                    <w14:schemeClr w14:val="tx1"/>
                  </w14:solidFill>
                </w14:textFill>
              </w:rPr>
              <w:t>46</w:t>
            </w:r>
          </w:p>
        </w:tc>
        <w:tc>
          <w:tcPr>
            <w:tcW w:w="3534" w:type="dxa"/>
            <w:shd w:val="clear" w:color="auto" w:fill="auto"/>
            <w:noWrap w:val="0"/>
            <w:vAlign w:val="top"/>
          </w:tcPr>
          <w:p w14:paraId="3D10B49D">
            <w:pPr>
              <w:pStyle w:val="9"/>
              <w:spacing w:before="177" w:line="228" w:lineRule="auto"/>
              <w:ind w:left="114"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8"/>
                <w:sz w:val="24"/>
                <w:szCs w:val="20"/>
                <w14:textFill>
                  <w14:solidFill>
                    <w14:schemeClr w14:val="tx1"/>
                  </w14:solidFill>
                </w14:textFill>
              </w:rPr>
              <w:t>服务层的位置设置</w:t>
            </w:r>
          </w:p>
        </w:tc>
      </w:tr>
      <w:tr w14:paraId="37D70F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3CE7105A">
            <w:pPr>
              <w:pStyle w:val="9"/>
              <w:spacing w:before="178" w:line="237" w:lineRule="auto"/>
              <w:ind w:left="327"/>
              <w:rPr>
                <w:rFonts w:eastAsia="宋体"/>
                <w:b w:val="0"/>
                <w:color w:val="000000" w:themeColor="text1"/>
                <w:sz w:val="24"/>
                <w:szCs w:val="20"/>
                <w14:textFill>
                  <w14:solidFill>
                    <w14:schemeClr w14:val="tx1"/>
                  </w14:solidFill>
                </w14:textFill>
              </w:rPr>
            </w:pPr>
            <w:r>
              <w:rPr>
                <w:rFonts w:eastAsia="宋体"/>
                <w:b w:val="0"/>
                <w:color w:val="000000" w:themeColor="text1"/>
                <w:spacing w:val="1"/>
                <w:sz w:val="24"/>
                <w:szCs w:val="20"/>
                <w14:textFill>
                  <w14:solidFill>
                    <w14:schemeClr w14:val="tx1"/>
                  </w14:solidFill>
                </w14:textFill>
              </w:rPr>
              <w:t>23.</w:t>
            </w:r>
          </w:p>
        </w:tc>
        <w:tc>
          <w:tcPr>
            <w:tcW w:w="3275" w:type="dxa"/>
            <w:noWrap w:val="0"/>
            <w:vAlign w:val="top"/>
          </w:tcPr>
          <w:p w14:paraId="129E95D9">
            <w:pPr>
              <w:pStyle w:val="9"/>
              <w:spacing w:before="177" w:line="228" w:lineRule="auto"/>
              <w:ind w:left="136"/>
              <w:rPr>
                <w:rFonts w:eastAsia="宋体"/>
                <w:b w:val="0"/>
                <w:color w:val="000000" w:themeColor="text1"/>
                <w:sz w:val="24"/>
                <w:szCs w:val="20"/>
                <w14:textFill>
                  <w14:solidFill>
                    <w14:schemeClr w14:val="tx1"/>
                  </w14:solidFill>
                </w14:textFill>
              </w:rPr>
            </w:pPr>
            <w:r>
              <w:rPr>
                <w:rFonts w:eastAsia="宋体"/>
                <w:b w:val="0"/>
                <w:color w:val="000000" w:themeColor="text1"/>
                <w:spacing w:val="7"/>
                <w:sz w:val="24"/>
                <w:szCs w:val="20"/>
                <w14:textFill>
                  <w14:solidFill>
                    <w14:schemeClr w14:val="tx1"/>
                  </w14:solidFill>
                </w14:textFill>
              </w:rPr>
              <w:t>电梯检修时，外呼盒显示检修状态</w:t>
            </w:r>
          </w:p>
        </w:tc>
        <w:tc>
          <w:tcPr>
            <w:tcW w:w="655" w:type="dxa"/>
            <w:shd w:val="clear" w:color="auto" w:fill="auto"/>
            <w:noWrap w:val="0"/>
            <w:vAlign w:val="top"/>
          </w:tcPr>
          <w:p w14:paraId="59FB4AD4">
            <w:pPr>
              <w:pStyle w:val="9"/>
              <w:spacing w:before="178" w:line="237" w:lineRule="auto"/>
              <w:ind w:left="112" w:leftChars="0"/>
              <w:rPr>
                <w:rFonts w:hint="default" w:ascii="Arial" w:hAnsi="Arial" w:eastAsia="宋体" w:cs="Arial"/>
                <w:b w:val="0"/>
                <w:snapToGrid w:val="0"/>
                <w:color w:val="000000" w:themeColor="text1"/>
                <w:sz w:val="24"/>
                <w:szCs w:val="20"/>
                <w:lang w:val="en-US" w:eastAsia="zh-CN" w:bidi="ar-SA"/>
                <w14:textFill>
                  <w14:solidFill>
                    <w14:schemeClr w14:val="tx1"/>
                  </w14:solidFill>
                </w14:textFill>
              </w:rPr>
            </w:pPr>
            <w:r>
              <w:rPr>
                <w:rFonts w:hint="eastAsia" w:eastAsia="宋体" w:cs="Arial"/>
                <w:b w:val="0"/>
                <w:snapToGrid w:val="0"/>
                <w:color w:val="000000" w:themeColor="text1"/>
                <w:sz w:val="24"/>
                <w:szCs w:val="20"/>
                <w:lang w:val="en-US" w:eastAsia="zh-CN" w:bidi="ar-SA"/>
                <w14:textFill>
                  <w14:solidFill>
                    <w14:schemeClr w14:val="tx1"/>
                  </w14:solidFill>
                </w14:textFill>
              </w:rPr>
              <w:t>47</w:t>
            </w:r>
          </w:p>
        </w:tc>
        <w:tc>
          <w:tcPr>
            <w:tcW w:w="3534" w:type="dxa"/>
            <w:shd w:val="clear" w:color="auto" w:fill="auto"/>
            <w:noWrap w:val="0"/>
            <w:vAlign w:val="top"/>
          </w:tcPr>
          <w:p w14:paraId="59EAAA09">
            <w:pPr>
              <w:pStyle w:val="9"/>
              <w:spacing w:before="176" w:line="228" w:lineRule="auto"/>
              <w:ind w:left="114"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8"/>
                <w:sz w:val="24"/>
                <w:szCs w:val="20"/>
                <w14:textFill>
                  <w14:solidFill>
                    <w14:schemeClr w14:val="tx1"/>
                  </w14:solidFill>
                </w14:textFill>
              </w:rPr>
              <w:t>井道层楼数据自学习</w:t>
            </w:r>
          </w:p>
        </w:tc>
      </w:tr>
      <w:tr w14:paraId="64B5E8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765" w:type="dxa"/>
            <w:noWrap w:val="0"/>
            <w:vAlign w:val="top"/>
          </w:tcPr>
          <w:p w14:paraId="3AA2B2D4">
            <w:pPr>
              <w:pStyle w:val="9"/>
              <w:spacing w:before="177" w:line="238" w:lineRule="auto"/>
              <w:ind w:left="327"/>
              <w:rPr>
                <w:rFonts w:eastAsia="宋体"/>
                <w:b w:val="0"/>
                <w:color w:val="000000" w:themeColor="text1"/>
                <w:sz w:val="24"/>
                <w:szCs w:val="20"/>
                <w14:textFill>
                  <w14:solidFill>
                    <w14:schemeClr w14:val="tx1"/>
                  </w14:solidFill>
                </w14:textFill>
              </w:rPr>
            </w:pPr>
            <w:r>
              <w:rPr>
                <w:rFonts w:eastAsia="宋体"/>
                <w:b w:val="0"/>
                <w:color w:val="000000" w:themeColor="text1"/>
                <w:spacing w:val="1"/>
                <w:sz w:val="24"/>
                <w:szCs w:val="20"/>
                <w14:textFill>
                  <w14:solidFill>
                    <w14:schemeClr w14:val="tx1"/>
                  </w14:solidFill>
                </w14:textFill>
              </w:rPr>
              <w:t>24.</w:t>
            </w:r>
          </w:p>
        </w:tc>
        <w:tc>
          <w:tcPr>
            <w:tcW w:w="3275" w:type="dxa"/>
            <w:noWrap w:val="0"/>
            <w:vAlign w:val="top"/>
          </w:tcPr>
          <w:p w14:paraId="58B3E61A">
            <w:pPr>
              <w:pStyle w:val="9"/>
              <w:spacing w:before="176" w:line="229" w:lineRule="auto"/>
              <w:ind w:left="115"/>
              <w:rPr>
                <w:rFonts w:eastAsia="宋体"/>
                <w:b w:val="0"/>
                <w:color w:val="000000" w:themeColor="text1"/>
                <w:sz w:val="24"/>
                <w:szCs w:val="20"/>
                <w14:textFill>
                  <w14:solidFill>
                    <w14:schemeClr w14:val="tx1"/>
                  </w14:solidFill>
                </w14:textFill>
              </w:rPr>
            </w:pPr>
            <w:r>
              <w:rPr>
                <w:rFonts w:eastAsia="宋体"/>
                <w:b w:val="0"/>
                <w:color w:val="000000" w:themeColor="text1"/>
                <w:spacing w:val="6"/>
                <w:sz w:val="24"/>
                <w:szCs w:val="20"/>
                <w14:textFill>
                  <w14:solidFill>
                    <w14:schemeClr w14:val="tx1"/>
                  </w14:solidFill>
                </w14:textFill>
              </w:rPr>
              <w:t>五方通话</w:t>
            </w:r>
          </w:p>
        </w:tc>
        <w:tc>
          <w:tcPr>
            <w:tcW w:w="655" w:type="dxa"/>
            <w:shd w:val="clear" w:color="auto" w:fill="auto"/>
            <w:noWrap w:val="0"/>
            <w:vAlign w:val="top"/>
          </w:tcPr>
          <w:p w14:paraId="3E16662B">
            <w:pPr>
              <w:pStyle w:val="9"/>
              <w:spacing w:before="178" w:line="237" w:lineRule="auto"/>
              <w:ind w:left="117" w:leftChars="0"/>
              <w:rPr>
                <w:rFonts w:hint="default" w:ascii="Arial" w:hAnsi="Arial" w:eastAsia="宋体" w:cs="Arial"/>
                <w:b w:val="0"/>
                <w:snapToGrid w:val="0"/>
                <w:color w:val="000000" w:themeColor="text1"/>
                <w:sz w:val="24"/>
                <w:szCs w:val="20"/>
                <w:lang w:val="en-US" w:eastAsia="zh-CN" w:bidi="ar-SA"/>
                <w14:textFill>
                  <w14:solidFill>
                    <w14:schemeClr w14:val="tx1"/>
                  </w14:solidFill>
                </w14:textFill>
              </w:rPr>
            </w:pPr>
            <w:r>
              <w:rPr>
                <w:rFonts w:hint="eastAsia" w:eastAsia="宋体" w:cs="Arial"/>
                <w:b w:val="0"/>
                <w:snapToGrid w:val="0"/>
                <w:color w:val="000000" w:themeColor="text1"/>
                <w:sz w:val="24"/>
                <w:szCs w:val="20"/>
                <w:lang w:val="en-US" w:eastAsia="zh-CN" w:bidi="ar-SA"/>
                <w14:textFill>
                  <w14:solidFill>
                    <w14:schemeClr w14:val="tx1"/>
                  </w14:solidFill>
                </w14:textFill>
              </w:rPr>
              <w:t>48</w:t>
            </w:r>
          </w:p>
        </w:tc>
        <w:tc>
          <w:tcPr>
            <w:tcW w:w="3534" w:type="dxa"/>
            <w:shd w:val="clear" w:color="auto" w:fill="auto"/>
            <w:noWrap w:val="0"/>
            <w:vAlign w:val="top"/>
          </w:tcPr>
          <w:p w14:paraId="7182A302">
            <w:pPr>
              <w:pStyle w:val="9"/>
              <w:spacing w:before="178" w:line="226" w:lineRule="auto"/>
              <w:ind w:left="116" w:leftChars="0"/>
              <w:rPr>
                <w:rFonts w:ascii="Arial" w:hAnsi="Arial" w:eastAsia="宋体" w:cs="Arial"/>
                <w:b w:val="0"/>
                <w:snapToGrid w:val="0"/>
                <w:color w:val="000000" w:themeColor="text1"/>
                <w:sz w:val="24"/>
                <w:szCs w:val="20"/>
                <w:lang w:val="en-US" w:eastAsia="en-US" w:bidi="ar-SA"/>
                <w14:textFill>
                  <w14:solidFill>
                    <w14:schemeClr w14:val="tx1"/>
                  </w14:solidFill>
                </w14:textFill>
              </w:rPr>
            </w:pPr>
            <w:r>
              <w:rPr>
                <w:rFonts w:eastAsia="宋体"/>
                <w:b w:val="0"/>
                <w:color w:val="000000" w:themeColor="text1"/>
                <w:spacing w:val="9"/>
                <w:sz w:val="24"/>
                <w:szCs w:val="20"/>
                <w14:textFill>
                  <w14:solidFill>
                    <w14:schemeClr w14:val="tx1"/>
                  </w14:solidFill>
                </w14:textFill>
              </w:rPr>
              <w:t>旋转编码器信号干扰评价功能</w:t>
            </w:r>
          </w:p>
        </w:tc>
      </w:tr>
    </w:tbl>
    <w:p w14:paraId="6FC45966">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before="0" w:beforeAutospacing="0" w:after="0" w:afterAutospacing="0" w:line="360" w:lineRule="auto"/>
        <w:jc w:val="left"/>
        <w:textAlignment w:val="baseline"/>
        <w:rPr>
          <w:rFonts w:hint="eastAsia" w:ascii="宋体" w:hAnsi="宋体" w:eastAsia="宋体" w:cs="宋体"/>
          <w:color w:val="000000" w:themeColor="text1"/>
          <w:sz w:val="28"/>
          <w:lang w:val="en-US" w:eastAsia="zh-CN"/>
          <w14:textFill>
            <w14:solidFill>
              <w14:schemeClr w14:val="tx1"/>
            </w14:solidFill>
          </w14:textFill>
        </w:rPr>
      </w:pPr>
      <w:r>
        <w:rPr>
          <w:rFonts w:hint="eastAsia" w:ascii="宋体" w:hAnsi="宋体" w:eastAsia="宋体" w:cs="宋体"/>
          <w:color w:val="000000" w:themeColor="text1"/>
          <w:sz w:val="28"/>
          <w:lang w:val="en-US" w:eastAsia="zh-CN"/>
          <w14:textFill>
            <w14:solidFill>
              <w14:schemeClr w14:val="tx1"/>
            </w14:solidFill>
          </w14:textFill>
        </w:rPr>
        <w:t>注：</w:t>
      </w:r>
    </w:p>
    <w:p w14:paraId="760C583C">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before="0" w:beforeAutospacing="0" w:after="0" w:afterAutospacing="0" w:line="360" w:lineRule="auto"/>
        <w:jc w:val="left"/>
        <w:textAlignment w:val="baseline"/>
        <w:rPr>
          <w:rFonts w:hint="eastAsia" w:ascii="宋体" w:hAnsi="宋体" w:eastAsia="宋体" w:cs="宋体"/>
          <w:color w:val="000000" w:themeColor="text1"/>
          <w:sz w:val="28"/>
          <w14:textFill>
            <w14:solidFill>
              <w14:schemeClr w14:val="tx1"/>
            </w14:solidFill>
          </w14:textFill>
        </w:rPr>
      </w:pPr>
      <w:r>
        <w:rPr>
          <w:rFonts w:hint="eastAsia" w:ascii="宋体" w:hAnsi="宋体" w:eastAsia="宋体" w:cs="宋体"/>
          <w:color w:val="000000" w:themeColor="text1"/>
          <w:sz w:val="28"/>
          <w:lang w:val="en-US" w:eastAsia="zh-CN"/>
          <w14:textFill>
            <w14:solidFill>
              <w14:schemeClr w14:val="tx1"/>
            </w14:solidFill>
          </w14:textFill>
        </w:rPr>
        <w:t>1.</w:t>
      </w:r>
      <w:r>
        <w:rPr>
          <w:rFonts w:hint="eastAsia" w:ascii="宋体" w:hAnsi="宋体" w:eastAsia="宋体" w:cs="宋体"/>
          <w:color w:val="000000" w:themeColor="text1"/>
          <w:sz w:val="28"/>
          <w14:textFill>
            <w14:solidFill>
              <w14:schemeClr w14:val="tx1"/>
            </w14:solidFill>
          </w14:textFill>
        </w:rPr>
        <w:t>本采购文件提出的采购需求均为实质性要求（特别注明为非实质性要求的除外），供应商</w:t>
      </w:r>
      <w:r>
        <w:rPr>
          <w:rFonts w:hint="eastAsia" w:ascii="宋体" w:hAnsi="宋体" w:eastAsia="宋体" w:cs="宋体"/>
          <w:color w:val="000000" w:themeColor="text1"/>
          <w:sz w:val="28"/>
          <w:lang w:val="en-US" w:eastAsia="zh-CN"/>
          <w14:textFill>
            <w14:solidFill>
              <w14:schemeClr w14:val="tx1"/>
            </w14:solidFill>
          </w14:textFill>
        </w:rPr>
        <w:t>所投产品</w:t>
      </w:r>
      <w:r>
        <w:rPr>
          <w:rFonts w:hint="eastAsia" w:ascii="宋体" w:hAnsi="宋体" w:eastAsia="宋体" w:cs="宋体"/>
          <w:color w:val="000000" w:themeColor="text1"/>
          <w:sz w:val="28"/>
          <w14:textFill>
            <w14:solidFill>
              <w14:schemeClr w14:val="tx1"/>
            </w14:solidFill>
          </w14:textFill>
        </w:rPr>
        <w:t>应达到或优于本采购文件要求，且符合国家有关标准和规范要求。</w:t>
      </w:r>
    </w:p>
    <w:p w14:paraId="7BF2CABD">
      <w:pPr>
        <w:pStyle w:val="4"/>
        <w:keepNext w:val="0"/>
        <w:keepLines w:val="0"/>
        <w:pageBreakBefore w:val="0"/>
        <w:widowControl/>
        <w:kinsoku w:val="0"/>
        <w:wordWrap/>
        <w:overflowPunct/>
        <w:topLinePunct w:val="0"/>
        <w:autoSpaceDE w:val="0"/>
        <w:autoSpaceDN w:val="0"/>
        <w:bidi w:val="0"/>
        <w:adjustRightInd w:val="0"/>
        <w:snapToGrid w:val="0"/>
        <w:spacing w:beforeAutospacing="0" w:afterAutospacing="0" w:line="360" w:lineRule="auto"/>
        <w:textAlignment w:val="baseline"/>
        <w:rPr>
          <w:rFonts w:hint="eastAsia"/>
          <w:color w:val="000000" w:themeColor="text1"/>
          <w14:textFill>
            <w14:solidFill>
              <w14:schemeClr w14:val="tx1"/>
            </w14:solidFill>
          </w14:textFill>
        </w:rPr>
      </w:pPr>
      <w:r>
        <w:rPr>
          <w:rFonts w:hint="eastAsia" w:ascii="宋体" w:hAnsi="宋体" w:eastAsia="宋体" w:cs="宋体"/>
          <w:color w:val="000000" w:themeColor="text1"/>
          <w:sz w:val="28"/>
          <w:lang w:val="en-US" w:eastAsia="zh-CN"/>
          <w14:textFill>
            <w14:solidFill>
              <w14:schemeClr w14:val="tx1"/>
            </w14:solidFill>
          </w14:textFill>
        </w:rPr>
        <w:t>2.标记★条款须在响应文件中提供第三方检测机构出具的具有CMA标识的试（检）验报告复印件并加盖供应商公章。采购人有权核查拟成交供应商所提供的检测报告等材料原件。</w:t>
      </w:r>
    </w:p>
    <w:p w14:paraId="7C122D8E">
      <w:pPr>
        <w:keepNext w:val="0"/>
        <w:keepLines w:val="0"/>
        <w:widowControl/>
        <w:numPr>
          <w:ilvl w:val="0"/>
          <w:numId w:val="0"/>
        </w:numPr>
        <w:suppressLineNumbers w:val="0"/>
        <w:spacing w:before="0" w:beforeAutospacing="1" w:after="0" w:afterAutospacing="1" w:line="23" w:lineRule="atLeast"/>
        <w:jc w:val="left"/>
        <w:rPr>
          <w:rFonts w:hint="eastAsia" w:ascii="宋体" w:hAnsi="宋体" w:eastAsia="宋体" w:cs="宋体"/>
          <w:color w:val="000000" w:themeColor="text1"/>
          <w14:textFill>
            <w14:solidFill>
              <w14:schemeClr w14:val="tx1"/>
            </w14:solidFill>
          </w14:textFill>
        </w:rPr>
        <w:sectPr>
          <w:footerReference r:id="rId3" w:type="default"/>
          <w:pgSz w:w="11906" w:h="16839"/>
          <w:pgMar w:top="1429" w:right="1786" w:bottom="1429" w:left="1786" w:header="0" w:footer="994" w:gutter="0"/>
          <w:cols w:space="720" w:num="1"/>
        </w:sectPr>
      </w:pPr>
    </w:p>
    <w:p w14:paraId="5556C3FD">
      <w:pPr>
        <w:pStyle w:val="2"/>
        <w:keepNext w:val="0"/>
        <w:keepLines w:val="0"/>
        <w:widowControl/>
        <w:suppressLineNumbers w:val="0"/>
        <w:spacing w:line="23" w:lineRule="atLeast"/>
        <w:jc w:val="center"/>
        <w:rPr>
          <w:color w:val="000000" w:themeColor="text1"/>
          <w14:textFill>
            <w14:solidFill>
              <w14:schemeClr w14:val="tx1"/>
            </w14:solidFill>
          </w14:textFill>
        </w:rPr>
      </w:pPr>
      <w:r>
        <w:rPr>
          <w:color w:val="000000" w:themeColor="text1"/>
          <w14:textFill>
            <w14:solidFill>
              <w14:schemeClr w14:val="tx1"/>
            </w14:solidFill>
          </w14:textFill>
        </w:rPr>
        <w:t>（二）商务条件</w:t>
      </w:r>
    </w:p>
    <w:p w14:paraId="317C2BA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Fonts w:eastAsia="宋体"/>
          <w:b w:val="0"/>
          <w:color w:val="000000" w:themeColor="text1"/>
          <w:sz w:val="24"/>
          <w14:textFill>
            <w14:solidFill>
              <w14:schemeClr w14:val="tx1"/>
            </w14:solidFill>
          </w14:textFill>
        </w:rPr>
      </w:pPr>
      <w:r>
        <w:rPr>
          <w:rFonts w:eastAsia="宋体" w:asciiTheme="minorEastAsia" w:hAnsiTheme="minorEastAsia" w:cstheme="minorEastAsia"/>
          <w:b/>
          <w:bCs/>
          <w:color w:val="000000" w:themeColor="text1"/>
          <w:kern w:val="0"/>
          <w:sz w:val="24"/>
          <w:szCs w:val="24"/>
          <w:lang w:val="en-US" w:eastAsia="zh-CN" w:bidi="ar"/>
          <w14:textFill>
            <w14:solidFill>
              <w14:schemeClr w14:val="tx1"/>
            </w14:solidFill>
          </w14:textFill>
        </w:rPr>
        <w:t>1.</w:t>
      </w:r>
      <w:r>
        <w:rPr>
          <w:rStyle w:val="8"/>
          <w:rFonts w:hint="eastAsia" w:ascii="宋体" w:hAnsi="宋体" w:eastAsia="宋体" w:cs="宋体"/>
          <w:b/>
          <w:bCs/>
          <w:color w:val="000000" w:themeColor="text1"/>
          <w:sz w:val="24"/>
          <w14:textFill>
            <w14:solidFill>
              <w14:schemeClr w14:val="tx1"/>
            </w14:solidFill>
          </w14:textFill>
        </w:rPr>
        <w:t>交货期：</w:t>
      </w:r>
      <w:r>
        <w:rPr>
          <w:rFonts w:hint="eastAsia" w:ascii="宋体" w:hAnsi="宋体" w:eastAsia="宋体" w:cs="宋体"/>
          <w:b w:val="0"/>
          <w:color w:val="000000" w:themeColor="text1"/>
          <w:sz w:val="24"/>
          <w14:textFill>
            <w14:solidFill>
              <w14:schemeClr w14:val="tx1"/>
            </w14:solidFill>
          </w14:textFill>
        </w:rPr>
        <w:t>合同签订后60天内完成安装调试验收。</w:t>
      </w:r>
    </w:p>
    <w:p w14:paraId="5A982353">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bCs/>
          <w:color w:val="000000" w:themeColor="text1"/>
          <w:kern w:val="0"/>
          <w:sz w:val="24"/>
          <w:szCs w:val="24"/>
          <w:lang w:val="en-US" w:eastAsia="zh-CN" w:bidi="ar"/>
          <w14:textFill>
            <w14:solidFill>
              <w14:schemeClr w14:val="tx1"/>
            </w14:solidFill>
          </w14:textFill>
        </w:rPr>
        <w:t>2.</w:t>
      </w:r>
      <w:r>
        <w:rPr>
          <w:rStyle w:val="8"/>
          <w:rFonts w:hint="eastAsia" w:ascii="宋体" w:hAnsi="宋体" w:eastAsia="宋体" w:cs="宋体"/>
          <w:b/>
          <w:bCs/>
          <w:color w:val="000000" w:themeColor="text1"/>
          <w:sz w:val="24"/>
          <w14:textFill>
            <w14:solidFill>
              <w14:schemeClr w14:val="tx1"/>
            </w14:solidFill>
          </w14:textFill>
        </w:rPr>
        <w:t>质保期：</w:t>
      </w:r>
    </w:p>
    <w:p w14:paraId="3AECC41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color w:val="000000" w:themeColor="text1"/>
          <w:sz w:val="24"/>
          <w:lang w:val="en-US" w:eastAsia="zh-CN"/>
          <w14:textFill>
            <w14:solidFill>
              <w14:schemeClr w14:val="tx1"/>
            </w14:solidFill>
          </w14:textFill>
        </w:rPr>
        <w:t>2.1质保期：</w:t>
      </w:r>
      <w:r>
        <w:rPr>
          <w:rFonts w:hint="eastAsia" w:ascii="宋体" w:hAnsi="宋体" w:eastAsia="宋体" w:cs="宋体"/>
          <w:b w:val="0"/>
          <w:color w:val="000000" w:themeColor="text1"/>
          <w:sz w:val="24"/>
          <w14:textFill>
            <w14:solidFill>
              <w14:schemeClr w14:val="tx1"/>
            </w14:solidFill>
          </w14:textFill>
        </w:rPr>
        <w:t>所投产品须提供</w:t>
      </w:r>
      <w:r>
        <w:rPr>
          <w:rFonts w:hint="eastAsia" w:ascii="宋体" w:hAnsi="宋体" w:eastAsia="宋体" w:cs="宋体"/>
          <w:b w:val="0"/>
          <w:color w:val="000000" w:themeColor="text1"/>
          <w:sz w:val="24"/>
          <w:lang w:val="en-US" w:eastAsia="zh-CN"/>
          <w14:textFill>
            <w14:solidFill>
              <w14:schemeClr w14:val="tx1"/>
            </w14:solidFill>
          </w14:textFill>
        </w:rPr>
        <w:t>壹</w:t>
      </w:r>
      <w:r>
        <w:rPr>
          <w:rFonts w:hint="eastAsia" w:ascii="宋体" w:hAnsi="宋体" w:eastAsia="宋体" w:cs="宋体"/>
          <w:b w:val="0"/>
          <w:color w:val="000000" w:themeColor="text1"/>
          <w:sz w:val="24"/>
          <w14:textFill>
            <w14:solidFill>
              <w14:schemeClr w14:val="tx1"/>
            </w14:solidFill>
          </w14:textFill>
        </w:rPr>
        <w:t>年质保服务。</w:t>
      </w:r>
    </w:p>
    <w:p w14:paraId="5BE7887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bCs/>
          <w:color w:val="000000" w:themeColor="text1"/>
          <w:sz w:val="24"/>
          <w:lang w:val="en-US" w:eastAsia="zh-CN"/>
          <w14:textFill>
            <w14:solidFill>
              <w14:schemeClr w14:val="tx1"/>
            </w14:solidFill>
          </w14:textFill>
        </w:rPr>
        <w:t>2.2</w:t>
      </w:r>
      <w:r>
        <w:rPr>
          <w:rFonts w:hint="eastAsia" w:ascii="宋体" w:hAnsi="宋体" w:eastAsia="宋体" w:cs="宋体"/>
          <w:b/>
          <w:bCs/>
          <w:color w:val="000000" w:themeColor="text1"/>
          <w:sz w:val="24"/>
          <w14:textFill>
            <w14:solidFill>
              <w14:schemeClr w14:val="tx1"/>
            </w14:solidFill>
          </w14:textFill>
        </w:rPr>
        <w:t>本项目采用“电梯设备＋维保服务”一体化采购模式，成交供应商应与采购人分别签订设备合同和维保服务合同。维保服务期自设备质保期届满之日起计算，为期60个月。(按照GB(T18775)《电梯维修规范》、《电梯日常维护保养规则》执行免费维护保养）。</w:t>
      </w:r>
    </w:p>
    <w:p w14:paraId="2DACB0CD">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bCs/>
          <w:color w:val="000000" w:themeColor="text1"/>
          <w:sz w:val="24"/>
          <w:lang w:val="en-US" w:eastAsia="zh-CN"/>
          <w14:textFill>
            <w14:solidFill>
              <w14:schemeClr w14:val="tx1"/>
            </w14:solidFill>
          </w14:textFill>
        </w:rPr>
        <w:t>3.</w:t>
      </w:r>
      <w:r>
        <w:rPr>
          <w:rFonts w:hint="eastAsia" w:ascii="宋体" w:hAnsi="宋体" w:eastAsia="宋体" w:cs="宋体"/>
          <w:b w:val="0"/>
          <w:color w:val="000000" w:themeColor="text1"/>
          <w:sz w:val="24"/>
          <w14:textFill>
            <w14:solidFill>
              <w14:schemeClr w14:val="tx1"/>
            </w14:solidFill>
          </w14:textFill>
        </w:rPr>
        <w:t>所投产品技术规格不仅限于技术参数中所列规格，若产品具有国家相应强制标准，所投产品必须符合。</w:t>
      </w:r>
    </w:p>
    <w:p w14:paraId="69B70E6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bCs/>
          <w:color w:val="000000" w:themeColor="text1"/>
          <w:sz w:val="24"/>
          <w:lang w:val="en-US" w:eastAsia="zh-CN"/>
          <w14:textFill>
            <w14:solidFill>
              <w14:schemeClr w14:val="tx1"/>
            </w14:solidFill>
          </w14:textFill>
        </w:rPr>
        <w:t>4.</w:t>
      </w:r>
      <w:r>
        <w:rPr>
          <w:rFonts w:hint="eastAsia" w:ascii="宋体" w:hAnsi="宋体" w:eastAsia="宋体" w:cs="宋体"/>
          <w:b w:val="0"/>
          <w:color w:val="000000" w:themeColor="text1"/>
          <w:sz w:val="24"/>
          <w14:textFill>
            <w14:solidFill>
              <w14:schemeClr w14:val="tx1"/>
            </w14:solidFill>
          </w14:textFill>
        </w:rPr>
        <w:t>中标单位货物进场安装、施工前，须和业主进行收货和技术交底，并形成记录文件,否则不予验收。中标单位须派遣（委托）具有相应施工、安装资质的单位（个人），依照合同、设计施工图纸（若有）、国家相应安装、施工规范进行实施项目，做到持证上岗、安全施工。</w:t>
      </w:r>
    </w:p>
    <w:p w14:paraId="02633460">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bCs/>
          <w:color w:val="000000" w:themeColor="text1"/>
          <w:kern w:val="0"/>
          <w:sz w:val="24"/>
          <w:szCs w:val="24"/>
          <w:lang w:val="en-US" w:eastAsia="zh-CN" w:bidi="ar"/>
          <w14:textFill>
            <w14:solidFill>
              <w14:schemeClr w14:val="tx1"/>
            </w14:solidFill>
          </w14:textFill>
        </w:rPr>
        <w:t>5.</w:t>
      </w:r>
      <w:r>
        <w:rPr>
          <w:rStyle w:val="8"/>
          <w:rFonts w:hint="eastAsia" w:ascii="宋体" w:hAnsi="宋体" w:eastAsia="宋体" w:cs="宋体"/>
          <w:b/>
          <w:bCs/>
          <w:color w:val="000000" w:themeColor="text1"/>
          <w:sz w:val="24"/>
          <w14:textFill>
            <w14:solidFill>
              <w14:schemeClr w14:val="tx1"/>
            </w14:solidFill>
          </w14:textFill>
        </w:rPr>
        <w:t>付款方式：</w:t>
      </w:r>
      <w:r>
        <w:rPr>
          <w:rFonts w:hint="eastAsia" w:ascii="宋体" w:hAnsi="宋体" w:eastAsia="宋体" w:cs="宋体"/>
          <w:b w:val="0"/>
          <w:color w:val="000000" w:themeColor="text1"/>
          <w:sz w:val="24"/>
          <w14:textFill>
            <w14:solidFill>
              <w14:schemeClr w14:val="tx1"/>
            </w14:solidFill>
          </w14:textFill>
        </w:rPr>
        <w:t xml:space="preserve">设备安装完成并验收合格后，支付合同总额价款的 </w:t>
      </w:r>
      <w:r>
        <w:rPr>
          <w:rFonts w:hint="eastAsia" w:ascii="宋体" w:hAnsi="宋体" w:eastAsia="宋体" w:cs="宋体"/>
          <w:b w:val="0"/>
          <w:color w:val="000000" w:themeColor="text1"/>
          <w:sz w:val="24"/>
          <w:lang w:val="en-US" w:eastAsia="zh-CN"/>
          <w14:textFill>
            <w14:solidFill>
              <w14:schemeClr w14:val="tx1"/>
            </w14:solidFill>
          </w14:textFill>
        </w:rPr>
        <w:t>95</w:t>
      </w:r>
      <w:r>
        <w:rPr>
          <w:rFonts w:hint="eastAsia" w:ascii="宋体" w:hAnsi="宋体" w:eastAsia="宋体" w:cs="宋体"/>
          <w:b w:val="0"/>
          <w:color w:val="000000" w:themeColor="text1"/>
          <w:sz w:val="24"/>
          <w14:textFill>
            <w14:solidFill>
              <w14:schemeClr w14:val="tx1"/>
            </w14:solidFill>
          </w14:textFill>
        </w:rPr>
        <w:t>%。余款5%质保期满后付清。</w:t>
      </w:r>
    </w:p>
    <w:p w14:paraId="5DD94DE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bCs/>
          <w:color w:val="000000" w:themeColor="text1"/>
          <w:kern w:val="0"/>
          <w:sz w:val="24"/>
          <w:szCs w:val="24"/>
          <w:lang w:val="en-US" w:eastAsia="zh-CN" w:bidi="ar"/>
          <w14:textFill>
            <w14:solidFill>
              <w14:schemeClr w14:val="tx1"/>
            </w14:solidFill>
          </w14:textFill>
        </w:rPr>
        <w:t>6.</w:t>
      </w:r>
      <w:r>
        <w:rPr>
          <w:rFonts w:hint="eastAsia" w:ascii="宋体" w:hAnsi="宋体" w:eastAsia="宋体" w:cs="宋体"/>
          <w:b w:val="0"/>
          <w:color w:val="000000" w:themeColor="text1"/>
          <w:sz w:val="24"/>
          <w14:textFill>
            <w14:solidFill>
              <w14:schemeClr w14:val="tx1"/>
            </w14:solidFill>
          </w14:textFill>
        </w:rPr>
        <w:t>本项目为交钥匙工程，采购包含项目的设计，产品的安装、调试、培训、验收等一切事项费用。</w:t>
      </w:r>
    </w:p>
    <w:p w14:paraId="2C3F2978">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Style w:val="8"/>
          <w:rFonts w:hint="eastAsia" w:ascii="宋体" w:hAnsi="宋体" w:eastAsia="宋体" w:cs="宋体"/>
          <w:b/>
          <w:bCs/>
          <w:color w:val="000000" w:themeColor="text1"/>
          <w:sz w:val="24"/>
          <w14:textFill>
            <w14:solidFill>
              <w14:schemeClr w14:val="tx1"/>
            </w14:solidFill>
          </w14:textFill>
        </w:rPr>
      </w:pPr>
      <w:r>
        <w:rPr>
          <w:rFonts w:hint="eastAsia" w:eastAsia="宋体" w:cstheme="minorEastAsia"/>
          <w:b/>
          <w:bCs/>
          <w:color w:val="000000" w:themeColor="text1"/>
          <w:kern w:val="0"/>
          <w:sz w:val="24"/>
          <w:szCs w:val="24"/>
          <w:lang w:val="en-US" w:eastAsia="zh-CN" w:bidi="ar"/>
          <w14:textFill>
            <w14:solidFill>
              <w14:schemeClr w14:val="tx1"/>
            </w14:solidFill>
          </w14:textFill>
        </w:rPr>
        <w:t>7</w:t>
      </w:r>
      <w:r>
        <w:rPr>
          <w:rFonts w:eastAsia="宋体" w:asciiTheme="minorEastAsia" w:hAnsiTheme="minorEastAsia" w:cstheme="minorEastAsia"/>
          <w:b/>
          <w:bCs/>
          <w:color w:val="000000" w:themeColor="text1"/>
          <w:kern w:val="0"/>
          <w:sz w:val="24"/>
          <w:szCs w:val="24"/>
          <w:lang w:val="en-US" w:eastAsia="zh-CN" w:bidi="ar"/>
          <w14:textFill>
            <w14:solidFill>
              <w14:schemeClr w14:val="tx1"/>
            </w14:solidFill>
          </w14:textFill>
        </w:rPr>
        <w:t>.</w:t>
      </w:r>
      <w:r>
        <w:rPr>
          <w:rStyle w:val="8"/>
          <w:rFonts w:hint="eastAsia" w:ascii="宋体" w:hAnsi="宋体" w:eastAsia="宋体" w:cs="宋体"/>
          <w:b/>
          <w:bCs/>
          <w:color w:val="000000" w:themeColor="text1"/>
          <w:sz w:val="24"/>
          <w14:textFill>
            <w14:solidFill>
              <w14:schemeClr w14:val="tx1"/>
            </w14:solidFill>
          </w14:textFill>
        </w:rPr>
        <w:t>售后服务：</w:t>
      </w:r>
    </w:p>
    <w:p w14:paraId="4B7AD20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textAlignment w:val="auto"/>
        <w:rPr>
          <w:rFonts w:hint="eastAsia"/>
          <w:b/>
          <w:bCs w:val="0"/>
          <w:color w:val="000000" w:themeColor="text1"/>
          <w14:textFill>
            <w14:solidFill>
              <w14:schemeClr w14:val="tx1"/>
            </w14:solidFill>
          </w14:textFill>
        </w:rPr>
      </w:pPr>
      <w:r>
        <w:rPr>
          <w:rStyle w:val="8"/>
          <w:rFonts w:hint="eastAsia" w:ascii="宋体" w:hAnsi="宋体" w:eastAsia="宋体" w:cs="宋体"/>
          <w:b/>
          <w:bCs w:val="0"/>
          <w:color w:val="000000" w:themeColor="text1"/>
          <w:sz w:val="24"/>
          <w:lang w:val="en-US" w:eastAsia="zh-CN"/>
          <w14:textFill>
            <w14:solidFill>
              <w14:schemeClr w14:val="tx1"/>
            </w14:solidFill>
          </w14:textFill>
        </w:rPr>
        <w:t>7.1</w:t>
      </w:r>
      <w:r>
        <w:rPr>
          <w:rStyle w:val="8"/>
          <w:rFonts w:hint="eastAsia" w:ascii="宋体" w:hAnsi="宋体" w:eastAsia="宋体" w:cs="宋体"/>
          <w:b/>
          <w:bCs w:val="0"/>
          <w:color w:val="000000" w:themeColor="text1"/>
          <w:sz w:val="24"/>
          <w14:textFill>
            <w14:solidFill>
              <w14:schemeClr w14:val="tx1"/>
            </w14:solidFill>
          </w14:textFill>
        </w:rPr>
        <w:t>维保服务期为:自设备质保期届满之日起计算，为期60个月</w:t>
      </w:r>
    </w:p>
    <w:p w14:paraId="6DF3FEEC">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Style w:val="8"/>
          <w:rFonts w:hint="eastAsia" w:ascii="宋体" w:hAnsi="宋体" w:eastAsia="宋体" w:cs="宋体"/>
          <w:b w:val="0"/>
          <w:bCs/>
          <w:color w:val="000000" w:themeColor="text1"/>
          <w:sz w:val="24"/>
          <w14:textFill>
            <w14:solidFill>
              <w14:schemeClr w14:val="tx1"/>
            </w14:solidFill>
          </w14:textFill>
        </w:rPr>
      </w:pPr>
      <w:r>
        <w:rPr>
          <w:rStyle w:val="8"/>
          <w:rFonts w:hint="eastAsia" w:ascii="宋体" w:hAnsi="宋体" w:eastAsia="宋体" w:cs="宋体"/>
          <w:b/>
          <w:bCs/>
          <w:color w:val="000000" w:themeColor="text1"/>
          <w:sz w:val="24"/>
          <w:lang w:val="en-US" w:eastAsia="zh-CN"/>
          <w14:textFill>
            <w14:solidFill>
              <w14:schemeClr w14:val="tx1"/>
            </w14:solidFill>
          </w14:textFill>
        </w:rPr>
        <w:t>7.2</w:t>
      </w:r>
      <w:r>
        <w:rPr>
          <w:rStyle w:val="8"/>
          <w:rFonts w:hint="eastAsia" w:ascii="宋体" w:hAnsi="宋体" w:eastAsia="宋体" w:cs="宋体"/>
          <w:b/>
          <w:bCs/>
          <w:color w:val="000000" w:themeColor="text1"/>
          <w:sz w:val="24"/>
          <w14:textFill>
            <w14:solidFill>
              <w14:schemeClr w14:val="tx1"/>
            </w14:solidFill>
          </w14:textFill>
        </w:rPr>
        <w:t>安装和调试：</w:t>
      </w:r>
      <w:r>
        <w:rPr>
          <w:rStyle w:val="8"/>
          <w:rFonts w:hint="eastAsia" w:ascii="宋体" w:hAnsi="宋体" w:eastAsia="宋体" w:cs="宋体"/>
          <w:b w:val="0"/>
          <w:bCs/>
          <w:color w:val="000000" w:themeColor="text1"/>
          <w:sz w:val="24"/>
          <w14:textFill>
            <w14:solidFill>
              <w14:schemeClr w14:val="tx1"/>
            </w14:solidFill>
          </w14:textFill>
        </w:rPr>
        <w:t>成交供应商负责派厂家技术人员到现场进行免费安装调试，直至验收合格；成交供应商应在设备运抵现场一周前，向采购人提供设备安装调试及运行的进度计划表。</w:t>
      </w:r>
    </w:p>
    <w:p w14:paraId="7460A52C">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Style w:val="8"/>
          <w:rFonts w:hint="eastAsia" w:ascii="宋体" w:hAnsi="宋体" w:eastAsia="宋体" w:cs="宋体"/>
          <w:b w:val="0"/>
          <w:bCs/>
          <w:color w:val="000000" w:themeColor="text1"/>
          <w:sz w:val="24"/>
          <w14:textFill>
            <w14:solidFill>
              <w14:schemeClr w14:val="tx1"/>
            </w14:solidFill>
          </w14:textFill>
        </w:rPr>
      </w:pPr>
      <w:r>
        <w:rPr>
          <w:rStyle w:val="8"/>
          <w:rFonts w:hint="eastAsia" w:ascii="宋体" w:hAnsi="宋体" w:eastAsia="宋体" w:cs="宋体"/>
          <w:b/>
          <w:bCs/>
          <w:color w:val="000000" w:themeColor="text1"/>
          <w:sz w:val="24"/>
          <w:lang w:val="en-US" w:eastAsia="zh-CN"/>
          <w14:textFill>
            <w14:solidFill>
              <w14:schemeClr w14:val="tx1"/>
            </w14:solidFill>
          </w14:textFill>
        </w:rPr>
        <w:t>7.3</w:t>
      </w:r>
      <w:r>
        <w:rPr>
          <w:rStyle w:val="8"/>
          <w:rFonts w:hint="eastAsia" w:ascii="宋体" w:hAnsi="宋体" w:eastAsia="宋体" w:cs="宋体"/>
          <w:b/>
          <w:bCs/>
          <w:color w:val="000000" w:themeColor="text1"/>
          <w:sz w:val="24"/>
          <w14:textFill>
            <w14:solidFill>
              <w14:schemeClr w14:val="tx1"/>
            </w14:solidFill>
          </w14:textFill>
        </w:rPr>
        <w:t>技术培训：</w:t>
      </w:r>
      <w:r>
        <w:rPr>
          <w:rStyle w:val="8"/>
          <w:rFonts w:hint="eastAsia" w:ascii="宋体" w:hAnsi="宋体" w:eastAsia="宋体" w:cs="宋体"/>
          <w:b w:val="0"/>
          <w:bCs/>
          <w:color w:val="000000" w:themeColor="text1"/>
          <w:sz w:val="24"/>
          <w14:textFill>
            <w14:solidFill>
              <w14:schemeClr w14:val="tx1"/>
            </w14:solidFill>
          </w14:textFill>
        </w:rPr>
        <w:t>成交供应商应负责对采购人人员进行现场培训，直至采购人人员能完全操作和维护设备。</w:t>
      </w:r>
    </w:p>
    <w:p w14:paraId="044A353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Style w:val="8"/>
          <w:rFonts w:hint="eastAsia" w:ascii="宋体" w:hAnsi="宋体" w:eastAsia="宋体" w:cs="宋体"/>
          <w:b w:val="0"/>
          <w:bCs/>
          <w:color w:val="000000" w:themeColor="text1"/>
          <w:sz w:val="24"/>
          <w14:textFill>
            <w14:solidFill>
              <w14:schemeClr w14:val="tx1"/>
            </w14:solidFill>
          </w14:textFill>
        </w:rPr>
      </w:pPr>
      <w:r>
        <w:rPr>
          <w:rStyle w:val="8"/>
          <w:rFonts w:hint="eastAsia" w:ascii="宋体" w:hAnsi="宋体" w:eastAsia="宋体" w:cs="宋体"/>
          <w:b/>
          <w:bCs w:val="0"/>
          <w:color w:val="000000" w:themeColor="text1"/>
          <w:sz w:val="24"/>
          <w:lang w:val="en-US" w:eastAsia="zh-CN"/>
          <w14:textFill>
            <w14:solidFill>
              <w14:schemeClr w14:val="tx1"/>
            </w14:solidFill>
          </w14:textFill>
        </w:rPr>
        <w:t>7.4</w:t>
      </w:r>
      <w:r>
        <w:rPr>
          <w:rStyle w:val="8"/>
          <w:rFonts w:hint="eastAsia" w:ascii="宋体" w:hAnsi="宋体" w:eastAsia="宋体" w:cs="宋体"/>
          <w:b/>
          <w:bCs w:val="0"/>
          <w:color w:val="000000" w:themeColor="text1"/>
          <w:sz w:val="24"/>
          <w14:textFill>
            <w14:solidFill>
              <w14:schemeClr w14:val="tx1"/>
            </w14:solidFill>
          </w14:textFill>
        </w:rPr>
        <w:t>发生质量问题的处理方式：</w:t>
      </w:r>
      <w:r>
        <w:rPr>
          <w:rStyle w:val="8"/>
          <w:rFonts w:hint="eastAsia" w:ascii="宋体" w:hAnsi="宋体" w:eastAsia="宋体" w:cs="宋体"/>
          <w:b w:val="0"/>
          <w:bCs/>
          <w:color w:val="000000" w:themeColor="text1"/>
          <w:sz w:val="24"/>
          <w14:textFill>
            <w14:solidFill>
              <w14:schemeClr w14:val="tx1"/>
            </w14:solidFill>
          </w14:textFill>
        </w:rPr>
        <w:t>成交供应商应及时排除故障，进行必要的修理，无偿更换非人为损坏或不能正常工作的机件。</w:t>
      </w:r>
      <w:r>
        <w:rPr>
          <w:rStyle w:val="8"/>
          <w:rFonts w:hint="eastAsia" w:ascii="宋体" w:hAnsi="宋体" w:eastAsia="宋体" w:cs="宋体"/>
          <w:b w:val="0"/>
          <w:bCs/>
          <w:color w:val="000000" w:themeColor="text1"/>
          <w:sz w:val="24"/>
          <w:lang w:val="en-US" w:eastAsia="zh-CN"/>
          <w14:textFill>
            <w14:solidFill>
              <w14:schemeClr w14:val="tx1"/>
            </w14:solidFill>
          </w14:textFill>
        </w:rPr>
        <w:t>质保</w:t>
      </w:r>
      <w:r>
        <w:rPr>
          <w:rStyle w:val="8"/>
          <w:rFonts w:hint="eastAsia" w:ascii="宋体" w:hAnsi="宋体" w:eastAsia="宋体" w:cs="宋体"/>
          <w:b w:val="0"/>
          <w:bCs/>
          <w:color w:val="000000" w:themeColor="text1"/>
          <w:sz w:val="24"/>
          <w14:textFill>
            <w14:solidFill>
              <w14:schemeClr w14:val="tx1"/>
            </w14:solidFill>
          </w14:textFill>
        </w:rPr>
        <w:t>期内，如果有因质量问题而引起的损坏，成交供应商应对货物予以维修或更换，全部服务费和更换货物或配件的费用由成交供应商承担，成交供应商如不能修理或不能调换，按货物原价赔偿处理。</w:t>
      </w:r>
    </w:p>
    <w:p w14:paraId="24EC703C">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Style w:val="8"/>
          <w:rFonts w:hint="default" w:ascii="宋体" w:hAnsi="宋体" w:eastAsia="宋体" w:cs="宋体"/>
          <w:b w:val="0"/>
          <w:bCs/>
          <w:color w:val="000000" w:themeColor="text1"/>
          <w:sz w:val="24"/>
          <w:lang w:val="en-US" w:eastAsia="zh-CN"/>
          <w14:textFill>
            <w14:solidFill>
              <w14:schemeClr w14:val="tx1"/>
            </w14:solidFill>
          </w14:textFill>
        </w:rPr>
      </w:pPr>
      <w:r>
        <w:rPr>
          <w:rStyle w:val="8"/>
          <w:rFonts w:hint="eastAsia" w:ascii="宋体" w:hAnsi="宋体" w:eastAsia="宋体" w:cs="宋体"/>
          <w:b/>
          <w:bCs w:val="0"/>
          <w:color w:val="000000" w:themeColor="text1"/>
          <w:sz w:val="24"/>
          <w:lang w:val="en-US" w:eastAsia="zh-CN"/>
          <w14:textFill>
            <w14:solidFill>
              <w14:schemeClr w14:val="tx1"/>
            </w14:solidFill>
          </w14:textFill>
        </w:rPr>
        <w:t>7.5</w:t>
      </w:r>
      <w:r>
        <w:rPr>
          <w:rStyle w:val="8"/>
          <w:rFonts w:hint="eastAsia" w:ascii="宋体" w:hAnsi="宋体" w:eastAsia="宋体" w:cs="宋体"/>
          <w:b w:val="0"/>
          <w:bCs/>
          <w:color w:val="000000" w:themeColor="text1"/>
          <w:sz w:val="24"/>
          <w:lang w:val="en-US" w:eastAsia="zh-CN"/>
          <w14:textFill>
            <w14:solidFill>
              <w14:schemeClr w14:val="tx1"/>
            </w14:solidFill>
          </w14:textFill>
        </w:rPr>
        <w:t>凡在质保期和维保服务期内非人为原因损坏而作了更换处理的零部件，应继续有12个月的质量维保服务期(易损件除外)。</w:t>
      </w:r>
    </w:p>
    <w:p w14:paraId="38991380">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Style w:val="8"/>
          <w:rFonts w:hint="eastAsia" w:ascii="宋体" w:hAnsi="宋体" w:eastAsia="宋体" w:cs="宋体"/>
          <w:b w:val="0"/>
          <w:bCs/>
          <w:color w:val="000000" w:themeColor="text1"/>
          <w:sz w:val="24"/>
          <w14:textFill>
            <w14:solidFill>
              <w14:schemeClr w14:val="tx1"/>
            </w14:solidFill>
          </w14:textFill>
        </w:rPr>
      </w:pPr>
      <w:r>
        <w:rPr>
          <w:rStyle w:val="8"/>
          <w:rFonts w:hint="eastAsia" w:ascii="宋体" w:hAnsi="宋体" w:eastAsia="宋体" w:cs="宋体"/>
          <w:b/>
          <w:bCs/>
          <w:color w:val="000000" w:themeColor="text1"/>
          <w:sz w:val="24"/>
          <w:lang w:val="en-US" w:eastAsia="zh-CN"/>
          <w14:textFill>
            <w14:solidFill>
              <w14:schemeClr w14:val="tx1"/>
            </w14:solidFill>
          </w14:textFill>
        </w:rPr>
        <w:t>7.6</w:t>
      </w:r>
      <w:r>
        <w:rPr>
          <w:rStyle w:val="8"/>
          <w:rFonts w:hint="eastAsia" w:ascii="宋体" w:hAnsi="宋体" w:eastAsia="宋体" w:cs="宋体"/>
          <w:b/>
          <w:bCs/>
          <w:color w:val="000000" w:themeColor="text1"/>
          <w:sz w:val="24"/>
          <w14:textFill>
            <w14:solidFill>
              <w14:schemeClr w14:val="tx1"/>
            </w14:solidFill>
          </w14:textFill>
        </w:rPr>
        <w:t>故障响应时间：</w:t>
      </w:r>
      <w:r>
        <w:rPr>
          <w:rStyle w:val="8"/>
          <w:rFonts w:hint="eastAsia" w:ascii="宋体" w:hAnsi="宋体" w:eastAsia="宋体" w:cs="宋体"/>
          <w:b w:val="0"/>
          <w:bCs/>
          <w:color w:val="000000" w:themeColor="text1"/>
          <w:sz w:val="24"/>
          <w14:textFill>
            <w14:solidFill>
              <w14:schemeClr w14:val="tx1"/>
            </w14:solidFill>
          </w14:textFill>
        </w:rPr>
        <w:t>成交供应商在保修期内要求经常回访，有问题做到及时处理。出现质量问题或故障时，响应时间≤2 小时，工程师应在 8 小时内到达现场并排除故障，零配件供应及时。保修期内如同一故障发生三次，或在三个月内无法修复，成交供应商无条件换货；如保修期内因故障停机，按停机时间的双倍顺延保修期；</w:t>
      </w:r>
    </w:p>
    <w:p w14:paraId="02A55DD8">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Style w:val="8"/>
          <w:rFonts w:hint="eastAsia" w:ascii="宋体" w:hAnsi="宋体" w:eastAsia="宋体" w:cs="宋体"/>
          <w:b w:val="0"/>
          <w:bCs/>
          <w:color w:val="000000" w:themeColor="text1"/>
          <w:sz w:val="24"/>
          <w14:textFill>
            <w14:solidFill>
              <w14:schemeClr w14:val="tx1"/>
            </w14:solidFill>
          </w14:textFill>
        </w:rPr>
      </w:pPr>
      <w:r>
        <w:rPr>
          <w:rStyle w:val="8"/>
          <w:rFonts w:hint="eastAsia" w:ascii="宋体" w:hAnsi="宋体" w:eastAsia="宋体" w:cs="宋体"/>
          <w:b/>
          <w:bCs/>
          <w:color w:val="000000" w:themeColor="text1"/>
          <w:sz w:val="24"/>
          <w:lang w:val="en-US" w:eastAsia="zh-CN"/>
          <w14:textFill>
            <w14:solidFill>
              <w14:schemeClr w14:val="tx1"/>
            </w14:solidFill>
          </w14:textFill>
        </w:rPr>
        <w:t>7.7</w:t>
      </w:r>
      <w:r>
        <w:rPr>
          <w:rStyle w:val="8"/>
          <w:rFonts w:hint="eastAsia" w:ascii="宋体" w:hAnsi="宋体" w:eastAsia="宋体" w:cs="宋体"/>
          <w:b/>
          <w:bCs/>
          <w:color w:val="000000" w:themeColor="text1"/>
          <w:sz w:val="24"/>
          <w14:textFill>
            <w14:solidFill>
              <w14:schemeClr w14:val="tx1"/>
            </w14:solidFill>
          </w14:textFill>
        </w:rPr>
        <w:t>保修期外售后服务要求：</w:t>
      </w:r>
      <w:r>
        <w:rPr>
          <w:rStyle w:val="8"/>
          <w:rFonts w:hint="eastAsia" w:ascii="宋体" w:hAnsi="宋体" w:eastAsia="宋体" w:cs="宋体"/>
          <w:b w:val="0"/>
          <w:bCs/>
          <w:color w:val="000000" w:themeColor="text1"/>
          <w:sz w:val="24"/>
          <w:lang w:val="en-US" w:eastAsia="zh-CN"/>
          <w14:textFill>
            <w14:solidFill>
              <w14:schemeClr w14:val="tx1"/>
            </w14:solidFill>
          </w14:textFill>
        </w:rPr>
        <w:t>质保</w:t>
      </w:r>
      <w:r>
        <w:rPr>
          <w:rStyle w:val="8"/>
          <w:rFonts w:hint="eastAsia" w:ascii="宋体" w:hAnsi="宋体" w:eastAsia="宋体" w:cs="宋体"/>
          <w:b w:val="0"/>
          <w:bCs/>
          <w:color w:val="000000" w:themeColor="text1"/>
          <w:sz w:val="24"/>
          <w14:textFill>
            <w14:solidFill>
              <w14:schemeClr w14:val="tx1"/>
            </w14:solidFill>
          </w14:textFill>
        </w:rPr>
        <w:t>期满后，一旦发生质量问题，成交供应商保证在接到通知 8 小时内赶到现场进行修理或更换，只收取配件费。</w:t>
      </w:r>
    </w:p>
    <w:p w14:paraId="03CF2F33">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Style w:val="8"/>
          <w:rFonts w:hint="eastAsia" w:ascii="宋体" w:hAnsi="宋体" w:eastAsia="宋体" w:cs="宋体"/>
          <w:b w:val="0"/>
          <w:bCs/>
          <w:color w:val="000000" w:themeColor="text1"/>
          <w:sz w:val="24"/>
          <w14:textFill>
            <w14:solidFill>
              <w14:schemeClr w14:val="tx1"/>
            </w14:solidFill>
          </w14:textFill>
        </w:rPr>
      </w:pPr>
      <w:r>
        <w:rPr>
          <w:rStyle w:val="8"/>
          <w:rFonts w:hint="eastAsia" w:ascii="宋体" w:hAnsi="宋体" w:eastAsia="宋体" w:cs="宋体"/>
          <w:b/>
          <w:bCs w:val="0"/>
          <w:color w:val="000000" w:themeColor="text1"/>
          <w:sz w:val="24"/>
          <w:lang w:val="en-US" w:eastAsia="zh-CN"/>
          <w14:textFill>
            <w14:solidFill>
              <w14:schemeClr w14:val="tx1"/>
            </w14:solidFill>
          </w14:textFill>
        </w:rPr>
        <w:t>7.8</w:t>
      </w:r>
      <w:r>
        <w:rPr>
          <w:rStyle w:val="8"/>
          <w:rFonts w:hint="eastAsia" w:ascii="宋体" w:hAnsi="宋体" w:eastAsia="宋体" w:cs="宋体"/>
          <w:b w:val="0"/>
          <w:bCs/>
          <w:color w:val="000000" w:themeColor="text1"/>
          <w:sz w:val="24"/>
          <w14:textFill>
            <w14:solidFill>
              <w14:schemeClr w14:val="tx1"/>
            </w14:solidFill>
          </w14:textFill>
        </w:rPr>
        <w:t>成交供应商要制定维保服务期内电梯安装工程</w:t>
      </w:r>
      <w:r>
        <w:rPr>
          <w:rStyle w:val="8"/>
          <w:rFonts w:hint="eastAsia" w:ascii="宋体" w:hAnsi="宋体" w:eastAsia="宋体" w:cs="宋体"/>
          <w:b w:val="0"/>
          <w:bCs/>
          <w:color w:val="000000" w:themeColor="text1"/>
          <w:sz w:val="24"/>
          <w:lang w:val="en-US" w:eastAsia="zh-CN"/>
          <w14:textFill>
            <w14:solidFill>
              <w14:schemeClr w14:val="tx1"/>
            </w14:solidFill>
          </w14:textFill>
        </w:rPr>
        <w:t>维护</w:t>
      </w:r>
      <w:r>
        <w:rPr>
          <w:rStyle w:val="8"/>
          <w:rFonts w:hint="eastAsia" w:ascii="宋体" w:hAnsi="宋体" w:eastAsia="宋体" w:cs="宋体"/>
          <w:b w:val="0"/>
          <w:bCs/>
          <w:color w:val="000000" w:themeColor="text1"/>
          <w:sz w:val="24"/>
          <w14:textFill>
            <w14:solidFill>
              <w14:schemeClr w14:val="tx1"/>
            </w14:solidFill>
          </w14:textFill>
        </w:rPr>
        <w:t>保修服务方案，明确具体维修责任人，维修人员须持有政府管理部门颁发的安装维修证书，更换维修责任人，须经采购人同意。保修服务方案</w:t>
      </w:r>
      <w:r>
        <w:rPr>
          <w:rStyle w:val="8"/>
          <w:rFonts w:hint="eastAsia" w:ascii="宋体" w:hAnsi="宋体" w:eastAsia="宋体" w:cs="宋体"/>
          <w:b w:val="0"/>
          <w:bCs/>
          <w:color w:val="000000" w:themeColor="text1"/>
          <w:sz w:val="24"/>
          <w:lang w:val="en-US" w:eastAsia="zh-CN"/>
          <w14:textFill>
            <w14:solidFill>
              <w14:schemeClr w14:val="tx1"/>
            </w14:solidFill>
          </w14:textFill>
        </w:rPr>
        <w:t>应</w:t>
      </w:r>
      <w:r>
        <w:rPr>
          <w:rStyle w:val="8"/>
          <w:rFonts w:hint="eastAsia" w:ascii="宋体" w:hAnsi="宋体" w:eastAsia="宋体" w:cs="宋体"/>
          <w:b w:val="0"/>
          <w:bCs/>
          <w:color w:val="000000" w:themeColor="text1"/>
          <w:sz w:val="24"/>
          <w14:textFill>
            <w14:solidFill>
              <w14:schemeClr w14:val="tx1"/>
            </w14:solidFill>
          </w14:textFill>
        </w:rPr>
        <w:t>包括日常保养:定期派出定岗专业人员对全部电梯进行检查、调整、润滑和清理，保证每台电梯工作正常，在最初三个月内，每星期至少一次，在以后每二个星期至少一次。使用的润滑油由投标方负责。</w:t>
      </w:r>
    </w:p>
    <w:p w14:paraId="17C6E27E">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Style w:val="8"/>
          <w:rFonts w:hint="eastAsia" w:ascii="宋体" w:hAnsi="宋体" w:eastAsia="宋体" w:cs="宋体"/>
          <w:b w:val="0"/>
          <w:bCs/>
          <w:color w:val="000000" w:themeColor="text1"/>
          <w:sz w:val="24"/>
          <w14:textFill>
            <w14:solidFill>
              <w14:schemeClr w14:val="tx1"/>
            </w14:solidFill>
          </w14:textFill>
        </w:rPr>
      </w:pPr>
      <w:r>
        <w:rPr>
          <w:rStyle w:val="8"/>
          <w:rFonts w:hint="eastAsia" w:ascii="宋体" w:hAnsi="宋体" w:eastAsia="宋体" w:cs="宋体"/>
          <w:b/>
          <w:bCs w:val="0"/>
          <w:color w:val="000000" w:themeColor="text1"/>
          <w:sz w:val="24"/>
          <w:lang w:val="en-US" w:eastAsia="zh-CN"/>
          <w14:textFill>
            <w14:solidFill>
              <w14:schemeClr w14:val="tx1"/>
            </w14:solidFill>
          </w14:textFill>
        </w:rPr>
        <w:t>7.9</w:t>
      </w:r>
      <w:r>
        <w:rPr>
          <w:rStyle w:val="8"/>
          <w:rFonts w:hint="eastAsia" w:ascii="宋体" w:hAnsi="宋体" w:eastAsia="宋体" w:cs="宋体"/>
          <w:b w:val="0"/>
          <w:bCs/>
          <w:color w:val="000000" w:themeColor="text1"/>
          <w:sz w:val="24"/>
          <w14:textFill>
            <w14:solidFill>
              <w14:schemeClr w14:val="tx1"/>
            </w14:solidFill>
          </w14:textFill>
        </w:rPr>
        <w:t>定期检查:</w:t>
      </w:r>
      <w:r>
        <w:rPr>
          <w:rStyle w:val="8"/>
          <w:rFonts w:hint="eastAsia" w:ascii="宋体" w:hAnsi="宋体" w:eastAsia="宋体" w:cs="宋体"/>
          <w:b w:val="0"/>
          <w:bCs/>
          <w:color w:val="000000" w:themeColor="text1"/>
          <w:sz w:val="24"/>
          <w:lang w:val="en-US" w:eastAsia="zh-CN"/>
          <w14:textFill>
            <w14:solidFill>
              <w14:schemeClr w14:val="tx1"/>
            </w14:solidFill>
          </w14:textFill>
        </w:rPr>
        <w:t>维保期内成交供应商</w:t>
      </w:r>
      <w:r>
        <w:rPr>
          <w:rStyle w:val="8"/>
          <w:rFonts w:hint="eastAsia" w:ascii="宋体" w:hAnsi="宋体" w:eastAsia="宋体" w:cs="宋体"/>
          <w:b w:val="0"/>
          <w:bCs/>
          <w:color w:val="000000" w:themeColor="text1"/>
          <w:sz w:val="24"/>
          <w14:textFill>
            <w14:solidFill>
              <w14:schemeClr w14:val="tx1"/>
            </w14:solidFill>
          </w14:textFill>
        </w:rPr>
        <w:t>应每三个月对每台电梯的工作情况作一次全面检查统计，内容至少应包括故障次数、类型、处理方法及效果、润滑情况及安全装置状态等，并提交检查表。义务向市主管部门申报一年一度的电梯安全检验，作好年检前的一切准备工作，并保证取得使用合格证。</w:t>
      </w:r>
    </w:p>
    <w:p w14:paraId="408C6533">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Style w:val="8"/>
          <w:rFonts w:hint="eastAsia" w:ascii="宋体" w:hAnsi="宋体" w:eastAsia="宋体" w:cs="宋体"/>
          <w:b w:val="0"/>
          <w:bCs/>
          <w:color w:val="000000" w:themeColor="text1"/>
          <w:sz w:val="24"/>
          <w14:textFill>
            <w14:solidFill>
              <w14:schemeClr w14:val="tx1"/>
            </w14:solidFill>
          </w14:textFill>
        </w:rPr>
      </w:pPr>
      <w:r>
        <w:rPr>
          <w:rStyle w:val="8"/>
          <w:rFonts w:hint="eastAsia" w:ascii="宋体" w:hAnsi="宋体" w:eastAsia="宋体" w:cs="宋体"/>
          <w:b/>
          <w:bCs w:val="0"/>
          <w:color w:val="000000" w:themeColor="text1"/>
          <w:sz w:val="24"/>
          <w:lang w:val="en-US" w:eastAsia="zh-CN"/>
          <w14:textFill>
            <w14:solidFill>
              <w14:schemeClr w14:val="tx1"/>
            </w14:solidFill>
          </w14:textFill>
        </w:rPr>
        <w:t>7.10</w:t>
      </w:r>
      <w:r>
        <w:rPr>
          <w:rStyle w:val="8"/>
          <w:rFonts w:hint="eastAsia" w:ascii="宋体" w:hAnsi="宋体" w:eastAsia="宋体" w:cs="宋体"/>
          <w:b w:val="0"/>
          <w:bCs/>
          <w:color w:val="000000" w:themeColor="text1"/>
          <w:sz w:val="24"/>
          <w14:textFill>
            <w14:solidFill>
              <w14:schemeClr w14:val="tx1"/>
            </w14:solidFill>
          </w14:textFill>
        </w:rPr>
        <w:t>成交供应商的其它售后服务承诺属于本合同的一部分，如果有不同约定的，以服务水平和层级更高的为准。</w:t>
      </w:r>
    </w:p>
    <w:p w14:paraId="5A786553">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Fonts w:hint="eastAsia" w:ascii="宋体" w:hAnsi="宋体" w:eastAsia="宋体" w:cs="宋体"/>
          <w:b/>
          <w:bCs/>
          <w:color w:val="000000" w:themeColor="text1"/>
          <w:sz w:val="24"/>
          <w14:textFill>
            <w14:solidFill>
              <w14:schemeClr w14:val="tx1"/>
            </w14:solidFill>
          </w14:textFill>
        </w:rPr>
      </w:pPr>
      <w:r>
        <w:rPr>
          <w:rFonts w:hint="eastAsia" w:ascii="宋体" w:hAnsi="宋体" w:eastAsia="宋体" w:cs="宋体"/>
          <w:b/>
          <w:bCs/>
          <w:color w:val="000000" w:themeColor="text1"/>
          <w:sz w:val="24"/>
          <w:lang w:val="en-US" w:eastAsia="zh-CN"/>
          <w14:textFill>
            <w14:solidFill>
              <w14:schemeClr w14:val="tx1"/>
            </w14:solidFill>
          </w14:textFill>
        </w:rPr>
        <w:t>8</w:t>
      </w:r>
      <w:r>
        <w:rPr>
          <w:rFonts w:hint="eastAsia" w:ascii="宋体" w:hAnsi="宋体" w:eastAsia="宋体" w:cs="宋体"/>
          <w:b/>
          <w:bCs/>
          <w:color w:val="000000" w:themeColor="text1"/>
          <w:sz w:val="24"/>
          <w14:textFill>
            <w14:solidFill>
              <w14:schemeClr w14:val="tx1"/>
            </w14:solidFill>
          </w14:textFill>
        </w:rPr>
        <w:t>、验收</w:t>
      </w:r>
    </w:p>
    <w:p w14:paraId="6F781270">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Fonts w:hint="eastAsia" w:ascii="宋体" w:hAnsi="宋体" w:eastAsia="宋体" w:cs="宋体"/>
          <w:b/>
          <w:bCs/>
          <w:color w:val="000000" w:themeColor="text1"/>
          <w:sz w:val="24"/>
          <w14:textFill>
            <w14:solidFill>
              <w14:schemeClr w14:val="tx1"/>
            </w14:solidFill>
          </w14:textFill>
        </w:rPr>
      </w:pPr>
      <w:r>
        <w:rPr>
          <w:rFonts w:hint="eastAsia" w:ascii="宋体" w:hAnsi="宋体" w:eastAsia="宋体" w:cs="宋体"/>
          <w:b/>
          <w:bCs/>
          <w:color w:val="000000" w:themeColor="text1"/>
          <w:sz w:val="24"/>
          <w:lang w:val="en-US" w:eastAsia="zh-CN"/>
          <w14:textFill>
            <w14:solidFill>
              <w14:schemeClr w14:val="tx1"/>
            </w14:solidFill>
          </w14:textFill>
        </w:rPr>
        <w:t>8</w:t>
      </w:r>
      <w:r>
        <w:rPr>
          <w:rFonts w:hint="eastAsia" w:ascii="宋体" w:hAnsi="宋体" w:eastAsia="宋体" w:cs="宋体"/>
          <w:b/>
          <w:bCs/>
          <w:color w:val="000000" w:themeColor="text1"/>
          <w:sz w:val="24"/>
          <w14:textFill>
            <w14:solidFill>
              <w14:schemeClr w14:val="tx1"/>
            </w14:solidFill>
          </w14:textFill>
        </w:rPr>
        <w:t>.1 验收标准</w:t>
      </w:r>
    </w:p>
    <w:p w14:paraId="5514D937">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bCs/>
          <w:color w:val="000000" w:themeColor="text1"/>
          <w:sz w:val="24"/>
          <w14:textFill>
            <w14:solidFill>
              <w14:schemeClr w14:val="tx1"/>
            </w14:solidFill>
          </w14:textFill>
        </w:rPr>
        <w:t>（1）到货验收：</w:t>
      </w:r>
      <w:r>
        <w:rPr>
          <w:rFonts w:hint="eastAsia" w:ascii="宋体" w:hAnsi="宋体" w:eastAsia="宋体" w:cs="宋体"/>
          <w:b w:val="0"/>
          <w:color w:val="000000" w:themeColor="text1"/>
          <w:sz w:val="24"/>
          <w14:textFill>
            <w14:solidFill>
              <w14:schemeClr w14:val="tx1"/>
            </w14:solidFill>
          </w14:textFill>
        </w:rPr>
        <w:t>货物送至采购人安装现场后，成交供应商和采购人一同拆箱，对其全部货物、零件、配件的型号、规格、数量、外型、外观、包装进行到货验收。成交供应商负责在项目验收时将系统的全部有关技术文件、资料、及安装、测试报告等文档汇集成册交付项目单位。</w:t>
      </w:r>
    </w:p>
    <w:p w14:paraId="4A08EAA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bCs/>
          <w:color w:val="000000" w:themeColor="text1"/>
          <w:sz w:val="24"/>
          <w14:textFill>
            <w14:solidFill>
              <w14:schemeClr w14:val="tx1"/>
            </w14:solidFill>
          </w14:textFill>
        </w:rPr>
        <w:t>（2）最终验收：</w:t>
      </w:r>
      <w:r>
        <w:rPr>
          <w:rFonts w:hint="eastAsia" w:ascii="宋体" w:hAnsi="宋体" w:eastAsia="宋体" w:cs="宋体"/>
          <w:b w:val="0"/>
          <w:color w:val="000000" w:themeColor="text1"/>
          <w:sz w:val="24"/>
          <w14:textFill>
            <w14:solidFill>
              <w14:schemeClr w14:val="tx1"/>
            </w14:solidFill>
          </w14:textFill>
        </w:rPr>
        <w:t>采购人将按照政府采购合同规定的技术、服务、安全标准组织验收，并出具验收书。验收书应当包括每一项技术、服务、安全标准的履约情况。验收结果经双方确认后，双方代表必须按规定的验收交接单上的项目对照本合同填好验收结果并签名盖章。验收过程中，若发现货物质量有问题成交供应商无条件免费更换，并无条件重新检测并调试直至验收合格交付使用。</w:t>
      </w:r>
    </w:p>
    <w:p w14:paraId="066ABD3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bCs/>
          <w:color w:val="000000" w:themeColor="text1"/>
          <w:sz w:val="24"/>
          <w14:textFill>
            <w14:solidFill>
              <w14:schemeClr w14:val="tx1"/>
            </w14:solidFill>
          </w14:textFill>
        </w:rPr>
        <w:t>（3）</w:t>
      </w:r>
      <w:r>
        <w:rPr>
          <w:rFonts w:hint="eastAsia" w:ascii="宋体" w:hAnsi="宋体" w:eastAsia="宋体" w:cs="宋体"/>
          <w:b w:val="0"/>
          <w:color w:val="000000" w:themeColor="text1"/>
          <w:sz w:val="24"/>
          <w14:textFill>
            <w14:solidFill>
              <w14:schemeClr w14:val="tx1"/>
            </w14:solidFill>
          </w14:textFill>
        </w:rPr>
        <w:t>在此期间，成交供应商在采购人现场进行安装、调试、集成、试运行直至验收所发生的一切费用由成交供应商承担且已含在总价中。</w:t>
      </w:r>
    </w:p>
    <w:p w14:paraId="34D1496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Fonts w:hint="eastAsia" w:ascii="宋体" w:hAnsi="宋体" w:eastAsia="宋体" w:cs="宋体"/>
          <w:b/>
          <w:bCs w:val="0"/>
          <w:color w:val="000000" w:themeColor="text1"/>
          <w:sz w:val="24"/>
          <w14:textFill>
            <w14:solidFill>
              <w14:schemeClr w14:val="tx1"/>
            </w14:solidFill>
          </w14:textFill>
        </w:rPr>
      </w:pPr>
      <w:r>
        <w:rPr>
          <w:rFonts w:hint="eastAsia" w:ascii="宋体" w:hAnsi="宋体" w:eastAsia="宋体" w:cs="宋体"/>
          <w:b/>
          <w:bCs w:val="0"/>
          <w:color w:val="000000" w:themeColor="text1"/>
          <w:sz w:val="24"/>
          <w:lang w:val="en-US" w:eastAsia="zh-CN"/>
          <w14:textFill>
            <w14:solidFill>
              <w14:schemeClr w14:val="tx1"/>
            </w14:solidFill>
          </w14:textFill>
        </w:rPr>
        <w:t>8</w:t>
      </w:r>
      <w:r>
        <w:rPr>
          <w:rFonts w:hint="eastAsia" w:ascii="宋体" w:hAnsi="宋体" w:eastAsia="宋体" w:cs="宋体"/>
          <w:b/>
          <w:bCs w:val="0"/>
          <w:color w:val="000000" w:themeColor="text1"/>
          <w:sz w:val="24"/>
          <w14:textFill>
            <w14:solidFill>
              <w14:schemeClr w14:val="tx1"/>
            </w14:solidFill>
          </w14:textFill>
        </w:rPr>
        <w:t>.2 验收程序和方法</w:t>
      </w:r>
    </w:p>
    <w:p w14:paraId="436ED8E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bCs/>
          <w:color w:val="000000" w:themeColor="text1"/>
          <w:sz w:val="24"/>
          <w14:textFill>
            <w14:solidFill>
              <w14:schemeClr w14:val="tx1"/>
            </w14:solidFill>
          </w14:textFill>
        </w:rPr>
        <w:t>（1）</w:t>
      </w:r>
      <w:r>
        <w:rPr>
          <w:rFonts w:hint="eastAsia" w:ascii="宋体" w:hAnsi="宋体" w:eastAsia="宋体" w:cs="宋体"/>
          <w:b w:val="0"/>
          <w:color w:val="000000" w:themeColor="text1"/>
          <w:sz w:val="24"/>
          <w14:textFill>
            <w14:solidFill>
              <w14:schemeClr w14:val="tx1"/>
            </w14:solidFill>
          </w14:textFill>
        </w:rPr>
        <w:t>成交供应商自检货物在采购人指定地点安装完毕后，要求成交供应商对所有货物的性能进行自检，检验结果必须符合采购文件、响应文件技术要求以及合同中相关条款要求，同时向采购人提供自检记录。</w:t>
      </w:r>
    </w:p>
    <w:p w14:paraId="310B4A4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bCs/>
          <w:color w:val="000000" w:themeColor="text1"/>
          <w:sz w:val="24"/>
          <w14:textFill>
            <w14:solidFill>
              <w14:schemeClr w14:val="tx1"/>
            </w14:solidFill>
          </w14:textFill>
        </w:rPr>
        <w:t>（2）</w:t>
      </w:r>
      <w:r>
        <w:rPr>
          <w:rFonts w:hint="eastAsia" w:ascii="宋体" w:hAnsi="宋体" w:eastAsia="宋体" w:cs="宋体"/>
          <w:b w:val="0"/>
          <w:color w:val="000000" w:themeColor="text1"/>
          <w:sz w:val="24"/>
          <w14:textFill>
            <w14:solidFill>
              <w14:schemeClr w14:val="tx1"/>
            </w14:solidFill>
          </w14:textFill>
        </w:rPr>
        <w:t>验收与最终验收成交供应商自检后，采购人与有关管理部门按采购文件以及合同相关条款要求一同对货物进行验收，同时采购人有权委托国家具有检验资质的相关部门、单位、机构对中标产品的质量、性能进行检验，验收结果应符合采购文件、响应文件及采购人的使用要求。在此期间，若发现货物参数与采购文件、响应文件不一致，成交供应商将被取消中标资格；若发现货物质量有问题，成交供应商应按采购人规定的时间无条件免费更换，并无条件重新检测并调试直至验收合格交付使用。</w:t>
      </w:r>
    </w:p>
    <w:p w14:paraId="7DC13FC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Fonts w:hint="eastAsia" w:ascii="宋体" w:hAnsi="宋体" w:eastAsia="宋体" w:cs="宋体"/>
          <w:b/>
          <w:bCs w:val="0"/>
          <w:color w:val="000000" w:themeColor="text1"/>
          <w:sz w:val="24"/>
          <w14:textFill>
            <w14:solidFill>
              <w14:schemeClr w14:val="tx1"/>
            </w14:solidFill>
          </w14:textFill>
        </w:rPr>
      </w:pPr>
      <w:r>
        <w:rPr>
          <w:rFonts w:hint="eastAsia" w:ascii="宋体" w:hAnsi="宋体" w:eastAsia="宋体" w:cs="宋体"/>
          <w:b/>
          <w:bCs w:val="0"/>
          <w:color w:val="000000" w:themeColor="text1"/>
          <w:sz w:val="24"/>
          <w:lang w:val="en-US" w:eastAsia="zh-CN"/>
          <w14:textFill>
            <w14:solidFill>
              <w14:schemeClr w14:val="tx1"/>
            </w14:solidFill>
          </w14:textFill>
        </w:rPr>
        <w:t>8</w:t>
      </w:r>
      <w:r>
        <w:rPr>
          <w:rFonts w:hint="eastAsia" w:ascii="宋体" w:hAnsi="宋体" w:eastAsia="宋体" w:cs="宋体"/>
          <w:b/>
          <w:bCs w:val="0"/>
          <w:color w:val="000000" w:themeColor="text1"/>
          <w:sz w:val="24"/>
          <w14:textFill>
            <w14:solidFill>
              <w14:schemeClr w14:val="tx1"/>
            </w14:solidFill>
          </w14:textFill>
        </w:rPr>
        <w:t>.3 验收费用</w:t>
      </w:r>
    </w:p>
    <w:p w14:paraId="633B003C">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Fonts w:hint="eastAsia" w:ascii="宋体" w:hAnsi="宋体" w:eastAsia="宋体" w:cs="宋体"/>
          <w:b w:val="0"/>
          <w:color w:val="000000" w:themeColor="text1"/>
          <w:sz w:val="24"/>
          <w14:textFill>
            <w14:solidFill>
              <w14:schemeClr w14:val="tx1"/>
            </w14:solidFill>
          </w14:textFill>
        </w:rPr>
      </w:pPr>
      <w:r>
        <w:rPr>
          <w:rFonts w:hint="eastAsia" w:ascii="宋体" w:hAnsi="宋体" w:eastAsia="宋体" w:cs="宋体"/>
          <w:b w:val="0"/>
          <w:color w:val="000000" w:themeColor="text1"/>
          <w:sz w:val="24"/>
          <w14:textFill>
            <w14:solidFill>
              <w14:schemeClr w14:val="tx1"/>
            </w14:solidFill>
          </w14:textFill>
        </w:rPr>
        <w:t>在对货物设备进行安装、调试、试运行、直至现场进行最终验收所发生的一切费用均由成交供应商承担且已含在总价中。</w:t>
      </w:r>
    </w:p>
    <w:p w14:paraId="688E900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1" w:line="360" w:lineRule="auto"/>
        <w:ind w:left="0" w:leftChars="0" w:firstLine="0" w:firstLineChars="0"/>
        <w:textAlignment w:val="auto"/>
        <w:rPr>
          <w:rFonts w:hint="eastAsia" w:ascii="宋体" w:hAnsi="宋体" w:eastAsia="宋体" w:cs="宋体"/>
          <w:b w:val="0"/>
          <w:color w:val="000000" w:themeColor="text1"/>
          <w:sz w:val="24"/>
          <w14:textFill>
            <w14:solidFill>
              <w14:schemeClr w14:val="tx1"/>
            </w14:solidFill>
          </w14:textFill>
        </w:rPr>
        <w:sectPr>
          <w:footerReference r:id="rId4" w:type="default"/>
          <w:pgSz w:w="11906" w:h="16839"/>
          <w:pgMar w:top="1463" w:right="1757" w:bottom="1463" w:left="1757" w:header="0" w:footer="994" w:gutter="0"/>
          <w:cols w:space="720" w:num="1"/>
        </w:sectPr>
      </w:pPr>
      <w:r>
        <w:rPr>
          <w:rFonts w:hint="eastAsia" w:ascii="宋体" w:hAnsi="宋体" w:eastAsia="宋体" w:cs="宋体"/>
          <w:b/>
          <w:bCs/>
          <w:color w:val="000000" w:themeColor="text1"/>
          <w:sz w:val="24"/>
          <w:lang w:val="en-US" w:eastAsia="zh-CN"/>
          <w14:textFill>
            <w14:solidFill>
              <w14:schemeClr w14:val="tx1"/>
            </w14:solidFill>
          </w14:textFill>
        </w:rPr>
        <w:t>8</w:t>
      </w:r>
      <w:r>
        <w:rPr>
          <w:rFonts w:hint="eastAsia" w:ascii="宋体" w:hAnsi="宋体" w:eastAsia="宋体" w:cs="宋体"/>
          <w:b/>
          <w:bCs/>
          <w:color w:val="000000" w:themeColor="text1"/>
          <w:sz w:val="24"/>
          <w14:textFill>
            <w14:solidFill>
              <w14:schemeClr w14:val="tx1"/>
            </w14:solidFill>
          </w14:textFill>
        </w:rPr>
        <w:t>.4</w:t>
      </w:r>
      <w:r>
        <w:rPr>
          <w:rFonts w:hint="eastAsia" w:ascii="宋体" w:hAnsi="宋体" w:eastAsia="宋体" w:cs="宋体"/>
          <w:b w:val="0"/>
          <w:color w:val="000000" w:themeColor="text1"/>
          <w:sz w:val="24"/>
          <w14:textFill>
            <w14:solidFill>
              <w14:schemeClr w14:val="tx1"/>
            </w14:solidFill>
          </w14:textFill>
        </w:rPr>
        <w:t xml:space="preserve"> 验收时成交供应商必须派代表参加。</w:t>
      </w:r>
    </w:p>
    <w:p w14:paraId="69903C40">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D128E0">
    <w:pPr>
      <w:pStyle w:val="5"/>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8CFDC7">
                          <w:pPr>
                            <w:pStyle w:val="5"/>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C8CFDC7">
                    <w:pPr>
                      <w:pStyle w:val="5"/>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C2EED5">
    <w:pPr>
      <w:pStyle w:val="5"/>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307CC5">
                          <w:pPr>
                            <w:pStyle w:val="5"/>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28307CC5">
                    <w:pPr>
                      <w:pStyle w:val="5"/>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E331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32"/>
      <w:szCs w:val="32"/>
      <w:lang w:val="en-US" w:eastAsia="zh-CN" w:bidi="ar"/>
    </w:rPr>
  </w:style>
  <w:style w:type="paragraph" w:styleId="3">
    <w:name w:val="heading 4"/>
    <w:basedOn w:val="1"/>
    <w:next w:val="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4">
    <w:name w:val="Body Text"/>
    <w:basedOn w:val="1"/>
    <w:qFormat/>
    <w:uiPriority w:val="0"/>
    <w:rPr>
      <w:rFonts w:ascii="仿宋" w:hAnsi="仿宋" w:eastAsia="仿宋" w:cs="仿宋"/>
      <w:sz w:val="30"/>
      <w:szCs w:val="30"/>
    </w:rPr>
  </w:style>
  <w:style w:type="paragraph" w:styleId="5">
    <w:name w:val="footer"/>
    <w:basedOn w:val="1"/>
    <w:qFormat/>
    <w:uiPriority w:val="0"/>
    <w:pPr>
      <w:tabs>
        <w:tab w:val="center" w:pos="4153"/>
        <w:tab w:val="right" w:pos="8306"/>
      </w:tabs>
    </w:pPr>
    <w:rPr>
      <w:sz w:val="18"/>
    </w:rPr>
  </w:style>
  <w:style w:type="character" w:styleId="8">
    <w:name w:val="Strong"/>
    <w:basedOn w:val="7"/>
    <w:qFormat/>
    <w:uiPriority w:val="0"/>
    <w:rPr>
      <w:b/>
    </w:rPr>
  </w:style>
  <w:style w:type="paragraph" w:customStyle="1" w:styleId="9">
    <w:name w:val="Table Text"/>
    <w:basedOn w:val="1"/>
    <w:semiHidden/>
    <w:qFormat/>
    <w:uiPriority w:val="0"/>
  </w:style>
  <w:style w:type="table" w:customStyle="1" w:styleId="10">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2026-05-09T09:14:07Z</dcterms:created>
  <dc:creator>Administrator</dc:creator>
  <cp:lastModifiedBy>Administrator</cp:lastModifiedBy>
  <dcterms:modified xsi:type="dcterms:W3CDTF">2026-05-09T09:14:20Z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eyJoZGlkIjoiZmZlMDMyYjAyMDgwYjM1N2ZkOGJmNDcyZTUyMDgwZmIiLCJ1c2VySWQiOiI4MTMyODYwNTUifQ==</vt:lpwstr>
  </property>
  <property fmtid="{D5CDD505-2E9C-101B-9397-08002B2CF9AE}" pid="4" name="ICV">
    <vt:lpwstr>F85EAF78839E4C24AE9EB22DED34A765_12</vt:lpwstr>
  </property>
</Properties>
</file>