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line="360" w:lineRule="auto"/>
        <w:ind w:right="0" w:rightChars="0"/>
        <w:jc w:val="center"/>
        <w:outlineLvl w:val="1"/>
        <w:rPr>
          <w:rFonts w:hint="eastAsia" w:ascii="宋体" w:hAnsi="宋体" w:eastAsia="宋体" w:cs="宋体"/>
          <w:color w:val="auto"/>
          <w:spacing w:val="0"/>
          <w:position w:val="0"/>
          <w:sz w:val="24"/>
          <w:szCs w:val="24"/>
        </w:rPr>
      </w:pPr>
      <w:bookmarkStart w:id="0" w:name="_Toc17661"/>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bookmarkEnd w:id="0"/>
    </w:p>
    <w:p w14:paraId="31E2C5C3">
      <w:pPr>
        <w:pageBreakBefore w:val="0"/>
        <w:widowControl w:val="0"/>
        <w:wordWrap/>
        <w:overflowPunct/>
        <w:topLinePunct w:val="0"/>
        <w:bidi w:val="0"/>
        <w:spacing w:line="360" w:lineRule="auto"/>
        <w:ind w:right="0" w:rightChars="0"/>
        <w:outlineLvl w:val="2"/>
        <w:rPr>
          <w:rFonts w:hint="eastAsia" w:ascii="宋体" w:hAnsi="宋体" w:eastAsia="宋体" w:cs="宋体"/>
          <w:b/>
          <w:bCs/>
          <w:color w:val="auto"/>
          <w:spacing w:val="0"/>
          <w:position w:val="0"/>
          <w:sz w:val="24"/>
          <w:szCs w:val="24"/>
        </w:rPr>
      </w:pPr>
      <w:bookmarkStart w:id="1" w:name="_Toc30761"/>
      <w:r>
        <w:rPr>
          <w:rFonts w:hint="eastAsia" w:ascii="宋体" w:hAnsi="宋体" w:eastAsia="宋体" w:cs="宋体"/>
          <w:b/>
          <w:bCs/>
          <w:color w:val="auto"/>
          <w:spacing w:val="0"/>
          <w:position w:val="0"/>
          <w:sz w:val="24"/>
          <w:szCs w:val="24"/>
        </w:rPr>
        <w:t xml:space="preserve">（一） </w:t>
      </w:r>
      <w:r>
        <w:rPr>
          <w:rFonts w:hint="eastAsia" w:ascii="宋体" w:hAnsi="宋体" w:eastAsia="宋体" w:cs="宋体"/>
          <w:b/>
          <w:bCs/>
          <w:color w:val="auto"/>
          <w:spacing w:val="0"/>
          <w:position w:val="0"/>
          <w:sz w:val="24"/>
          <w:szCs w:val="24"/>
          <w:lang w:val="en-US" w:eastAsia="zh-CN"/>
        </w:rPr>
        <w:t>服务</w:t>
      </w:r>
      <w:r>
        <w:rPr>
          <w:rFonts w:hint="eastAsia" w:ascii="宋体" w:hAnsi="宋体" w:eastAsia="宋体" w:cs="宋体"/>
          <w:b/>
          <w:bCs/>
          <w:color w:val="auto"/>
          <w:spacing w:val="0"/>
          <w:position w:val="0"/>
          <w:sz w:val="24"/>
          <w:szCs w:val="24"/>
        </w:rPr>
        <w:t>需求</w:t>
      </w:r>
      <w:bookmarkEnd w:id="1"/>
    </w:p>
    <w:p w14:paraId="400FA9B4">
      <w:pPr>
        <w:keepNext w:val="0"/>
        <w:keepLines w:val="0"/>
        <w:pageBreakBefore w:val="0"/>
        <w:widowControl w:val="0"/>
        <w:kinsoku/>
        <w:wordWrap w:val="0"/>
        <w:overflowPunct/>
        <w:topLinePunct w:val="0"/>
        <w:autoSpaceDE w:val="0"/>
        <w:autoSpaceDN w:val="0"/>
        <w:bidi w:val="0"/>
        <w:adjustRightInd w:val="0"/>
        <w:snapToGrid w:val="0"/>
        <w:spacing w:line="360" w:lineRule="auto"/>
        <w:ind w:right="0" w:rightChars="0"/>
        <w:textAlignment w:val="baseline"/>
        <w:rPr>
          <w:rFonts w:hint="eastAsia" w:ascii="宋体" w:hAnsi="宋体" w:eastAsia="宋体" w:cs="宋体"/>
          <w:color w:val="auto"/>
          <w:spacing w:val="0"/>
          <w:position w:val="0"/>
        </w:rPr>
      </w:pPr>
      <w:r>
        <w:rPr>
          <w:rFonts w:hint="eastAsia" w:ascii="宋体" w:hAnsi="宋体" w:eastAsia="宋体" w:cs="宋体"/>
          <w:b/>
          <w:bCs/>
          <w:color w:val="auto"/>
          <w:spacing w:val="0"/>
          <w:position w:val="0"/>
          <w:sz w:val="24"/>
          <w:szCs w:val="24"/>
          <w:lang w:val="en-US" w:eastAsia="zh-CN"/>
        </w:rPr>
        <w:t>1、项目概述：</w:t>
      </w:r>
    </w:p>
    <w:p w14:paraId="38D18ADB">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市场监管总局印发的《关于加强国家标准宣传贯彻服务经营主体高质量发展的指导意见》提出，要充分利用世界标准日等重要时点，集中组织契合主题的国家标准宣贯活动，讲好标准故事；《关于市场监管助推“1269”行动计划二十条措施》提出，要推进技术标准创新，积极推动创新成果转化为先进标准；《江西省商品条码管理办法》指出“省人民政府市场监督管理部门主管全省商品条码工作。市、县两级人民政府市场监督管理部门负责本行政区域内商品条码的监督检查工作”。</w:t>
      </w:r>
    </w:p>
    <w:p w14:paraId="7EA00D12">
      <w:pPr>
        <w:keepNext w:val="0"/>
        <w:keepLines w:val="0"/>
        <w:pageBreakBefore w:val="0"/>
        <w:widowControl w:val="0"/>
        <w:kinsoku/>
        <w:wordWrap w:val="0"/>
        <w:overflowPunct/>
        <w:topLinePunct w:val="0"/>
        <w:autoSpaceDE w:val="0"/>
        <w:autoSpaceDN w:val="0"/>
        <w:bidi w:val="0"/>
        <w:adjustRightInd w:val="0"/>
        <w:snapToGrid w:val="0"/>
        <w:spacing w:line="360" w:lineRule="auto"/>
        <w:ind w:right="0" w:rightChars="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2、服务需求：</w:t>
      </w:r>
    </w:p>
    <w:p w14:paraId="3583AB56">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2"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2.1 世界标准日活动</w:t>
      </w:r>
    </w:p>
    <w:p w14:paraId="550E0EA6">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紧扣当年世界标准日主题，结合我省产业发展和标准化工作特色，以线上、线下方式开展主题活动，邀请不少于3位国家标准委专家、行业标准化专家、江西省标准项目奖或个人奖获奖代表开展专题分享，发布不少于10项标准化应用典型案例成果，通过设置标准化科普展台，摆放宣传手册、标准知识展板，配备现场讲解人员，向公众和企业代表传播标准化理念，营造标准良好创新氛围。活动开展情况在省级及以上主流媒体（如江西日报、中国市场监管报、中国质量报等）进行报道不少于1篇。</w:t>
      </w:r>
    </w:p>
    <w:p w14:paraId="3ED75516">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2"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2.2 技术标准创新服务</w:t>
      </w:r>
    </w:p>
    <w:p w14:paraId="1BE53187">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1）指导我省不少于10家重点产业链相关领域企事业单位申报制造业重点产业链标准化提档升级项目，协助不少于10家完善申报书及其他申报材料，支撑服务各重点产业链技术标准创新工作。</w:t>
      </w:r>
    </w:p>
    <w:p w14:paraId="32C043FE">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2）围绕传统产业标准提档升级，新兴、未来产业标准供给，加大相关领域国际标准、国家标准、行业标准或团体标准研制，强化标准实施应用，指导服务各重点产业链将技术创新成果转化为标准不少于15项。</w:t>
      </w:r>
    </w:p>
    <w:p w14:paraId="5081C3FA">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3）指导我省不少于15家重点产业链相关领域企事业单位总结提炼标准技术创新经验，开展不少于15次实地调研和面对面交流座谈会，组织召开1次以上省级技术标准创新业务提升和工作推进会，开展产业链强制性国家标准宣贯不少于5次，协助标准创新经验总结和宣传推广。</w:t>
      </w:r>
    </w:p>
    <w:p w14:paraId="1A4E0931">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4）搭建技术标准服务平台，联合电子信息、有色金属、现代家具等重点产业链上链主企业、科研院所等相关主体，推动构建标准技术创新联合体，强化技术与标准创新联合攻关，提供标准化技术咨询服务不少于20次，推动专利与标准制定有效结合，引导重要专利转化为标准。</w:t>
      </w:r>
    </w:p>
    <w:p w14:paraId="7CA008F0">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5）强化技术标准创新“一站式”服务平台应用推广，指导相关重点产业链行业领域专家入驻全省质量基础“一站式”服务平台。</w:t>
      </w:r>
    </w:p>
    <w:p w14:paraId="7DC365CA">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6）结合“进园入企”标准化帮扶问诊行动、“标准走基层”等活动，组织专家开展标准化培训和产业现状调研，提升企业标准化意识，培养标准化人才。</w:t>
      </w:r>
    </w:p>
    <w:p w14:paraId="354FBB66">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7）开展全省技术标准创新平台助推制造业重点产业链现代化路径研究，分析技术标准创新平台助推产业高质量发展的路径和作用机理，总结归纳制造业产业链发展成效明显的创新平台建设模式，提出以创新平台为核心的区域创新体系建设路径建议，提炼创新平台以点带面辐射带动产业链高质量发展的实践案例，形成研究报告1份、省级技术标准创新平台典型案例集1份。</w:t>
      </w:r>
    </w:p>
    <w:p w14:paraId="1912A7CC">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2"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2.3 标准验证点、监测点建设服务</w:t>
      </w:r>
    </w:p>
    <w:p w14:paraId="15B8415C">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指导我省新型显示技术领域国家标准验证点及省级标准验证点建设，支撑国家级验证点及相关企业开展不少于3项电子信息等领域国家标准、行业标准、团体标准研制，提升验证点标准验证综合能力，支撑省级标准验证点开展不少于4项国家标准、行业标准、地方标准、团体标准的验证工作，总结验证点建设经验。</w:t>
      </w:r>
    </w:p>
    <w:p w14:paraId="6C634A88">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2）指导标准监测点申报单位建设，针对我省不少于5家标准监测点申报单位开展标准化专题培训2场，培训内容包括但不限于标准监测点建设要求、标准实施监测数据采集方法、标准实施效果评估方法及强制性国家标准实施情况统计分析方法等；指导申报单位采集标准实施监测数据并形成标准实施效果评估报告不少于2份，指导有条件的监测点申报单位开展相关领域强制性国家标准实施情况统计分析并形成标准实施情况统计分析报告不少于1份。</w:t>
      </w:r>
    </w:p>
    <w:p w14:paraId="0DD243AD">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2" w:firstLineChars="200"/>
        <w:textAlignment w:val="baseline"/>
        <w:rPr>
          <w:rFonts w:hint="eastAsia" w:ascii="宋体" w:hAnsi="宋体" w:eastAsia="宋体" w:cs="宋体"/>
          <w:b/>
          <w:bCs/>
          <w:color w:val="auto"/>
          <w:spacing w:val="0"/>
          <w:position w:val="0"/>
          <w:sz w:val="24"/>
          <w:szCs w:val="24"/>
          <w:lang w:val="en-US" w:eastAsia="zh-CN"/>
        </w:rPr>
      </w:pPr>
      <w:r>
        <w:rPr>
          <w:rFonts w:hint="eastAsia" w:ascii="宋体" w:hAnsi="宋体" w:eastAsia="宋体" w:cs="宋体"/>
          <w:b/>
          <w:bCs/>
          <w:color w:val="auto"/>
          <w:spacing w:val="0"/>
          <w:position w:val="0"/>
          <w:sz w:val="24"/>
          <w:szCs w:val="24"/>
          <w:lang w:val="en-US" w:eastAsia="zh-CN"/>
        </w:rPr>
        <w:t>2.4 商品条码监督检查技术服务</w:t>
      </w:r>
    </w:p>
    <w:p w14:paraId="0FDF3BFE">
      <w:pPr>
        <w:keepNext w:val="0"/>
        <w:keepLines w:val="0"/>
        <w:pageBreakBefore w:val="0"/>
        <w:widowControl w:val="0"/>
        <w:kinsoku/>
        <w:wordWrap w:val="0"/>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rPr>
      </w:pPr>
      <w:r>
        <w:rPr>
          <w:rFonts w:hint="eastAsia" w:ascii="宋体" w:hAnsi="宋体" w:eastAsia="宋体" w:cs="宋体"/>
          <w:b w:val="0"/>
          <w:bCs w:val="0"/>
          <w:color w:val="auto"/>
          <w:spacing w:val="0"/>
          <w:position w:val="0"/>
          <w:sz w:val="24"/>
          <w:szCs w:val="24"/>
          <w:lang w:val="en-US" w:eastAsia="zh-CN"/>
        </w:rPr>
        <w:t>按照《商品条码管理办法》《江西省商品条码管理办法》《商品条码随机抽查工作指引》要求，对不少于1100家商品条码系统成员提供“双随机、一公开”抽查技术评估服务，重点检查是否未经核准注册使用厂商识别代码和相应的商品条码，是否存在使用其他条码冒充商品条码或者使用伪造的商品条码，是否向所在地编码分支机构通报编码信息等，并开展监督检查情况统计分析</w:t>
      </w:r>
      <w:r>
        <w:rPr>
          <w:rFonts w:hint="eastAsia" w:ascii="宋体" w:hAnsi="宋体" w:eastAsia="宋体" w:cs="宋体"/>
          <w:b w:val="0"/>
          <w:bCs w:val="0"/>
          <w:color w:val="auto"/>
          <w:spacing w:val="0"/>
          <w:position w:val="0"/>
          <w:sz w:val="24"/>
          <w:szCs w:val="24"/>
        </w:rPr>
        <w:t>。</w:t>
      </w:r>
    </w:p>
    <w:p w14:paraId="667BB053">
      <w:pPr>
        <w:pageBreakBefore w:val="0"/>
        <w:widowControl w:val="0"/>
        <w:wordWrap/>
        <w:overflowPunct/>
        <w:topLinePunct w:val="0"/>
        <w:bidi w:val="0"/>
        <w:spacing w:line="360" w:lineRule="auto"/>
        <w:ind w:left="0" w:leftChars="0" w:right="0" w:rightChars="0" w:firstLine="420" w:firstLineChars="200"/>
        <w:rPr>
          <w:rFonts w:hint="eastAsia" w:ascii="宋体" w:hAnsi="宋体" w:eastAsia="宋体" w:cs="宋体"/>
          <w:color w:val="auto"/>
          <w:spacing w:val="0"/>
          <w:position w:val="0"/>
        </w:rPr>
      </w:pPr>
    </w:p>
    <w:p w14:paraId="10542B01">
      <w:pPr>
        <w:pageBreakBefore w:val="0"/>
        <w:widowControl w:val="0"/>
        <w:wordWrap/>
        <w:overflowPunct/>
        <w:topLinePunct w:val="0"/>
        <w:bidi w:val="0"/>
        <w:spacing w:line="245" w:lineRule="auto"/>
        <w:rPr>
          <w:rFonts w:hint="eastAsia" w:ascii="宋体" w:hAnsi="宋体" w:eastAsia="宋体" w:cs="宋体"/>
          <w:color w:val="auto"/>
          <w:highlight w:val="none"/>
          <w:lang w:eastAsia="zh-CN"/>
        </w:rPr>
      </w:pPr>
      <w:r>
        <w:rPr>
          <w:rFonts w:hint="eastAsia" w:ascii="宋体" w:hAnsi="宋体" w:eastAsia="宋体" w:cs="宋体"/>
          <w:b/>
          <w:color w:val="auto"/>
          <w:sz w:val="24"/>
          <w:szCs w:val="24"/>
          <w:highlight w:val="white"/>
          <w:lang w:val="en-US" w:eastAsia="zh-CN"/>
        </w:rPr>
        <w:t>注：</w:t>
      </w:r>
      <w:r>
        <w:rPr>
          <w:rFonts w:hint="eastAsia" w:ascii="宋体" w:hAnsi="宋体" w:eastAsia="宋体" w:cs="宋体"/>
          <w:b/>
          <w:color w:val="auto"/>
          <w:sz w:val="24"/>
          <w:szCs w:val="24"/>
          <w:highlight w:val="white"/>
        </w:rPr>
        <w:t>以上</w:t>
      </w:r>
      <w:r>
        <w:rPr>
          <w:rFonts w:hint="eastAsia" w:ascii="宋体" w:hAnsi="宋体" w:eastAsia="宋体" w:cs="宋体"/>
          <w:b/>
          <w:color w:val="auto"/>
          <w:sz w:val="24"/>
          <w:szCs w:val="24"/>
          <w:highlight w:val="white"/>
          <w:lang w:val="en-US" w:eastAsia="zh-CN"/>
        </w:rPr>
        <w:t>服务需求</w:t>
      </w:r>
      <w:r>
        <w:rPr>
          <w:rFonts w:hint="eastAsia" w:ascii="宋体" w:hAnsi="宋体" w:eastAsia="宋体" w:cs="宋体"/>
          <w:b/>
          <w:color w:val="auto"/>
          <w:sz w:val="24"/>
          <w:szCs w:val="24"/>
          <w:highlight w:val="white"/>
        </w:rPr>
        <w:t>为实质性条款</w:t>
      </w:r>
      <w:r>
        <w:rPr>
          <w:rFonts w:hint="eastAsia" w:ascii="宋体" w:hAnsi="宋体" w:eastAsia="宋体" w:cs="宋体"/>
          <w:b/>
          <w:color w:val="auto"/>
          <w:sz w:val="24"/>
          <w:szCs w:val="24"/>
          <w:highlight w:val="white"/>
          <w:lang w:eastAsia="zh-CN"/>
        </w:rPr>
        <w:t>，</w:t>
      </w:r>
      <w:r>
        <w:rPr>
          <w:rFonts w:hint="eastAsia" w:ascii="宋体" w:hAnsi="宋体" w:eastAsia="宋体" w:cs="宋体"/>
          <w:b/>
          <w:color w:val="auto"/>
          <w:sz w:val="24"/>
          <w:szCs w:val="24"/>
          <w:highlight w:val="white"/>
          <w:lang w:val="en-US" w:eastAsia="zh-CN"/>
        </w:rPr>
        <w:t>投标人</w:t>
      </w:r>
      <w:r>
        <w:rPr>
          <w:rFonts w:hint="eastAsia" w:ascii="宋体" w:hAnsi="宋体" w:eastAsia="宋体" w:cs="宋体"/>
          <w:b/>
          <w:color w:val="auto"/>
          <w:sz w:val="24"/>
          <w:szCs w:val="24"/>
          <w:highlight w:val="white"/>
        </w:rPr>
        <w:t>须</w:t>
      </w:r>
      <w:r>
        <w:rPr>
          <w:rFonts w:hint="eastAsia" w:ascii="宋体" w:hAnsi="宋体" w:eastAsia="宋体" w:cs="宋体"/>
          <w:b/>
          <w:bCs/>
          <w:color w:val="auto"/>
          <w:sz w:val="24"/>
          <w:szCs w:val="24"/>
          <w:highlight w:val="white"/>
        </w:rPr>
        <w:t>完全满足</w:t>
      </w:r>
      <w:r>
        <w:rPr>
          <w:rFonts w:hint="eastAsia" w:ascii="宋体" w:hAnsi="宋体" w:eastAsia="宋体" w:cs="宋体"/>
          <w:b/>
          <w:bCs/>
          <w:color w:val="auto"/>
          <w:sz w:val="24"/>
          <w:szCs w:val="24"/>
          <w:highlight w:val="white"/>
          <w:lang w:val="en-US" w:eastAsia="zh-CN"/>
        </w:rPr>
        <w:t>或优于</w:t>
      </w:r>
      <w:r>
        <w:rPr>
          <w:rFonts w:hint="eastAsia" w:ascii="宋体" w:hAnsi="宋体" w:eastAsia="宋体" w:cs="宋体"/>
          <w:b/>
          <w:color w:val="auto"/>
          <w:sz w:val="24"/>
          <w:szCs w:val="24"/>
          <w:highlight w:val="white"/>
        </w:rPr>
        <w:t>；否则，视为无效投标。</w:t>
      </w:r>
    </w:p>
    <w:p w14:paraId="7701A28D">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EC79C1"/>
    <w:rsid w:val="5CEC7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2026-05-09T08:42:00Z</dcterms:created>
  <dc:creator>Administrator</dc:creator>
  <cp:lastModifiedBy>Administrator</cp:lastModifiedBy>
  <dcterms:modified xsi:type="dcterms:W3CDTF">2026-05-09T08:43:05Z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1F69F194581547F592447F8996C74BFD_11</vt:lpwstr>
  </property>
  <property fmtid="{D5CDD505-2E9C-101B-9397-08002B2CF9AE}" pid="4" name="KSOTemplateDocerSaveRecord">
    <vt:lpwstr>eyJoZGlkIjoiMjA3YjM4M2M0MjQ4MzM2M2YwZTYyYzZjNThjNjNlZTkiLCJ1c2VySWQiOiI1NDU3Nzc0ODEifQ==</vt:lpwstr>
  </property>
</Properties>
</file>