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page" w:tblpXSpec="center" w:tblpY="421"/>
        <w:tblOverlap w:val="never"/>
        <w:tblW w:w="104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7"/>
        <w:gridCol w:w="1335"/>
        <w:gridCol w:w="6030"/>
        <w:gridCol w:w="540"/>
        <w:gridCol w:w="525"/>
        <w:gridCol w:w="750"/>
        <w:gridCol w:w="756"/>
      </w:tblGrid>
      <w:tr w14:paraId="4DF575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  <w:jc w:val="center"/>
        </w:trPr>
        <w:tc>
          <w:tcPr>
            <w:tcW w:w="517" w:type="dxa"/>
            <w:noWrap w:val="0"/>
            <w:vAlign w:val="center"/>
          </w:tcPr>
          <w:p w14:paraId="44A078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</w:rPr>
              <w:t>序号</w:t>
            </w:r>
          </w:p>
        </w:tc>
        <w:tc>
          <w:tcPr>
            <w:tcW w:w="1335" w:type="dxa"/>
            <w:noWrap w:val="0"/>
            <w:vAlign w:val="center"/>
          </w:tcPr>
          <w:p w14:paraId="6B0DB9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标的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</w:rPr>
              <w:t>名称</w:t>
            </w:r>
          </w:p>
        </w:tc>
        <w:tc>
          <w:tcPr>
            <w:tcW w:w="6030" w:type="dxa"/>
            <w:noWrap w:val="0"/>
            <w:vAlign w:val="center"/>
          </w:tcPr>
          <w:p w14:paraId="2BB3CC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center"/>
              <w:rPr>
                <w:rFonts w:hint="default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工作内容及要求</w:t>
            </w:r>
          </w:p>
        </w:tc>
        <w:tc>
          <w:tcPr>
            <w:tcW w:w="540" w:type="dxa"/>
            <w:noWrap w:val="0"/>
            <w:vAlign w:val="center"/>
          </w:tcPr>
          <w:p w14:paraId="6AF38C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</w:rPr>
              <w:t>数量</w:t>
            </w:r>
          </w:p>
        </w:tc>
        <w:tc>
          <w:tcPr>
            <w:tcW w:w="525" w:type="dxa"/>
            <w:noWrap w:val="0"/>
            <w:vAlign w:val="center"/>
          </w:tcPr>
          <w:p w14:paraId="6747D5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</w:rPr>
              <w:t>单位</w:t>
            </w:r>
          </w:p>
        </w:tc>
        <w:tc>
          <w:tcPr>
            <w:tcW w:w="750" w:type="dxa"/>
            <w:noWrap w:val="0"/>
            <w:vAlign w:val="center"/>
          </w:tcPr>
          <w:p w14:paraId="236AA0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单价（元）</w:t>
            </w:r>
          </w:p>
        </w:tc>
        <w:tc>
          <w:tcPr>
            <w:tcW w:w="756" w:type="dxa"/>
            <w:noWrap w:val="0"/>
            <w:vAlign w:val="center"/>
          </w:tcPr>
          <w:p w14:paraId="77AE1D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总价（元）</w:t>
            </w:r>
          </w:p>
        </w:tc>
      </w:tr>
      <w:tr w14:paraId="5F8AD7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  <w:jc w:val="center"/>
        </w:trPr>
        <w:tc>
          <w:tcPr>
            <w:tcW w:w="517" w:type="dxa"/>
            <w:noWrap w:val="0"/>
            <w:vAlign w:val="center"/>
          </w:tcPr>
          <w:p w14:paraId="7F982A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</w:rPr>
              <w:t>1</w:t>
            </w:r>
          </w:p>
        </w:tc>
        <w:tc>
          <w:tcPr>
            <w:tcW w:w="1335" w:type="dxa"/>
            <w:noWrap w:val="0"/>
            <w:vAlign w:val="center"/>
          </w:tcPr>
          <w:p w14:paraId="6EF8E1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0"/>
                <w:szCs w:val="20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设计(含方案设计、初步设计、施工图设计）</w:t>
            </w:r>
          </w:p>
        </w:tc>
        <w:tc>
          <w:tcPr>
            <w:tcW w:w="6030" w:type="dxa"/>
            <w:noWrap w:val="0"/>
            <w:vAlign w:val="center"/>
          </w:tcPr>
          <w:p w14:paraId="467F82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left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1、方案设计：结合项目可研报告及城市更新定位，提出2-3套合理的方案设计，明确项目总平面布局、建筑风格、功能分区、交通组织、绿化景观等核心内容，方案须符合城市规划、环保、消防等要求，充分考虑项目区域现状及需求，具有创新性及可行性；方案设计须包含设计说明、总平面图、主要建筑立面图、剖面图、效果图等。</w:t>
            </w:r>
          </w:p>
          <w:p w14:paraId="523A25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left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2、初步设计：在确定的方案设计基础上，开展初步设计工作，深化设计内容，明确各专业设计参数、技术标准、材料选型等，编制初步设计说明书、初步设计图纸、投资概算等；初步设计深度须满足《建筑工程设计文件编制深度规定》要求，能够作为施工图设计的依据，同时满足项目审批、概算审批要求；投资概算须准确、全面，与可研报告投资估算衔接一致，控制在批准的投资估算范围内。</w:t>
            </w:r>
          </w:p>
          <w:p w14:paraId="53FACF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left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3、施工图设计（含边坡防护设计等）：在初步设计审批通过后，开展施工图设计工作，进一步深化各专业设计，编制完整的施工图设计文件，包括但不限于设计说明、各专业施工图纸、节点详图、工程量清单、设计交底文件等；施工图设计深度须满足施工要求，确保图纸准确、规范、完整，无错漏、无矛盾，能够直接指导施工；施工图设计须符合消防、人防、环保、无障碍等相关规范要求，通过相关部门的审查。</w:t>
            </w:r>
          </w:p>
        </w:tc>
        <w:tc>
          <w:tcPr>
            <w:tcW w:w="540" w:type="dxa"/>
            <w:noWrap w:val="0"/>
            <w:vAlign w:val="center"/>
          </w:tcPr>
          <w:p w14:paraId="26D47C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center"/>
              <w:rPr>
                <w:rFonts w:hint="default" w:ascii="宋体" w:hAnsi="宋体" w:eastAsia="宋体" w:cs="宋体"/>
                <w:color w:val="auto"/>
                <w:sz w:val="20"/>
                <w:szCs w:val="20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1</w:t>
            </w:r>
          </w:p>
        </w:tc>
        <w:tc>
          <w:tcPr>
            <w:tcW w:w="525" w:type="dxa"/>
            <w:noWrap w:val="0"/>
            <w:vAlign w:val="center"/>
          </w:tcPr>
          <w:p w14:paraId="2C459D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项</w:t>
            </w:r>
          </w:p>
        </w:tc>
        <w:tc>
          <w:tcPr>
            <w:tcW w:w="750" w:type="dxa"/>
            <w:noWrap w:val="0"/>
            <w:vAlign w:val="center"/>
          </w:tcPr>
          <w:p w14:paraId="515921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400000.00</w:t>
            </w:r>
          </w:p>
        </w:tc>
        <w:tc>
          <w:tcPr>
            <w:tcW w:w="756" w:type="dxa"/>
            <w:noWrap w:val="0"/>
            <w:vAlign w:val="center"/>
          </w:tcPr>
          <w:p w14:paraId="50C829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400000.00</w:t>
            </w:r>
          </w:p>
        </w:tc>
      </w:tr>
      <w:tr w14:paraId="7985D7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3" w:hRule="atLeast"/>
          <w:jc w:val="center"/>
        </w:trPr>
        <w:tc>
          <w:tcPr>
            <w:tcW w:w="517" w:type="dxa"/>
            <w:noWrap w:val="0"/>
            <w:vAlign w:val="center"/>
          </w:tcPr>
          <w:p w14:paraId="332BFC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</w:rPr>
              <w:t>2</w:t>
            </w:r>
          </w:p>
        </w:tc>
        <w:tc>
          <w:tcPr>
            <w:tcW w:w="1335" w:type="dxa"/>
            <w:noWrap w:val="0"/>
            <w:vAlign w:val="center"/>
          </w:tcPr>
          <w:p w14:paraId="10C373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绿色建筑设计</w:t>
            </w:r>
          </w:p>
        </w:tc>
        <w:tc>
          <w:tcPr>
            <w:tcW w:w="6030" w:type="dxa"/>
            <w:noWrap w:val="0"/>
            <w:vAlign w:val="center"/>
          </w:tcPr>
          <w:p w14:paraId="4747BA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left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1、绿色建筑全阶段设计工作，结合赣南地域气候，落实四节一环保要求。</w:t>
            </w:r>
          </w:p>
          <w:p w14:paraId="388E5B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left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2、方案阶段融入绿建理念，初步规划场地、节能、节水措施；初步设计阶段深化各专业绿建方案，核算绿建指标。</w:t>
            </w:r>
          </w:p>
          <w:p w14:paraId="779BFD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left"/>
              <w:rPr>
                <w:rFonts w:hint="default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3、施工图阶段编制绿建专篇，细化节能、海绵城市、光伏利用等施工图纸。</w:t>
            </w:r>
          </w:p>
        </w:tc>
        <w:tc>
          <w:tcPr>
            <w:tcW w:w="540" w:type="dxa"/>
            <w:noWrap w:val="0"/>
            <w:vAlign w:val="center"/>
          </w:tcPr>
          <w:p w14:paraId="6648D9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center"/>
              <w:rPr>
                <w:rFonts w:hint="default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1</w:t>
            </w:r>
          </w:p>
        </w:tc>
        <w:tc>
          <w:tcPr>
            <w:tcW w:w="525" w:type="dxa"/>
            <w:noWrap w:val="0"/>
            <w:vAlign w:val="center"/>
          </w:tcPr>
          <w:p w14:paraId="250F69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项</w:t>
            </w:r>
          </w:p>
        </w:tc>
        <w:tc>
          <w:tcPr>
            <w:tcW w:w="750" w:type="dxa"/>
            <w:noWrap w:val="0"/>
            <w:vAlign w:val="center"/>
          </w:tcPr>
          <w:p w14:paraId="6FFB51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100000.00</w:t>
            </w:r>
          </w:p>
        </w:tc>
        <w:tc>
          <w:tcPr>
            <w:tcW w:w="756" w:type="dxa"/>
            <w:noWrap w:val="0"/>
            <w:vAlign w:val="center"/>
          </w:tcPr>
          <w:p w14:paraId="38996E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100000.00</w:t>
            </w:r>
          </w:p>
        </w:tc>
      </w:tr>
      <w:tr w14:paraId="558FB7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17" w:type="dxa"/>
            <w:noWrap w:val="0"/>
            <w:vAlign w:val="center"/>
          </w:tcPr>
          <w:p w14:paraId="5B7745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3</w:t>
            </w:r>
          </w:p>
        </w:tc>
        <w:tc>
          <w:tcPr>
            <w:tcW w:w="1335" w:type="dxa"/>
            <w:noWrap w:val="0"/>
            <w:vAlign w:val="center"/>
          </w:tcPr>
          <w:p w14:paraId="608F1D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地质勘察</w:t>
            </w:r>
          </w:p>
        </w:tc>
        <w:tc>
          <w:tcPr>
            <w:tcW w:w="6030" w:type="dxa"/>
            <w:noWrap w:val="0"/>
            <w:vAlign w:val="center"/>
          </w:tcPr>
          <w:p w14:paraId="4B23C3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left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1、前期现场踏勘收集项目区域地形图、规划资料、周边地质环境、地下水情况、地形地貌、不良地质现状，了解场地周边建构筑物及管线分布，确定勘察范围与勘察工作量。</w:t>
            </w:r>
          </w:p>
          <w:p w14:paraId="083011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left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2、工程钻探作业按规范布设勘察钻孔，现场钻进取芯，分层采取岩土试样，原位测试，查明场地地层结构、岩土体物理力学性质、土层分布规律。</w:t>
            </w:r>
          </w:p>
          <w:p w14:paraId="12708C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left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3、原位测试与室内土工试验开展标准贯入、动力触探等原位测试；对取回土样、岩样进行室内土工试验，测定岩土承载力、压缩模量、密度、含水率、抗剪强度等各项物理力学指标。</w:t>
            </w:r>
          </w:p>
          <w:p w14:paraId="59AA0E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left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4、地下水勘察查明场地地下水埋深、水位变化、含水层类型、补给排泄条件、地下水腐蚀性，分析地下水对基础、混凝土及钢筋的侵蚀影响。</w:t>
            </w:r>
          </w:p>
          <w:p w14:paraId="349357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left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5、后续配合服务配合建筑结构设计、图纸会审、设计交底；施工期间验槽、地质复核，现场地质问题答疑，配合基础施工及变更处理。</w:t>
            </w:r>
          </w:p>
        </w:tc>
        <w:tc>
          <w:tcPr>
            <w:tcW w:w="540" w:type="dxa"/>
            <w:noWrap w:val="0"/>
            <w:vAlign w:val="center"/>
          </w:tcPr>
          <w:p w14:paraId="5F351D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center"/>
              <w:rPr>
                <w:rFonts w:hint="default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1</w:t>
            </w:r>
          </w:p>
        </w:tc>
        <w:tc>
          <w:tcPr>
            <w:tcW w:w="525" w:type="dxa"/>
            <w:noWrap w:val="0"/>
            <w:vAlign w:val="center"/>
          </w:tcPr>
          <w:p w14:paraId="47C2ED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项</w:t>
            </w:r>
          </w:p>
        </w:tc>
        <w:tc>
          <w:tcPr>
            <w:tcW w:w="750" w:type="dxa"/>
            <w:noWrap w:val="0"/>
            <w:vAlign w:val="center"/>
          </w:tcPr>
          <w:p w14:paraId="741D5C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150000.00</w:t>
            </w:r>
          </w:p>
        </w:tc>
        <w:tc>
          <w:tcPr>
            <w:tcW w:w="756" w:type="dxa"/>
            <w:noWrap w:val="0"/>
            <w:vAlign w:val="center"/>
          </w:tcPr>
          <w:p w14:paraId="53DB4B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150000.00</w:t>
            </w:r>
          </w:p>
        </w:tc>
      </w:tr>
      <w:tr w14:paraId="374572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3" w:hRule="atLeast"/>
          <w:jc w:val="center"/>
        </w:trPr>
        <w:tc>
          <w:tcPr>
            <w:tcW w:w="517" w:type="dxa"/>
            <w:noWrap w:val="0"/>
            <w:vAlign w:val="center"/>
          </w:tcPr>
          <w:p w14:paraId="1589FA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4</w:t>
            </w:r>
          </w:p>
        </w:tc>
        <w:tc>
          <w:tcPr>
            <w:tcW w:w="1335" w:type="dxa"/>
            <w:noWrap w:val="0"/>
            <w:vAlign w:val="center"/>
          </w:tcPr>
          <w:p w14:paraId="2BF2EA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预算编制</w:t>
            </w:r>
          </w:p>
        </w:tc>
        <w:tc>
          <w:tcPr>
            <w:tcW w:w="6030" w:type="dxa"/>
            <w:noWrap w:val="0"/>
            <w:vAlign w:val="center"/>
          </w:tcPr>
          <w:p w14:paraId="155517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left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1、依据现行江西省建筑工程消耗量定额、费用定额、信息价及相关造价政策，进行工程量计算、清单项目列项。</w:t>
            </w:r>
          </w:p>
          <w:p w14:paraId="6B4984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left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2、准确计算土石方、土建、砌体、钢筋混凝土、装饰装修、给排水、电气、消防等各分部分项工程量。</w:t>
            </w:r>
          </w:p>
          <w:p w14:paraId="6C938D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left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3、进行综合单价分析、人材机价格组价，计取管理费、利润、规费、税金，完成工程预算造价编制。</w:t>
            </w:r>
          </w:p>
          <w:p w14:paraId="7F960E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left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4、核对工程量、单价及总价，做好造价自查复核，控制预算偏差，确保预算成果完整准确。</w:t>
            </w:r>
          </w:p>
          <w:p w14:paraId="274FFA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left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5、编制预算书、工程量清单、造价汇总表、主材材料表及相关造价附件资料并通过财政评审。</w:t>
            </w:r>
          </w:p>
        </w:tc>
        <w:tc>
          <w:tcPr>
            <w:tcW w:w="540" w:type="dxa"/>
            <w:noWrap w:val="0"/>
            <w:vAlign w:val="center"/>
          </w:tcPr>
          <w:p w14:paraId="39952E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360" w:lineRule="exact"/>
              <w:jc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1</w:t>
            </w:r>
          </w:p>
        </w:tc>
        <w:tc>
          <w:tcPr>
            <w:tcW w:w="525" w:type="dxa"/>
            <w:noWrap w:val="0"/>
            <w:vAlign w:val="center"/>
          </w:tcPr>
          <w:p w14:paraId="11E30B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项</w:t>
            </w:r>
          </w:p>
        </w:tc>
        <w:tc>
          <w:tcPr>
            <w:tcW w:w="750" w:type="dxa"/>
            <w:noWrap w:val="0"/>
            <w:vAlign w:val="center"/>
          </w:tcPr>
          <w:p w14:paraId="1DAA14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40000.00</w:t>
            </w:r>
          </w:p>
        </w:tc>
        <w:tc>
          <w:tcPr>
            <w:tcW w:w="756" w:type="dxa"/>
            <w:noWrap w:val="0"/>
            <w:vAlign w:val="center"/>
          </w:tcPr>
          <w:p w14:paraId="0DEB77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40000.00</w:t>
            </w:r>
          </w:p>
        </w:tc>
      </w:tr>
      <w:tr w14:paraId="05F374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1852" w:type="dxa"/>
            <w:gridSpan w:val="2"/>
            <w:noWrap w:val="0"/>
            <w:vAlign w:val="center"/>
          </w:tcPr>
          <w:p w14:paraId="6A7CAD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合计</w:t>
            </w:r>
          </w:p>
        </w:tc>
        <w:tc>
          <w:tcPr>
            <w:tcW w:w="8601" w:type="dxa"/>
            <w:gridSpan w:val="5"/>
            <w:noWrap w:val="0"/>
            <w:vAlign w:val="center"/>
          </w:tcPr>
          <w:p w14:paraId="2F0FB5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690000.00元</w:t>
            </w:r>
          </w:p>
        </w:tc>
      </w:tr>
    </w:tbl>
    <w:p w14:paraId="4FBA437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2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A31E42"/>
    <w:rsid w:val="49A31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iPriority w:val="0"/>
    <w:pPr>
      <w:spacing w:after="120" w:afterLines="0"/>
    </w:pPr>
    <w:rPr>
      <w:kern w:val="0"/>
      <w:sz w:val="20"/>
      <w:szCs w:val="24"/>
    </w:rPr>
  </w:style>
  <w:style w:type="paragraph" w:styleId="3">
    <w:name w:val="Body Text First Indent"/>
    <w:basedOn w:val="2"/>
    <w:uiPriority w:val="0"/>
    <w:pPr>
      <w:spacing w:after="120" w:afterLines="0"/>
      <w:ind w:firstLine="420" w:firstLineChars="100"/>
    </w:pPr>
    <w:rPr>
      <w:sz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2026-05-09T08:20:00Z</dcterms:created>
  <dc:creator>Y</dc:creator>
  <cp:lastModifiedBy>Y</cp:lastModifiedBy>
  <dcterms:modified xsi:type="dcterms:W3CDTF">2026-05-09T08:21:21Z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7269F657CF1E41D5B153A10A91B33C1A_11</vt:lpwstr>
  </property>
  <property fmtid="{D5CDD505-2E9C-101B-9397-08002B2CF9AE}" pid="4" name="KSOTemplateDocerSaveRecord">
    <vt:lpwstr>eyJoZGlkIjoiNDJhMTcwZjQ2NDhhOTVlZmE2NmJmODZkMTU0MmFiNzAiLCJ1c2VySWQiOiIxMTU0NDEzMzAxIn0=</vt:lpwstr>
  </property>
</Properties>
</file>