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kinsoku w:val="0"/>
        <w:wordWrap/>
        <w:overflowPunct/>
        <w:topLinePunct w:val="0"/>
        <w:autoSpaceDE w:val="0"/>
        <w:autoSpaceDN w:val="0"/>
        <w:bidi w:val="0"/>
        <w:adjustRightInd w:val="0"/>
        <w:snapToGrid w:val="0"/>
        <w:spacing w:before="47" w:line="219" w:lineRule="auto"/>
        <w:ind w:left="3805"/>
        <w:jc w:val="left"/>
        <w:textAlignment w:val="baseline"/>
        <w:outlineLvl w:val="1"/>
        <w:rPr>
          <w:rFonts w:ascii="宋体" w:hAnsi="宋体" w:eastAsia="宋体" w:cs="宋体"/>
          <w:snapToGrid w:val="0"/>
          <w:color w:val="auto"/>
          <w:spacing w:val="0"/>
          <w:kern w:val="0"/>
          <w:position w:val="0"/>
          <w:sz w:val="36"/>
          <w:szCs w:val="36"/>
          <w:lang w:eastAsia="en-US"/>
        </w:rPr>
      </w:pPr>
      <w:r>
        <w:rPr>
          <w:rFonts w:ascii="宋体" w:hAnsi="宋体" w:eastAsia="宋体" w:cs="宋体"/>
          <w:snapToGrid w:val="0"/>
          <w:color w:val="auto"/>
          <w:spacing w:val="0"/>
          <w:kern w:val="0"/>
          <w:position w:val="0"/>
          <w:sz w:val="36"/>
          <w:szCs w:val="36"/>
          <w:lang w:eastAsia="en-US"/>
          <w14:textOutline w14:w="4356" w14:cap="sq" w14:cmpd="sng" w14:algn="ctr">
            <w14:solidFill>
              <w14:srgbClr w14:val="000000"/>
            </w14:solidFill>
            <w14:prstDash w14:val="solid"/>
            <w14:bevel/>
          </w14:textOutline>
        </w:rPr>
        <w:t>采购需求</w:t>
      </w:r>
    </w:p>
    <w:p w14:paraId="474EAFDC">
      <w:pPr>
        <w:pageBreakBefore w:val="0"/>
        <w:widowControl w:val="0"/>
        <w:kinsoku w:val="0"/>
        <w:wordWrap/>
        <w:overflowPunct/>
        <w:topLinePunct w:val="0"/>
        <w:autoSpaceDE w:val="0"/>
        <w:autoSpaceDN w:val="0"/>
        <w:bidi w:val="0"/>
        <w:adjustRightInd w:val="0"/>
        <w:snapToGrid w:val="0"/>
        <w:spacing w:line="257" w:lineRule="auto"/>
        <w:jc w:val="left"/>
        <w:textAlignment w:val="baseline"/>
        <w:rPr>
          <w:rFonts w:ascii="Arial" w:hAnsi="Arial" w:eastAsia="Arial" w:cs="Arial"/>
          <w:snapToGrid w:val="0"/>
          <w:color w:val="auto"/>
          <w:spacing w:val="0"/>
          <w:kern w:val="0"/>
          <w:position w:val="0"/>
          <w:szCs w:val="21"/>
          <w:lang w:eastAsia="en-US"/>
        </w:rPr>
      </w:pPr>
    </w:p>
    <w:p w14:paraId="1A86D866">
      <w:pPr>
        <w:pageBreakBefore w:val="0"/>
        <w:widowControl w:val="0"/>
        <w:kinsoku w:val="0"/>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spacing w:val="0"/>
          <w:kern w:val="0"/>
          <w:position w:val="0"/>
          <w:szCs w:val="21"/>
          <w:lang w:eastAsia="en-US"/>
        </w:rPr>
      </w:pPr>
    </w:p>
    <w:p w14:paraId="30D1829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outlineLvl w:val="9"/>
        <w:rPr>
          <w:rFonts w:hint="eastAsia" w:ascii="宋体" w:hAnsi="宋体" w:eastAsia="宋体" w:cs="宋体"/>
          <w:i w:val="0"/>
          <w:caps w:val="0"/>
          <w:snapToGrid/>
          <w:color w:val="000000"/>
          <w:spacing w:val="0"/>
          <w:kern w:val="2"/>
          <w:sz w:val="28"/>
          <w:szCs w:val="28"/>
          <w:lang w:eastAsia="zh-CN"/>
        </w:rPr>
      </w:pPr>
      <w:r>
        <w:rPr>
          <w:rFonts w:hint="eastAsia" w:ascii="宋体" w:hAnsi="宋体" w:eastAsia="宋体" w:cs="宋体"/>
          <w:i w:val="0"/>
          <w:caps w:val="0"/>
          <w:snapToGrid/>
          <w:color w:val="000000"/>
          <w:spacing w:val="0"/>
          <w:kern w:val="0"/>
          <w:sz w:val="28"/>
          <w:szCs w:val="28"/>
          <w:lang w:val="en-US" w:eastAsia="zh-CN" w:bidi="ar"/>
        </w:rPr>
        <w:t>（一）指导思想</w:t>
      </w:r>
      <w:bookmarkStart w:id="0" w:name="_GoBack"/>
      <w:bookmarkEnd w:id="0"/>
    </w:p>
    <w:p w14:paraId="A0D8F4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根据省、市关于城乡环境综合整治工作总体要求，坚持“政府主导、上下联动、条块结合、属地管理、统筹推进”的原则，全力推行城乡环卫一体化购买服务，将农村生活垃圾清扫、收集、转运服务外包，实行“一把扫帚扫到底”。以改善城乡环境面貌为核心，全面开展农村生活垃圾治理工作，通过政府购买服务，引入市场竞争机制，加快农村生活垃圾卫生作业服务市场化、社会化和专业化，实现管干分离，全面提升武功山农村生活垃圾治理作业水平，营造良好的人居环境。</w:t>
      </w:r>
    </w:p>
    <w:p w14:paraId="3735E00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outlineLvl w:val="9"/>
        <w:rPr>
          <w:rFonts w:hint="eastAsia" w:ascii="宋体" w:hAnsi="宋体" w:eastAsia="宋体" w:cs="宋体"/>
          <w:i w:val="0"/>
          <w:caps w:val="0"/>
          <w:snapToGrid/>
          <w:color w:val="000000"/>
          <w:spacing w:val="0"/>
          <w:kern w:val="2"/>
          <w:sz w:val="28"/>
          <w:szCs w:val="28"/>
          <w:lang w:eastAsia="zh-CN"/>
        </w:rPr>
      </w:pPr>
      <w:r>
        <w:rPr>
          <w:rFonts w:hint="eastAsia" w:ascii="宋体" w:hAnsi="宋体" w:eastAsia="宋体" w:cs="宋体"/>
          <w:i w:val="0"/>
          <w:caps w:val="0"/>
          <w:snapToGrid/>
          <w:color w:val="000000"/>
          <w:spacing w:val="0"/>
          <w:kern w:val="0"/>
          <w:sz w:val="28"/>
          <w:szCs w:val="28"/>
          <w:lang w:val="en-US" w:eastAsia="zh-CN" w:bidi="ar"/>
        </w:rPr>
        <w:t>（二）基本原则</w:t>
      </w:r>
    </w:p>
    <w:p w14:paraId="2F8D820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2"/>
          <w:sz w:val="28"/>
          <w:szCs w:val="28"/>
          <w:lang w:eastAsia="zh-CN"/>
        </w:rPr>
      </w:pPr>
      <w:r>
        <w:rPr>
          <w:rFonts w:hint="eastAsia" w:ascii="宋体" w:hAnsi="宋体" w:eastAsia="宋体" w:cs="宋体"/>
          <w:i w:val="0"/>
          <w:caps w:val="0"/>
          <w:snapToGrid/>
          <w:color w:val="000000"/>
          <w:spacing w:val="0"/>
          <w:kern w:val="0"/>
          <w:sz w:val="28"/>
          <w:szCs w:val="28"/>
          <w:lang w:val="en-US" w:eastAsia="zh-CN"/>
        </w:rPr>
        <w:t>建立“政府主导、城乡一体、社会化服务、公众参与、社会支持”的工作格局，实行区、乡镇、村（居）三级联动，分级负责，协同推进。</w:t>
      </w:r>
    </w:p>
    <w:p w14:paraId="25104F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outlineLvl w:val="9"/>
        <w:rPr>
          <w:rFonts w:hint="default" w:ascii="宋体" w:hAnsi="宋体" w:eastAsia="宋体" w:cs="宋体"/>
          <w:b/>
          <w:bCs/>
          <w:i w:val="0"/>
          <w:caps w:val="0"/>
          <w:snapToGrid/>
          <w:color w:val="000000"/>
          <w:spacing w:val="0"/>
          <w:kern w:val="0"/>
          <w:sz w:val="28"/>
          <w:szCs w:val="28"/>
          <w:lang w:val="en-US" w:eastAsia="zh-CN" w:bidi="ar"/>
        </w:rPr>
      </w:pPr>
      <w:r>
        <w:rPr>
          <w:rFonts w:hint="eastAsia" w:ascii="宋体" w:hAnsi="宋体" w:eastAsia="宋体" w:cs="宋体"/>
          <w:b/>
          <w:bCs/>
          <w:i w:val="0"/>
          <w:caps w:val="0"/>
          <w:snapToGrid/>
          <w:color w:val="000000"/>
          <w:spacing w:val="0"/>
          <w:kern w:val="0"/>
          <w:sz w:val="28"/>
          <w:szCs w:val="28"/>
          <w:lang w:val="en-US" w:eastAsia="zh-CN" w:bidi="ar"/>
        </w:rPr>
        <w:t>二、项目实施地点</w:t>
      </w:r>
    </w:p>
    <w:p w14:paraId="E694C88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萍乡武功山风景名胜区万龙山乡、麻田镇辖区内25个行政村（居）（不含各登山口以内的区域、物业小区、企事业单位庭院、居民房前屋后的私人庭院区域的清扫保洁）。</w:t>
      </w:r>
    </w:p>
    <w:p w14:paraId="04D9D7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outlineLvl w:val="9"/>
        <w:rPr>
          <w:rFonts w:hint="default" w:ascii="宋体" w:hAnsi="宋体" w:eastAsia="宋体" w:cs="宋体"/>
          <w:b/>
          <w:bCs/>
          <w:i w:val="0"/>
          <w:caps w:val="0"/>
          <w:snapToGrid/>
          <w:color w:val="000000"/>
          <w:spacing w:val="0"/>
          <w:kern w:val="0"/>
          <w:sz w:val="28"/>
          <w:szCs w:val="28"/>
          <w:lang w:val="en-US" w:eastAsia="zh-CN" w:bidi="ar"/>
        </w:rPr>
      </w:pPr>
      <w:r>
        <w:rPr>
          <w:rFonts w:hint="eastAsia" w:ascii="宋体" w:hAnsi="宋体" w:eastAsia="宋体" w:cs="宋体"/>
          <w:b/>
          <w:bCs/>
          <w:i w:val="0"/>
          <w:caps w:val="0"/>
          <w:snapToGrid/>
          <w:color w:val="000000"/>
          <w:spacing w:val="0"/>
          <w:kern w:val="0"/>
          <w:sz w:val="28"/>
          <w:szCs w:val="28"/>
          <w:lang w:val="en-US" w:eastAsia="zh-CN" w:bidi="ar"/>
        </w:rPr>
        <w:t>三、项目服务年限</w:t>
      </w:r>
    </w:p>
    <w:p w14:paraId="65BB49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区社会发展建设局和项目中标方签订合同期为3年，首签1年，含试用期3个月，考核合格则续签合同，第二次合同签2年，即1+2模式，考核不合格则终止合同，重新招标。</w:t>
      </w:r>
    </w:p>
    <w:p w14:paraId="6787A8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outlineLvl w:val="9"/>
        <w:rPr>
          <w:rFonts w:hint="eastAsia" w:ascii="宋体" w:hAnsi="宋体" w:eastAsia="宋体" w:cs="宋体"/>
          <w:b/>
          <w:bCs/>
          <w:i w:val="0"/>
          <w:caps w:val="0"/>
          <w:snapToGrid/>
          <w:color w:val="000000"/>
          <w:spacing w:val="0"/>
          <w:kern w:val="2"/>
          <w:sz w:val="28"/>
          <w:szCs w:val="28"/>
          <w:lang w:eastAsia="zh-CN"/>
        </w:rPr>
      </w:pPr>
      <w:r>
        <w:rPr>
          <w:rFonts w:hint="eastAsia" w:ascii="宋体" w:hAnsi="宋体" w:eastAsia="宋体" w:cs="宋体"/>
          <w:b/>
          <w:bCs/>
          <w:i w:val="0"/>
          <w:caps w:val="0"/>
          <w:snapToGrid/>
          <w:color w:val="000000"/>
          <w:spacing w:val="0"/>
          <w:kern w:val="0"/>
          <w:sz w:val="28"/>
          <w:szCs w:val="28"/>
          <w:lang w:val="en-US" w:eastAsia="zh-CN" w:bidi="ar"/>
        </w:rPr>
        <w:t>四、总体思路　　　</w:t>
      </w:r>
    </w:p>
    <w:p w14:paraId="3BA9C5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按照“全区统筹、属地管理”的工作思路，采取“区级主导、乡镇管理、市场运作、村民参与”的工作方法，按照各自然村、社区的数量、农户、居民、人口、环卫设施、保洁人员、转运等综合因素进行测算。公开招标确定保洁公司进行市场运作。中标单位要有一名项目经理负总责，区、乡镇负责日常管理和考评，建立农村环卫市场化保洁新机制。</w:t>
      </w:r>
    </w:p>
    <w:p w14:paraId="3FD5F1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outlineLvl w:val="9"/>
        <w:rPr>
          <w:rFonts w:hint="eastAsia" w:ascii="宋体" w:hAnsi="宋体" w:eastAsia="宋体" w:cs="宋体"/>
          <w:b/>
          <w:bCs/>
          <w:i w:val="0"/>
          <w:caps w:val="0"/>
          <w:snapToGrid/>
          <w:color w:val="000000"/>
          <w:spacing w:val="0"/>
          <w:kern w:val="0"/>
          <w:sz w:val="28"/>
          <w:szCs w:val="28"/>
          <w:lang w:val="en-US" w:eastAsia="zh-CN" w:bidi="ar"/>
        </w:rPr>
      </w:pPr>
      <w:r>
        <w:rPr>
          <w:rFonts w:hint="eastAsia" w:ascii="宋体" w:hAnsi="宋体" w:eastAsia="宋体" w:cs="宋体"/>
          <w:b/>
          <w:bCs/>
          <w:i w:val="0"/>
          <w:caps w:val="0"/>
          <w:snapToGrid/>
          <w:color w:val="000000"/>
          <w:spacing w:val="0"/>
          <w:kern w:val="0"/>
          <w:sz w:val="28"/>
          <w:szCs w:val="28"/>
          <w:lang w:val="en-US" w:eastAsia="zh-CN" w:bidi="ar"/>
        </w:rPr>
        <w:t>五、运行体系和工作流程</w:t>
      </w:r>
    </w:p>
    <w:p w14:paraId="65ABB1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outlineLvl w:val="9"/>
        <w:rPr>
          <w:rFonts w:hint="eastAsia" w:ascii="宋体" w:hAnsi="宋体" w:eastAsia="宋体" w:cs="宋体"/>
          <w:i w:val="0"/>
          <w:caps w:val="0"/>
          <w:snapToGrid/>
          <w:color w:val="000000"/>
          <w:spacing w:val="0"/>
          <w:kern w:val="2"/>
          <w:sz w:val="28"/>
          <w:szCs w:val="28"/>
          <w:lang w:eastAsia="zh-CN"/>
        </w:rPr>
      </w:pPr>
      <w:r>
        <w:rPr>
          <w:rFonts w:hint="eastAsia" w:ascii="宋体" w:hAnsi="宋体" w:eastAsia="宋体" w:cs="宋体"/>
          <w:i w:val="0"/>
          <w:caps w:val="0"/>
          <w:snapToGrid/>
          <w:color w:val="000000"/>
          <w:spacing w:val="0"/>
          <w:kern w:val="0"/>
          <w:sz w:val="28"/>
          <w:szCs w:val="28"/>
          <w:lang w:val="en-US" w:eastAsia="zh-CN" w:bidi="ar"/>
        </w:rPr>
        <w:t>（一）运行体系</w:t>
      </w:r>
    </w:p>
    <w:p w14:paraId="D5A8A6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1.中标单位保障农村生活垃圾治理市场化运营的资金、设备及人员投入。</w:t>
      </w:r>
    </w:p>
    <w:p w14:paraId="3ADE8CC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SA"/>
        </w:rPr>
      </w:pPr>
      <w:r>
        <w:rPr>
          <w:rFonts w:hint="eastAsia" w:ascii="宋体" w:hAnsi="宋体" w:eastAsia="宋体" w:cs="宋体"/>
          <w:i w:val="0"/>
          <w:caps w:val="0"/>
          <w:snapToGrid/>
          <w:color w:val="000000"/>
          <w:spacing w:val="0"/>
          <w:kern w:val="0"/>
          <w:sz w:val="28"/>
          <w:szCs w:val="28"/>
          <w:lang w:val="en-US" w:eastAsia="zh-CN" w:bidi="ar-SA"/>
        </w:rPr>
        <w:t>2.中标单位必须添置洒水车、冲洗车、机械清扫车、清运车、公共垃圾桶（箱）、保洁电瓶车、压缩垃圾运输车等环卫设施，具体由区社会发展建设局和乡镇根据实际情况核定，区社会发展建设局提供的机械设备由中标方维护保养运营，合同到期后必须完整交付给区社会发展建设局。</w:t>
      </w:r>
    </w:p>
    <w:p w14:paraId="57787AA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bidi="ar-SA"/>
        </w:rPr>
        <w:t>3.中标单位应按照常住人口加山下游客折算数量（以审计结果为准）不低于4‰的标准配足保洁员。建立常态化保洁和垃圾清运队伍。对原有符合条件的在岗员工予以优先录用，重新签订劳务合同。</w:t>
      </w:r>
    </w:p>
    <w:p w14:paraId="4F8B80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default"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bidi="ar"/>
        </w:rPr>
        <w:t>（二）工作流程</w:t>
      </w:r>
    </w:p>
    <w:p w14:paraId="246FEF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bidi="ar"/>
        </w:rPr>
        <w:t>1.服务范围。</w:t>
      </w:r>
    </w:p>
    <w:p w14:paraId="025332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rPr>
      </w:pPr>
      <w:r>
        <w:rPr>
          <w:rFonts w:hint="eastAsia" w:ascii="宋体" w:hAnsi="宋体" w:eastAsia="宋体" w:cs="宋体"/>
          <w:i w:val="0"/>
          <w:caps w:val="0"/>
          <w:snapToGrid w:val="0"/>
          <w:color w:val="000000"/>
          <w:spacing w:val="0"/>
          <w:kern w:val="0"/>
          <w:sz w:val="28"/>
          <w:szCs w:val="28"/>
          <w:lang w:val="en-US" w:eastAsia="zh-CN"/>
        </w:rPr>
        <w:t>1.乡镇主次干道、村民房前屋后公共区域、街道、背街小巷、全部河流、溪流、森林</w:t>
      </w:r>
      <w:r>
        <w:rPr>
          <w:rFonts w:hint="eastAsia" w:ascii="宋体" w:hAnsi="宋体" w:eastAsia="宋体" w:cs="宋体"/>
          <w:i w:val="0"/>
          <w:caps w:val="0"/>
          <w:snapToGrid/>
          <w:color w:val="000000"/>
          <w:spacing w:val="0"/>
          <w:kern w:val="0"/>
          <w:sz w:val="28"/>
          <w:szCs w:val="28"/>
          <w:lang w:val="en-US" w:eastAsia="zh-CN"/>
        </w:rPr>
        <w:t>、竹林、田间、地头、护栏、公交站台、农贸市场、公共场所、无物业小区、公厕等</w:t>
      </w:r>
      <w:r>
        <w:rPr>
          <w:rFonts w:hint="eastAsia" w:ascii="宋体" w:hAnsi="宋体" w:eastAsia="宋体" w:cs="宋体"/>
          <w:i w:val="0"/>
          <w:caps w:val="0"/>
          <w:snapToGrid w:val="0"/>
          <w:color w:val="000000"/>
          <w:spacing w:val="0"/>
          <w:kern w:val="0"/>
          <w:sz w:val="28"/>
          <w:szCs w:val="28"/>
          <w:lang w:val="en-US" w:eastAsia="zh-CN"/>
        </w:rPr>
        <w:t>属地范围要达到《萍乡市人民政府办公室关于印发萍乡市主城区环卫一体化考核办法的通知》（萍府办字﹝2022﹞75号）“六无”“四净”要求。“六无”即：无小广告、无堆积物、无积泥积水积尘、无砖头瓦块、无果皮纸屑、无杂草、无塑料袋；“四净”即：车行道净、人行道净、路沿石净、下水篦净。落叶季节加强道路清扫，路面无明显落叶‌。</w:t>
      </w:r>
    </w:p>
    <w:p w14:paraId="7B1A335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2.乡镇村组连接线、村村连接道可视范围整洁，无垃圾堆放。自然村内主次干道、背街小巷、房前屋后、公厕、沟边、水边、塘边等公共场所绿化带（含草坪）干净整洁，无果皮纸屑、无人畜粪便、无零散垃圾、无成堆杂物、无白色垃圾、无“牛皮癣”小广告。</w:t>
      </w:r>
    </w:p>
    <w:p w14:paraId="C4A6099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3.S311省道、芦万武公路水沟及水沟以外保洁干净，任何时候都不得有散落垃圾，垃圾全入桶并做到日产日清。</w:t>
      </w:r>
    </w:p>
    <w:p w14:paraId="61BBF7E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4.及时清理水域、河道、池塘漂浮杂物和岸边垃圾堆积物。全区范围内河流溪流、河塘沟边、水边无漂浮物、无垃圾。</w:t>
      </w:r>
    </w:p>
    <w:p w14:paraId="EFC1F6D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5.对全区所有保洁区域的建筑物立面以及各类设施上的乱张贴、乱涂画等“牛皮癣”及时清除。</w:t>
      </w:r>
    </w:p>
    <w:p w14:paraId="10EFEB6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6.公共厕所及上述未提及的其他范围持续保持清洁。</w:t>
      </w:r>
    </w:p>
    <w:p w14:paraId="80894BE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7.对全区垃圾分类运输，餐厨垃圾、中转站渗滤液、有害垃圾、生活垃圾不能混运，并按要求运输至指定位置进行处理，不造成环境污染。</w:t>
      </w:r>
    </w:p>
    <w:p w14:paraId="5F06379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val="0"/>
          <w:color w:val="000000"/>
          <w:spacing w:val="0"/>
          <w:kern w:val="0"/>
          <w:sz w:val="28"/>
          <w:szCs w:val="28"/>
          <w:lang w:val="en-US" w:eastAsia="zh-CN" w:bidi="ar-SA"/>
        </w:rPr>
      </w:pPr>
      <w:r>
        <w:rPr>
          <w:rFonts w:hint="eastAsia" w:ascii="宋体" w:hAnsi="宋体" w:eastAsia="宋体" w:cs="宋体"/>
          <w:i w:val="0"/>
          <w:caps w:val="0"/>
          <w:snapToGrid w:val="0"/>
          <w:color w:val="000000"/>
          <w:spacing w:val="0"/>
          <w:kern w:val="0"/>
          <w:sz w:val="28"/>
          <w:szCs w:val="28"/>
          <w:lang w:val="en-US" w:eastAsia="zh-CN" w:bidi="ar-SA"/>
        </w:rPr>
        <w:t>8.及时完成我区城市管理运行平台下派问题的整改，确保不拖延，不造成问题积压。</w:t>
      </w:r>
    </w:p>
    <w:p w14:paraId="161E84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bidi="ar"/>
        </w:rPr>
        <w:t>2.服务标准。</w:t>
      </w:r>
    </w:p>
    <w:p w14:paraId="D11799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default"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1）对工作范围内的所有环境卫生乱象（“六无四净”标准中涉及的生活垃圾、“牛皮癣”、“线乱拉”、乱堆放等）进行每天清扫、拾捡或清理清除，逢节假日、重大活动应增加作业时间，特别是集镇、农贸市场、集镇河流、主干道等重点区域应根据实际情况增加保洁频率，集镇每天首次普扫必须在早上7点前完成，并全天保洁。</w:t>
      </w:r>
    </w:p>
    <w:p w14:paraId="24BA2B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（2）所有生活垃圾采用“户分类—桶装车载收集—压缩转运—垃圾压缩中转站处理—中节能市焚烧发电厂处理”的模式进行统一处理。</w:t>
      </w:r>
    </w:p>
    <w:p w14:paraId="6AF41E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（3）垃圾需日产日清、及时收集转运，严禁乱倒和焚烧。所有垃圾桶（箱）严禁外溢，实行密闭运输，确保垃圾不满不冒不飘。</w:t>
      </w:r>
    </w:p>
    <w:p w14:paraId="7C99FE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（4）引导居民规范处置生活垃圾，严禁建筑垃圾与生活垃圾混装，配合建筑垃圾的规范处置，对分类垃圾要分类运输。</w:t>
      </w:r>
    </w:p>
    <w:p w14:paraId="FD5B6B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default"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（5）对垃圾收集点、公共垃圾桶、垃圾分类亭、垃圾车等所有公共环卫设施要及时清洗，持续保持洁净。</w:t>
      </w:r>
    </w:p>
    <w:p w14:paraId="43CD5D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（6）全区集镇主干道每周彻底清洗1次，洒水冲洗每日不少于2次，‘大石’‘万槽’、‘龙华’、‘牛华’、‘东长’、‘龙沈’等路洒水冲洗每天不少于1次，保持道路无泥浆污染。</w:t>
      </w:r>
    </w:p>
    <w:p w14:paraId="6305D0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rPr>
        <w:t>（7）必须无条件服从区、乡镇、村（居）对环卫工作的安排和临时调度。</w:t>
      </w:r>
    </w:p>
    <w:p w14:paraId="3373BC3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bidi="ar"/>
        </w:rPr>
      </w:pPr>
      <w:r>
        <w:rPr>
          <w:rFonts w:hint="eastAsia" w:ascii="宋体" w:hAnsi="宋体" w:eastAsia="宋体" w:cs="宋体"/>
          <w:i w:val="0"/>
          <w:caps w:val="0"/>
          <w:snapToGrid/>
          <w:color w:val="000000"/>
          <w:spacing w:val="0"/>
          <w:kern w:val="0"/>
          <w:sz w:val="28"/>
          <w:szCs w:val="28"/>
          <w:lang w:val="en-US" w:eastAsia="zh-CN" w:bidi="ar"/>
        </w:rPr>
        <w:t>3.服务时间。</w:t>
      </w:r>
    </w:p>
    <w:p w14:paraId="81FBE4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1）集镇清扫保洁：每天普扫两次，保持集镇街面干净，首次普扫必须在早上7:00前完成，并全天巡回保洁。</w:t>
      </w:r>
    </w:p>
    <w:p w14:paraId="F3D1747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u w:val="none"/>
          <w:lang w:val="en-US" w:eastAsia="zh-CN"/>
        </w:rPr>
      </w:pPr>
      <w:r>
        <w:rPr>
          <w:rFonts w:hint="eastAsia" w:ascii="宋体" w:hAnsi="宋体" w:eastAsia="宋体" w:cs="宋体"/>
          <w:i w:val="0"/>
          <w:caps w:val="0"/>
          <w:snapToGrid/>
          <w:color w:val="000000"/>
          <w:spacing w:val="0"/>
          <w:kern w:val="0"/>
          <w:sz w:val="28"/>
          <w:szCs w:val="28"/>
          <w:u w:val="none"/>
          <w:lang w:val="en-US" w:eastAsia="zh-CN"/>
        </w:rPr>
        <w:t>（2）道路清扫冲洗：S311省道、芦万武公路、大石公路以及集镇主次干道全天候保洁，每天两次冲洗，即早上5:00至7:00，下午14:00至16:00；剩余的县、乡、村道全天候保洁，每天两次大清扫，即早上6:00至8:00，下午14:00至16:00，县道（万槽公路、龙沈公路）和主要乡道（龙华公路、牛华公路、长东公路）每周冲洗1次。</w:t>
      </w:r>
    </w:p>
    <w:p w14:paraId="450572F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（3）绿化带保洁：8:00至17:30。</w:t>
      </w:r>
    </w:p>
    <w:p w14:paraId="E745DA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（4）公厕保洁：6:00至23:00。</w:t>
      </w:r>
    </w:p>
    <w:p w14:paraId="4BE1D4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（5）水域保洁：每日清理1次。</w:t>
      </w:r>
    </w:p>
    <w:p w14:paraId="8852C1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（6）垃圾桶（箱）、果皮箱保洁：S311省道、芦万武公路、大石公路和集镇每天清洗1次，其余区域每周清洗1次，持续保持清洁。</w:t>
      </w:r>
    </w:p>
    <w:p w14:paraId="EAD4E47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7.集中收集转运：所有垃圾桶（箱）严禁外溢，必须及时清运清理。</w:t>
      </w:r>
      <w:r>
        <w:rPr>
          <w:rFonts w:hint="eastAsia" w:ascii="宋体" w:hAnsi="宋体" w:eastAsia="宋体" w:cs="宋体"/>
          <w:i w:val="0"/>
          <w:caps w:val="0"/>
          <w:snapToGrid/>
          <w:color w:val="000000"/>
          <w:spacing w:val="0"/>
          <w:kern w:val="0"/>
          <w:sz w:val="28"/>
          <w:szCs w:val="28"/>
          <w:u w:val="none"/>
          <w:lang w:val="en-US" w:eastAsia="zh-CN"/>
        </w:rPr>
        <w:t>垃圾收集采用压缩桶装车载，提高收运效率，实行密闭运输，确保垃圾不满不冒不飘。</w:t>
      </w:r>
    </w:p>
    <w:p w14:paraId="B6DCDD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4.垃圾处理方式。</w:t>
      </w:r>
    </w:p>
    <w:p w14:paraId="26DA81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u w:val="none"/>
          <w:lang w:val="en-US" w:eastAsia="zh-CN"/>
        </w:rPr>
      </w:pPr>
      <w:r>
        <w:rPr>
          <w:rFonts w:hint="eastAsia" w:ascii="宋体" w:hAnsi="宋体" w:eastAsia="宋体" w:cs="宋体"/>
          <w:i w:val="0"/>
          <w:caps w:val="0"/>
          <w:snapToGrid/>
          <w:color w:val="000000"/>
          <w:spacing w:val="0"/>
          <w:kern w:val="0"/>
          <w:sz w:val="28"/>
          <w:szCs w:val="28"/>
          <w:u w:val="none"/>
          <w:lang w:val="en-US" w:eastAsia="zh-CN"/>
        </w:rPr>
        <w:t>（1）采用“户分类—桶换桶保洁—桶装车载收集—压缩转运—垃圾压缩中转站处理—中节能市焚烧发电厂处理”的模式进行统一处理。</w:t>
      </w:r>
    </w:p>
    <w:p w14:paraId="98DFA2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（2）村庄垃圾收集点取代垃圾池，电瓶保洁车取代手推保洁车，压缩挂桶车取代农机运输车。</w:t>
      </w:r>
    </w:p>
    <w:p w14:paraId="7E406E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outlineLvl w:val="9"/>
        <w:rPr>
          <w:rFonts w:hint="eastAsia" w:ascii="宋体" w:hAnsi="宋体" w:eastAsia="宋体" w:cs="宋体"/>
          <w:b/>
          <w:bCs/>
          <w:i w:val="0"/>
          <w:caps w:val="0"/>
          <w:snapToGrid/>
          <w:color w:val="000000"/>
          <w:spacing w:val="0"/>
          <w:kern w:val="0"/>
          <w:sz w:val="28"/>
          <w:szCs w:val="28"/>
          <w:lang w:val="en-US" w:eastAsia="zh-CN" w:bidi="ar"/>
        </w:rPr>
      </w:pPr>
      <w:r>
        <w:rPr>
          <w:rFonts w:hint="eastAsia" w:ascii="宋体" w:hAnsi="宋体" w:eastAsia="宋体" w:cs="宋体"/>
          <w:b/>
          <w:bCs/>
          <w:i w:val="0"/>
          <w:caps w:val="0"/>
          <w:snapToGrid/>
          <w:color w:val="000000"/>
          <w:spacing w:val="0"/>
          <w:kern w:val="0"/>
          <w:sz w:val="28"/>
          <w:szCs w:val="28"/>
          <w:lang w:val="en-US" w:eastAsia="zh-CN" w:bidi="ar"/>
        </w:rPr>
        <w:t>六、保障措施</w:t>
      </w:r>
    </w:p>
    <w:p w14:paraId="49A5B98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宋体" w:hAnsi="宋体" w:eastAsia="宋体" w:cs="宋体"/>
          <w:i w:val="0"/>
          <w:caps w:val="0"/>
          <w:snapToGrid/>
          <w:color w:val="000000"/>
          <w:spacing w:val="0"/>
          <w:kern w:val="0"/>
          <w:sz w:val="28"/>
          <w:szCs w:val="28"/>
          <w:lang w:val="en-US" w:eastAsia="zh-CN"/>
        </w:rPr>
      </w:pPr>
      <w:r>
        <w:rPr>
          <w:rFonts w:hint="eastAsia" w:ascii="宋体" w:hAnsi="宋体" w:eastAsia="宋体" w:cs="宋体"/>
          <w:i w:val="0"/>
          <w:caps w:val="0"/>
          <w:snapToGrid/>
          <w:color w:val="000000"/>
          <w:spacing w:val="0"/>
          <w:kern w:val="0"/>
          <w:sz w:val="28"/>
          <w:szCs w:val="28"/>
          <w:lang w:val="en-US" w:eastAsia="zh-CN"/>
        </w:rPr>
        <w:t>（一）服务质量保障</w:t>
      </w:r>
    </w:p>
    <w:p w14:paraId="24806A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560" w:firstLineChars="200"/>
        <w:jc w:val="both"/>
        <w:textAlignment w:val="auto"/>
        <w:outlineLvl w:val="9"/>
        <w:rPr>
          <w:rFonts w:hint="eastAsia" w:ascii="宋体" w:hAnsi="宋体" w:eastAsia="宋体" w:cs="宋体"/>
          <w:i w:val="0"/>
          <w:caps w:val="0"/>
          <w:snapToGrid/>
          <w:color w:val="000000"/>
          <w:spacing w:val="0"/>
          <w:kern w:val="0"/>
          <w:sz w:val="28"/>
          <w:szCs w:val="28"/>
          <w:lang w:val="en-US" w:eastAsia="zh-CN"/>
        </w:rPr>
        <w:sectPr>
          <w:footerReference r:id="rId3" w:type="default"/>
          <w:pgSz w:w="11906" w:h="16839"/>
          <w:pgMar w:top="1234" w:right="1310" w:bottom="1156" w:left="1307" w:header="0" w:footer="994" w:gutter="0"/>
          <w:pgNumType w:fmt="decimal"/>
          <w:cols w:space="720" w:num="1"/>
        </w:sectPr>
      </w:pPr>
      <w:r>
        <w:rPr>
          <w:rFonts w:hint="eastAsia" w:ascii="宋体" w:hAnsi="宋体" w:eastAsia="宋体" w:cs="宋体"/>
          <w:i w:val="0"/>
          <w:caps w:val="0"/>
          <w:snapToGrid/>
          <w:color w:val="000000"/>
          <w:spacing w:val="0"/>
          <w:kern w:val="0"/>
          <w:sz w:val="28"/>
          <w:szCs w:val="28"/>
          <w:u w:val="none"/>
          <w:lang w:val="en-US" w:eastAsia="zh-CN"/>
        </w:rPr>
        <w:t>1.修订《</w:t>
      </w:r>
      <w:r>
        <w:rPr>
          <w:rFonts w:hint="eastAsia" w:ascii="宋体" w:hAnsi="宋体" w:eastAsia="宋体" w:cs="宋体"/>
          <w:i w:val="0"/>
          <w:caps w:val="0"/>
          <w:snapToGrid/>
          <w:color w:val="000000"/>
          <w:spacing w:val="0"/>
          <w:kern w:val="2"/>
          <w:sz w:val="28"/>
          <w:szCs w:val="28"/>
          <w:lang w:val="en-US" w:eastAsia="zh-CN"/>
        </w:rPr>
        <w:t>萍乡武功山风景名胜区农村生活垃圾治理市场化服务管理工作考评办法（试行)</w:t>
      </w:r>
      <w:r>
        <w:rPr>
          <w:rFonts w:hint="eastAsia" w:ascii="宋体" w:hAnsi="宋体" w:eastAsia="宋体" w:cs="宋体"/>
          <w:i w:val="0"/>
          <w:caps w:val="0"/>
          <w:snapToGrid/>
          <w:color w:val="000000"/>
          <w:spacing w:val="0"/>
          <w:kern w:val="0"/>
          <w:sz w:val="28"/>
          <w:szCs w:val="28"/>
          <w:u w:val="none"/>
          <w:lang w:val="en-US" w:eastAsia="zh-CN"/>
        </w:rPr>
        <w:t>》（详见附件），</w:t>
      </w:r>
      <w:r>
        <w:rPr>
          <w:rFonts w:hint="eastAsia" w:ascii="宋体" w:hAnsi="宋体" w:eastAsia="宋体" w:cs="宋体"/>
          <w:i w:val="0"/>
          <w:caps w:val="0"/>
          <w:snapToGrid/>
          <w:color w:val="000000"/>
          <w:spacing w:val="0"/>
          <w:kern w:val="0"/>
          <w:sz w:val="28"/>
          <w:szCs w:val="28"/>
          <w:lang w:val="en-US" w:eastAsia="zh-CN"/>
        </w:rPr>
        <w:t>对运营企业的服务情况建立区、乡镇、村（居）三级监督考核机制。一是将区领导督查结果纳入考核；二是区社会发展建设局和乡镇、村每月1次联合明检的形式进行考核；三是区、乡镇不定期进行日常暗访检查纳入考核</w:t>
      </w:r>
    </w:p>
    <w:p w14:paraId="8CFEDF35">
      <w:pPr>
        <w:keepNext w:val="0"/>
        <w:keepLines w:val="0"/>
        <w:pageBreakBefore w:val="0"/>
        <w:widowControl w:val="0"/>
        <w:kinsoku/>
        <w:wordWrap/>
        <w:overflowPunct/>
        <w:topLinePunct w:val="0"/>
        <w:autoSpaceDE/>
        <w:autoSpaceDN/>
        <w:bidi w:val="0"/>
        <w:adjustRightInd/>
        <w:snapToGrid/>
        <w:spacing w:line="540" w:lineRule="exact"/>
        <w:jc w:val="both"/>
        <w:textAlignment w:val="auto"/>
        <w:rPr>
          <w:rFonts w:hint="default" w:ascii="黑体" w:hAnsi="黑体" w:eastAsia="黑体" w:cs="黑体"/>
          <w:snapToGrid w:val="0"/>
          <w:color w:val="000000"/>
          <w:kern w:val="0"/>
          <w:szCs w:val="21"/>
          <w:lang w:val="en-US" w:eastAsia="zh-CN"/>
        </w:rPr>
      </w:pPr>
      <w:r>
        <w:rPr>
          <w:rFonts w:hint="eastAsia" w:ascii="黑体" w:hAnsi="黑体" w:eastAsia="黑体" w:cs="黑体"/>
          <w:b w:val="0"/>
          <w:bCs w:val="0"/>
          <w:i w:val="0"/>
          <w:caps w:val="0"/>
          <w:snapToGrid w:val="0"/>
          <w:color w:val="000000"/>
          <w:spacing w:val="0"/>
          <w:kern w:val="0"/>
          <w:sz w:val="32"/>
          <w:szCs w:val="32"/>
          <w:lang w:val="en-US" w:eastAsia="zh-CN"/>
        </w:rPr>
        <w:t>附件5</w:t>
      </w:r>
    </w:p>
    <w:p w14:paraId="A7884625">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b w:val="0"/>
          <w:bCs w:val="0"/>
          <w:snapToGrid w:val="0"/>
          <w:color w:val="000000"/>
          <w:kern w:val="0"/>
          <w:sz w:val="44"/>
          <w:szCs w:val="44"/>
          <w:lang w:eastAsia="zh-CN"/>
        </w:rPr>
      </w:pPr>
      <w:r>
        <w:rPr>
          <w:rFonts w:hint="eastAsia" w:ascii="方正小标宋简体" w:hAnsi="方正小标宋简体" w:eastAsia="方正小标宋简体" w:cs="方正小标宋简体"/>
          <w:b w:val="0"/>
          <w:bCs w:val="0"/>
          <w:i w:val="0"/>
          <w:caps w:val="0"/>
          <w:snapToGrid w:val="0"/>
          <w:color w:val="000000"/>
          <w:spacing w:val="0"/>
          <w:kern w:val="0"/>
          <w:sz w:val="44"/>
          <w:szCs w:val="44"/>
          <w:lang w:val="en-US" w:eastAsia="zh-CN"/>
        </w:rPr>
        <w:t>萍乡武功山风景名胜区农村生活垃圾治理市场化</w:t>
      </w:r>
      <w:r>
        <w:rPr>
          <w:rFonts w:hint="eastAsia" w:ascii="方正小标宋简体" w:hAnsi="方正小标宋简体" w:eastAsia="方正小标宋简体" w:cs="方正小标宋简体"/>
          <w:b w:val="0"/>
          <w:bCs w:val="0"/>
          <w:snapToGrid w:val="0"/>
          <w:color w:val="000000"/>
          <w:kern w:val="0"/>
          <w:sz w:val="44"/>
          <w:szCs w:val="44"/>
          <w:lang w:eastAsia="en-US"/>
        </w:rPr>
        <w:t>服务管理工作</w:t>
      </w:r>
      <w:r>
        <w:rPr>
          <w:rFonts w:hint="eastAsia" w:ascii="方正小标宋简体" w:hAnsi="方正小标宋简体" w:eastAsia="方正小标宋简体" w:cs="方正小标宋简体"/>
          <w:b w:val="0"/>
          <w:bCs w:val="0"/>
          <w:snapToGrid w:val="0"/>
          <w:color w:val="000000"/>
          <w:kern w:val="0"/>
          <w:sz w:val="44"/>
          <w:szCs w:val="44"/>
          <w:lang w:val="en-US" w:eastAsia="zh-CN"/>
        </w:rPr>
        <w:t>考核</w:t>
      </w:r>
      <w:r>
        <w:rPr>
          <w:rFonts w:hint="eastAsia" w:ascii="方正小标宋简体" w:hAnsi="方正小标宋简体" w:eastAsia="方正小标宋简体" w:cs="方正小标宋简体"/>
          <w:b w:val="0"/>
          <w:bCs w:val="0"/>
          <w:snapToGrid w:val="0"/>
          <w:color w:val="000000"/>
          <w:kern w:val="0"/>
          <w:sz w:val="44"/>
          <w:szCs w:val="44"/>
          <w:lang w:eastAsia="en-US"/>
        </w:rPr>
        <w:t>办法</w:t>
      </w:r>
      <w:r>
        <w:rPr>
          <w:rFonts w:hint="eastAsia" w:ascii="方正小标宋简体" w:hAnsi="方正小标宋简体" w:eastAsia="方正小标宋简体" w:cs="方正小标宋简体"/>
          <w:b w:val="0"/>
          <w:bCs w:val="0"/>
          <w:snapToGrid w:val="0"/>
          <w:color w:val="000000"/>
          <w:kern w:val="0"/>
          <w:sz w:val="44"/>
          <w:szCs w:val="44"/>
          <w:lang w:eastAsia="zh-CN"/>
        </w:rPr>
        <w:t>（</w:t>
      </w:r>
      <w:r>
        <w:rPr>
          <w:rFonts w:hint="eastAsia" w:ascii="方正小标宋简体" w:hAnsi="方正小标宋简体" w:eastAsia="方正小标宋简体" w:cs="方正小标宋简体"/>
          <w:b w:val="0"/>
          <w:bCs w:val="0"/>
          <w:snapToGrid w:val="0"/>
          <w:color w:val="000000"/>
          <w:kern w:val="0"/>
          <w:sz w:val="44"/>
          <w:szCs w:val="44"/>
          <w:lang w:val="en-US" w:eastAsia="zh-CN"/>
        </w:rPr>
        <w:t>修订)</w:t>
      </w:r>
    </w:p>
    <w:p w14:paraId="67E03672">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 w:hAnsi="仿宋" w:eastAsia="仿宋" w:cs="仿宋"/>
          <w:snapToGrid w:val="0"/>
          <w:color w:val="000000"/>
          <w:kern w:val="0"/>
          <w:sz w:val="32"/>
          <w:szCs w:val="32"/>
          <w:lang w:eastAsia="en-US"/>
        </w:rPr>
      </w:pPr>
    </w:p>
    <w:p w14:paraId="99AE707D">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为切实改善</w:t>
      </w:r>
      <w:r>
        <w:rPr>
          <w:rFonts w:hint="eastAsia" w:ascii="仿宋_GB2312" w:hAnsi="仿宋_GB2312" w:eastAsia="仿宋_GB2312" w:cs="仿宋_GB2312"/>
          <w:snapToGrid w:val="0"/>
          <w:color w:val="000000"/>
          <w:kern w:val="0"/>
          <w:sz w:val="32"/>
          <w:szCs w:val="32"/>
          <w:lang w:eastAsia="zh-CN"/>
        </w:rPr>
        <w:t>全区</w:t>
      </w:r>
      <w:r>
        <w:rPr>
          <w:rFonts w:hint="eastAsia" w:ascii="仿宋_GB2312" w:hAnsi="仿宋_GB2312" w:eastAsia="仿宋_GB2312" w:cs="仿宋_GB2312"/>
          <w:snapToGrid w:val="0"/>
          <w:color w:val="000000"/>
          <w:kern w:val="0"/>
          <w:sz w:val="32"/>
          <w:szCs w:val="32"/>
          <w:lang w:eastAsia="en-US"/>
        </w:rPr>
        <w:t>卫生环境，推进城乡</w:t>
      </w:r>
      <w:r>
        <w:rPr>
          <w:rFonts w:hint="eastAsia" w:ascii="仿宋_GB2312" w:hAnsi="仿宋_GB2312" w:eastAsia="仿宋_GB2312" w:cs="仿宋_GB2312"/>
          <w:snapToGrid w:val="0"/>
          <w:color w:val="000000"/>
          <w:kern w:val="0"/>
          <w:sz w:val="32"/>
          <w:szCs w:val="32"/>
          <w:lang w:eastAsia="zh-CN"/>
        </w:rPr>
        <w:t>环卫</w:t>
      </w:r>
      <w:r>
        <w:rPr>
          <w:rFonts w:hint="eastAsia" w:ascii="仿宋_GB2312" w:hAnsi="仿宋_GB2312" w:eastAsia="仿宋_GB2312" w:cs="仿宋_GB2312"/>
          <w:snapToGrid w:val="0"/>
          <w:color w:val="000000"/>
          <w:kern w:val="0"/>
          <w:sz w:val="32"/>
          <w:szCs w:val="32"/>
          <w:lang w:eastAsia="en-US"/>
        </w:rPr>
        <w:t>一体化建设，</w:t>
      </w:r>
      <w:r>
        <w:rPr>
          <w:rFonts w:hint="eastAsia" w:ascii="仿宋_GB2312" w:hAnsi="仿宋_GB2312" w:eastAsia="仿宋_GB2312" w:cs="仿宋_GB2312"/>
          <w:snapToGrid w:val="0"/>
          <w:color w:val="000000"/>
          <w:kern w:val="0"/>
          <w:sz w:val="32"/>
          <w:szCs w:val="32"/>
          <w:lang w:val="en-US" w:eastAsia="zh-CN"/>
        </w:rPr>
        <w:t>提高</w:t>
      </w:r>
      <w:r>
        <w:rPr>
          <w:rFonts w:hint="eastAsia" w:ascii="仿宋_GB2312" w:hAnsi="仿宋_GB2312" w:eastAsia="仿宋_GB2312" w:cs="仿宋_GB2312"/>
          <w:snapToGrid w:val="0"/>
          <w:color w:val="000000"/>
          <w:kern w:val="0"/>
          <w:sz w:val="32"/>
          <w:szCs w:val="32"/>
          <w:lang w:eastAsia="en-US"/>
        </w:rPr>
        <w:t>城乡环境卫生管理工作市场化、制度化、规范化</w:t>
      </w:r>
      <w:r>
        <w:rPr>
          <w:rFonts w:hint="eastAsia" w:ascii="仿宋_GB2312" w:hAnsi="仿宋_GB2312" w:eastAsia="仿宋_GB2312" w:cs="仿宋_GB2312"/>
          <w:snapToGrid w:val="0"/>
          <w:color w:val="000000"/>
          <w:kern w:val="0"/>
          <w:sz w:val="32"/>
          <w:szCs w:val="32"/>
          <w:lang w:val="en-US" w:eastAsia="zh-CN"/>
        </w:rPr>
        <w:t>程度</w:t>
      </w:r>
      <w:r>
        <w:rPr>
          <w:rFonts w:hint="eastAsia" w:ascii="仿宋_GB2312" w:hAnsi="仿宋_GB2312" w:eastAsia="仿宋_GB2312" w:cs="仿宋_GB2312"/>
          <w:snapToGrid w:val="0"/>
          <w:color w:val="000000"/>
          <w:kern w:val="0"/>
          <w:sz w:val="32"/>
          <w:szCs w:val="32"/>
          <w:lang w:eastAsia="en-US"/>
        </w:rPr>
        <w:t>，本着“村民主体、市场化公司运作、政府考评”的原则，特制定本</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办法。</w:t>
      </w:r>
    </w:p>
    <w:p w14:paraId="79FAFA69">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en-US"/>
        </w:rPr>
      </w:pPr>
      <w:r>
        <w:rPr>
          <w:rFonts w:hint="eastAsia" w:ascii="黑体" w:hAnsi="黑体" w:eastAsia="黑体" w:cs="黑体"/>
          <w:b w:val="0"/>
          <w:bCs w:val="0"/>
          <w:snapToGrid w:val="0"/>
          <w:color w:val="000000"/>
          <w:kern w:val="0"/>
          <w:sz w:val="32"/>
          <w:szCs w:val="32"/>
          <w:lang w:eastAsia="en-US"/>
        </w:rPr>
        <w:t>一、</w:t>
      </w:r>
      <w:r>
        <w:rPr>
          <w:rFonts w:hint="eastAsia" w:ascii="黑体" w:hAnsi="黑体" w:eastAsia="黑体" w:cs="黑体"/>
          <w:b w:val="0"/>
          <w:bCs w:val="0"/>
          <w:snapToGrid w:val="0"/>
          <w:color w:val="000000"/>
          <w:kern w:val="0"/>
          <w:sz w:val="32"/>
          <w:szCs w:val="32"/>
          <w:lang w:eastAsia="zh-CN"/>
        </w:rPr>
        <w:t>考</w:t>
      </w:r>
      <w:r>
        <w:rPr>
          <w:rFonts w:hint="eastAsia" w:ascii="黑体" w:hAnsi="黑体" w:eastAsia="黑体" w:cs="黑体"/>
          <w:b w:val="0"/>
          <w:bCs w:val="0"/>
          <w:snapToGrid w:val="0"/>
          <w:color w:val="000000"/>
          <w:kern w:val="0"/>
          <w:sz w:val="32"/>
          <w:szCs w:val="32"/>
          <w:lang w:val="en-US" w:eastAsia="zh-CN"/>
        </w:rPr>
        <w:t>核</w:t>
      </w:r>
      <w:r>
        <w:rPr>
          <w:rFonts w:hint="eastAsia" w:ascii="黑体" w:hAnsi="黑体" w:eastAsia="黑体" w:cs="黑体"/>
          <w:b w:val="0"/>
          <w:bCs w:val="0"/>
          <w:snapToGrid w:val="0"/>
          <w:color w:val="000000"/>
          <w:kern w:val="0"/>
          <w:sz w:val="32"/>
          <w:szCs w:val="32"/>
          <w:lang w:eastAsia="en-US"/>
        </w:rPr>
        <w:t>原则</w:t>
      </w:r>
    </w:p>
    <w:p w14:paraId="815ADB5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坚持公开、公平、公正原则，</w:t>
      </w:r>
      <w:r>
        <w:rPr>
          <w:rFonts w:hint="eastAsia" w:ascii="仿宋_GB2312" w:hAnsi="仿宋_GB2312" w:eastAsia="仿宋_GB2312" w:cs="仿宋_GB2312"/>
          <w:snapToGrid w:val="0"/>
          <w:color w:val="000000"/>
          <w:kern w:val="0"/>
          <w:sz w:val="32"/>
          <w:szCs w:val="32"/>
          <w:lang w:val="en-US" w:eastAsia="zh-CN"/>
        </w:rPr>
        <w:t>依</w:t>
      </w:r>
      <w:r>
        <w:rPr>
          <w:rFonts w:hint="eastAsia" w:ascii="仿宋_GB2312" w:hAnsi="仿宋_GB2312" w:eastAsia="仿宋_GB2312" w:cs="仿宋_GB2312"/>
          <w:snapToGrid w:val="0"/>
          <w:color w:val="000000"/>
          <w:kern w:val="0"/>
          <w:sz w:val="32"/>
          <w:szCs w:val="32"/>
          <w:lang w:eastAsia="en-US"/>
        </w:rPr>
        <w:t>据</w:t>
      </w:r>
      <w:r>
        <w:rPr>
          <w:rFonts w:hint="eastAsia" w:ascii="仿宋_GB2312" w:hAnsi="仿宋_GB2312" w:eastAsia="仿宋_GB2312" w:cs="仿宋_GB2312"/>
          <w:snapToGrid w:val="0"/>
          <w:color w:val="000000"/>
          <w:kern w:val="0"/>
          <w:sz w:val="32"/>
          <w:szCs w:val="32"/>
          <w:lang w:val="en-US" w:eastAsia="zh-CN"/>
        </w:rPr>
        <w:t>本办法《考核评分细则表（修订）》（详见附件）</w:t>
      </w:r>
      <w:r>
        <w:rPr>
          <w:rFonts w:hint="eastAsia" w:ascii="仿宋_GB2312" w:hAnsi="仿宋_GB2312" w:eastAsia="仿宋_GB2312" w:cs="仿宋_GB2312"/>
          <w:snapToGrid w:val="0"/>
          <w:color w:val="000000"/>
          <w:kern w:val="0"/>
          <w:sz w:val="32"/>
          <w:szCs w:val="32"/>
          <w:lang w:eastAsia="en-US"/>
        </w:rPr>
        <w:t>，围绕</w:t>
      </w:r>
      <w:r>
        <w:rPr>
          <w:rFonts w:hint="eastAsia" w:ascii="仿宋_GB2312" w:hAnsi="仿宋_GB2312" w:eastAsia="仿宋_GB2312" w:cs="仿宋_GB2312"/>
          <w:snapToGrid w:val="0"/>
          <w:color w:val="000000"/>
          <w:kern w:val="0"/>
          <w:sz w:val="32"/>
          <w:szCs w:val="32"/>
          <w:lang w:eastAsia="zh-CN"/>
        </w:rPr>
        <w:t>全区</w:t>
      </w:r>
      <w:r>
        <w:rPr>
          <w:rFonts w:hint="eastAsia" w:ascii="仿宋_GB2312" w:hAnsi="仿宋_GB2312" w:eastAsia="仿宋_GB2312" w:cs="仿宋_GB2312"/>
          <w:snapToGrid w:val="0"/>
          <w:color w:val="000000"/>
          <w:kern w:val="0"/>
          <w:sz w:val="32"/>
          <w:szCs w:val="32"/>
          <w:lang w:eastAsia="en-US"/>
        </w:rPr>
        <w:t>城乡环卫</w:t>
      </w:r>
      <w:r>
        <w:rPr>
          <w:rFonts w:hint="eastAsia" w:ascii="仿宋_GB2312" w:hAnsi="仿宋_GB2312" w:eastAsia="仿宋_GB2312" w:cs="仿宋_GB2312"/>
          <w:snapToGrid w:val="0"/>
          <w:color w:val="000000"/>
          <w:kern w:val="0"/>
          <w:sz w:val="32"/>
          <w:szCs w:val="32"/>
          <w:lang w:eastAsia="zh-CN"/>
        </w:rPr>
        <w:t>一体化</w:t>
      </w:r>
      <w:r>
        <w:rPr>
          <w:rFonts w:hint="eastAsia" w:ascii="仿宋_GB2312" w:hAnsi="仿宋_GB2312" w:eastAsia="仿宋_GB2312" w:cs="仿宋_GB2312"/>
          <w:snapToGrid w:val="0"/>
          <w:color w:val="000000"/>
          <w:kern w:val="0"/>
          <w:sz w:val="32"/>
          <w:szCs w:val="32"/>
          <w:lang w:eastAsia="en-US"/>
        </w:rPr>
        <w:t>市场化工作内容，建立市场化运作模式，统一</w:t>
      </w:r>
      <w:r>
        <w:rPr>
          <w:rFonts w:hint="eastAsia" w:ascii="仿宋_GB2312" w:hAnsi="仿宋_GB2312" w:eastAsia="仿宋_GB2312" w:cs="仿宋_GB2312"/>
          <w:snapToGrid w:val="0"/>
          <w:color w:val="000000"/>
          <w:kern w:val="0"/>
          <w:sz w:val="32"/>
          <w:szCs w:val="32"/>
          <w:lang w:val="en-US" w:eastAsia="zh-CN"/>
        </w:rPr>
        <w:t>考核管理</w:t>
      </w:r>
      <w:r>
        <w:rPr>
          <w:rFonts w:hint="eastAsia" w:ascii="仿宋_GB2312" w:hAnsi="仿宋_GB2312" w:eastAsia="仿宋_GB2312" w:cs="仿宋_GB2312"/>
          <w:snapToGrid w:val="0"/>
          <w:color w:val="000000"/>
          <w:kern w:val="0"/>
          <w:sz w:val="32"/>
          <w:szCs w:val="32"/>
          <w:lang w:eastAsia="en-US"/>
        </w:rPr>
        <w:t>。</w:t>
      </w:r>
    </w:p>
    <w:p w14:paraId="2EEB4B5D">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en-US"/>
        </w:rPr>
      </w:pPr>
      <w:r>
        <w:rPr>
          <w:rFonts w:hint="eastAsia" w:ascii="黑体" w:hAnsi="黑体" w:eastAsia="黑体" w:cs="黑体"/>
          <w:b w:val="0"/>
          <w:bCs w:val="0"/>
          <w:snapToGrid w:val="0"/>
          <w:color w:val="000000"/>
          <w:kern w:val="0"/>
          <w:sz w:val="32"/>
          <w:szCs w:val="32"/>
          <w:lang w:eastAsia="en-US"/>
        </w:rPr>
        <w:t>二、</w:t>
      </w:r>
      <w:r>
        <w:rPr>
          <w:rFonts w:hint="eastAsia" w:ascii="黑体" w:hAnsi="黑体" w:eastAsia="黑体" w:cs="黑体"/>
          <w:b w:val="0"/>
          <w:bCs w:val="0"/>
          <w:snapToGrid w:val="0"/>
          <w:color w:val="000000"/>
          <w:kern w:val="0"/>
          <w:sz w:val="32"/>
          <w:szCs w:val="32"/>
          <w:lang w:eastAsia="zh-CN"/>
        </w:rPr>
        <w:t>考</w:t>
      </w:r>
      <w:r>
        <w:rPr>
          <w:rFonts w:hint="eastAsia" w:ascii="黑体" w:hAnsi="黑体" w:eastAsia="黑体" w:cs="黑体"/>
          <w:b w:val="0"/>
          <w:bCs w:val="0"/>
          <w:snapToGrid w:val="0"/>
          <w:color w:val="000000"/>
          <w:kern w:val="0"/>
          <w:sz w:val="32"/>
          <w:szCs w:val="32"/>
          <w:lang w:val="en-US" w:eastAsia="zh-CN"/>
        </w:rPr>
        <w:t>核</w:t>
      </w:r>
      <w:r>
        <w:rPr>
          <w:rFonts w:hint="eastAsia" w:ascii="黑体" w:hAnsi="黑体" w:eastAsia="黑体" w:cs="黑体"/>
          <w:b w:val="0"/>
          <w:bCs w:val="0"/>
          <w:snapToGrid w:val="0"/>
          <w:color w:val="000000"/>
          <w:kern w:val="0"/>
          <w:sz w:val="32"/>
          <w:szCs w:val="32"/>
          <w:lang w:eastAsia="en-US"/>
        </w:rPr>
        <w:t>对象</w:t>
      </w:r>
    </w:p>
    <w:p w14:paraId="AEEFCA32">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萍乡武功山风景名胜区</w:t>
      </w:r>
      <w:r>
        <w:rPr>
          <w:rFonts w:hint="eastAsia" w:ascii="仿宋_GB2312" w:hAnsi="仿宋_GB2312" w:eastAsia="仿宋_GB2312" w:cs="仿宋_GB2312"/>
          <w:snapToGrid w:val="0"/>
          <w:color w:val="000000"/>
          <w:kern w:val="0"/>
          <w:sz w:val="32"/>
          <w:szCs w:val="32"/>
          <w:lang w:eastAsia="en-US"/>
        </w:rPr>
        <w:t>农村生活垃圾治理市场化服务</w:t>
      </w:r>
      <w:r>
        <w:rPr>
          <w:rFonts w:hint="eastAsia" w:ascii="仿宋_GB2312" w:hAnsi="仿宋_GB2312" w:eastAsia="仿宋_GB2312" w:cs="仿宋_GB2312"/>
          <w:snapToGrid w:val="0"/>
          <w:color w:val="000000"/>
          <w:kern w:val="0"/>
          <w:sz w:val="32"/>
          <w:szCs w:val="32"/>
          <w:lang w:val="en-US" w:eastAsia="zh-CN"/>
        </w:rPr>
        <w:t>中标单位</w:t>
      </w:r>
      <w:r>
        <w:rPr>
          <w:rFonts w:hint="eastAsia" w:ascii="仿宋_GB2312" w:hAnsi="仿宋_GB2312" w:eastAsia="仿宋_GB2312" w:cs="仿宋_GB2312"/>
          <w:snapToGrid w:val="0"/>
          <w:color w:val="000000"/>
          <w:kern w:val="0"/>
          <w:sz w:val="32"/>
          <w:szCs w:val="32"/>
          <w:lang w:eastAsia="en-US"/>
        </w:rPr>
        <w:t>。</w:t>
      </w:r>
    </w:p>
    <w:p w14:paraId="F75EF501">
      <w:pPr>
        <w:keepNext w:val="0"/>
        <w:keepLines w:val="0"/>
        <w:pageBreakBefore w:val="0"/>
        <w:widowControl w:val="0"/>
        <w:tabs>
          <w:tab w:val="right" w:pos="8306"/>
        </w:tabs>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黑体" w:hAnsi="黑体" w:eastAsia="黑体" w:cs="黑体"/>
          <w:b w:val="0"/>
          <w:bCs w:val="0"/>
          <w:snapToGrid w:val="0"/>
          <w:color w:val="000000"/>
          <w:kern w:val="0"/>
          <w:sz w:val="32"/>
          <w:szCs w:val="32"/>
          <w:lang w:eastAsia="zh-CN"/>
        </w:rPr>
        <w:t>三、考</w:t>
      </w:r>
      <w:r>
        <w:rPr>
          <w:rFonts w:hint="eastAsia" w:ascii="黑体" w:hAnsi="黑体" w:eastAsia="黑体" w:cs="黑体"/>
          <w:b w:val="0"/>
          <w:bCs w:val="0"/>
          <w:snapToGrid w:val="0"/>
          <w:color w:val="000000"/>
          <w:kern w:val="0"/>
          <w:sz w:val="32"/>
          <w:szCs w:val="32"/>
          <w:lang w:val="en-US" w:eastAsia="zh-CN"/>
        </w:rPr>
        <w:t>核</w:t>
      </w:r>
      <w:r>
        <w:rPr>
          <w:rFonts w:hint="eastAsia" w:ascii="黑体" w:hAnsi="黑体" w:eastAsia="黑体" w:cs="黑体"/>
          <w:b w:val="0"/>
          <w:bCs w:val="0"/>
          <w:snapToGrid w:val="0"/>
          <w:color w:val="000000"/>
          <w:kern w:val="0"/>
          <w:sz w:val="32"/>
          <w:szCs w:val="32"/>
          <w:lang w:eastAsia="zh-CN"/>
        </w:rPr>
        <w:t>组织及职责</w:t>
      </w:r>
      <w:r>
        <w:rPr>
          <w:rFonts w:hint="eastAsia" w:ascii="仿宋_GB2312" w:hAnsi="仿宋_GB2312" w:eastAsia="仿宋_GB2312" w:cs="仿宋_GB2312"/>
          <w:snapToGrid w:val="0"/>
          <w:color w:val="000000"/>
          <w:kern w:val="0"/>
          <w:sz w:val="32"/>
          <w:szCs w:val="32"/>
          <w:lang w:eastAsia="en-US"/>
        </w:rPr>
        <w:tab/>
      </w:r>
    </w:p>
    <w:p w14:paraId="A8530514">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楷体" w:hAnsi="楷体" w:eastAsia="楷体" w:cs="楷体"/>
          <w:b w:val="0"/>
          <w:bCs w:val="0"/>
          <w:snapToGrid w:val="0"/>
          <w:color w:val="000000"/>
          <w:kern w:val="0"/>
          <w:sz w:val="32"/>
          <w:szCs w:val="32"/>
          <w:lang w:eastAsia="en-US"/>
        </w:rPr>
      </w:pPr>
      <w:r>
        <w:rPr>
          <w:rFonts w:hint="eastAsia" w:ascii="楷体" w:hAnsi="楷体" w:eastAsia="楷体" w:cs="楷体"/>
          <w:b w:val="0"/>
          <w:bCs w:val="0"/>
          <w:snapToGrid w:val="0"/>
          <w:color w:val="000000"/>
          <w:kern w:val="0"/>
          <w:sz w:val="32"/>
          <w:szCs w:val="32"/>
          <w:lang w:eastAsia="en-US"/>
        </w:rPr>
        <w:t>（一）</w:t>
      </w:r>
      <w:r>
        <w:rPr>
          <w:rFonts w:hint="eastAsia" w:ascii="楷体" w:hAnsi="楷体" w:eastAsia="楷体" w:cs="楷体"/>
          <w:b w:val="0"/>
          <w:bCs w:val="0"/>
          <w:snapToGrid w:val="0"/>
          <w:color w:val="000000"/>
          <w:kern w:val="0"/>
          <w:sz w:val="32"/>
          <w:szCs w:val="32"/>
          <w:lang w:eastAsia="zh-CN"/>
        </w:rPr>
        <w:t>考</w:t>
      </w:r>
      <w:r>
        <w:rPr>
          <w:rFonts w:hint="eastAsia" w:ascii="楷体" w:hAnsi="楷体" w:eastAsia="楷体" w:cs="楷体"/>
          <w:b w:val="0"/>
          <w:bCs w:val="0"/>
          <w:snapToGrid w:val="0"/>
          <w:color w:val="000000"/>
          <w:kern w:val="0"/>
          <w:sz w:val="32"/>
          <w:szCs w:val="32"/>
          <w:lang w:val="en-US" w:eastAsia="zh-CN"/>
        </w:rPr>
        <w:t>核</w:t>
      </w:r>
      <w:r>
        <w:rPr>
          <w:rFonts w:hint="eastAsia" w:ascii="楷体" w:hAnsi="楷体" w:eastAsia="楷体" w:cs="楷体"/>
          <w:b w:val="0"/>
          <w:bCs w:val="0"/>
          <w:snapToGrid w:val="0"/>
          <w:color w:val="000000"/>
          <w:kern w:val="0"/>
          <w:sz w:val="32"/>
          <w:szCs w:val="32"/>
          <w:lang w:eastAsia="en-US"/>
        </w:rPr>
        <w:t>组织</w:t>
      </w:r>
    </w:p>
    <w:p w14:paraId="3BC96AF2">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由</w:t>
      </w:r>
      <w:r>
        <w:rPr>
          <w:rFonts w:hint="eastAsia" w:ascii="仿宋_GB2312" w:hAnsi="仿宋_GB2312" w:eastAsia="仿宋_GB2312" w:cs="仿宋_GB2312"/>
          <w:snapToGrid w:val="0"/>
          <w:color w:val="000000"/>
          <w:kern w:val="0"/>
          <w:sz w:val="32"/>
          <w:szCs w:val="32"/>
          <w:lang w:eastAsia="zh-CN"/>
        </w:rPr>
        <w:t>区</w:t>
      </w:r>
      <w:r>
        <w:rPr>
          <w:rFonts w:hint="eastAsia" w:ascii="仿宋_GB2312" w:hAnsi="仿宋_GB2312" w:eastAsia="仿宋_GB2312" w:cs="仿宋_GB2312"/>
          <w:snapToGrid w:val="0"/>
          <w:color w:val="000000"/>
          <w:kern w:val="0"/>
          <w:sz w:val="32"/>
          <w:szCs w:val="32"/>
          <w:lang w:val="en-US" w:eastAsia="zh-CN"/>
        </w:rPr>
        <w:t>社会发展建设局</w:t>
      </w:r>
      <w:r>
        <w:rPr>
          <w:rFonts w:hint="eastAsia" w:ascii="仿宋_GB2312" w:hAnsi="仿宋_GB2312" w:eastAsia="仿宋_GB2312" w:cs="仿宋_GB2312"/>
          <w:snapToGrid w:val="0"/>
          <w:color w:val="000000"/>
          <w:kern w:val="0"/>
          <w:sz w:val="32"/>
          <w:szCs w:val="32"/>
          <w:lang w:eastAsia="zh-CN"/>
        </w:rPr>
        <w:t>和</w:t>
      </w:r>
      <w:r>
        <w:rPr>
          <w:rFonts w:hint="eastAsia" w:ascii="仿宋_GB2312" w:hAnsi="仿宋_GB2312" w:eastAsia="仿宋_GB2312" w:cs="仿宋_GB2312"/>
          <w:snapToGrid w:val="0"/>
          <w:color w:val="000000"/>
          <w:kern w:val="0"/>
          <w:sz w:val="32"/>
          <w:szCs w:val="32"/>
          <w:lang w:eastAsia="en-US"/>
        </w:rPr>
        <w:t>乡</w:t>
      </w:r>
      <w:r>
        <w:rPr>
          <w:rFonts w:hint="eastAsia" w:ascii="仿宋_GB2312" w:hAnsi="仿宋_GB2312" w:eastAsia="仿宋_GB2312" w:cs="仿宋_GB2312"/>
          <w:snapToGrid w:val="0"/>
          <w:color w:val="000000"/>
          <w:kern w:val="0"/>
          <w:sz w:val="32"/>
          <w:szCs w:val="32"/>
          <w:lang w:val="en-US" w:eastAsia="zh-CN"/>
        </w:rPr>
        <w:t>镇</w:t>
      </w:r>
      <w:r>
        <w:rPr>
          <w:rFonts w:hint="eastAsia" w:ascii="仿宋_GB2312" w:hAnsi="仿宋_GB2312" w:eastAsia="仿宋_GB2312" w:cs="仿宋_GB2312"/>
          <w:snapToGrid w:val="0"/>
          <w:color w:val="000000"/>
          <w:kern w:val="0"/>
          <w:sz w:val="32"/>
          <w:szCs w:val="32"/>
          <w:lang w:eastAsia="en-US"/>
        </w:rPr>
        <w:t>协同被抽检的村（居）组成</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小组，具体做好日常</w:t>
      </w:r>
      <w:r>
        <w:rPr>
          <w:rFonts w:hint="eastAsia" w:ascii="仿宋_GB2312" w:hAnsi="仿宋_GB2312" w:eastAsia="仿宋_GB2312" w:cs="仿宋_GB2312"/>
          <w:snapToGrid w:val="0"/>
          <w:color w:val="000000"/>
          <w:kern w:val="0"/>
          <w:sz w:val="32"/>
          <w:szCs w:val="32"/>
          <w:lang w:val="en-US" w:eastAsia="zh-CN"/>
        </w:rPr>
        <w:t>暗访考核</w:t>
      </w:r>
      <w:r>
        <w:rPr>
          <w:rFonts w:hint="eastAsia" w:ascii="仿宋_GB2312" w:hAnsi="仿宋_GB2312" w:eastAsia="仿宋_GB2312" w:cs="仿宋_GB2312"/>
          <w:snapToGrid w:val="0"/>
          <w:color w:val="000000"/>
          <w:kern w:val="0"/>
          <w:sz w:val="32"/>
          <w:szCs w:val="32"/>
          <w:lang w:eastAsia="zh-CN"/>
        </w:rPr>
        <w:t>和月</w:t>
      </w:r>
      <w:r>
        <w:rPr>
          <w:rFonts w:hint="eastAsia" w:ascii="仿宋_GB2312" w:hAnsi="仿宋_GB2312" w:eastAsia="仿宋_GB2312" w:cs="仿宋_GB2312"/>
          <w:snapToGrid w:val="0"/>
          <w:color w:val="000000"/>
          <w:kern w:val="0"/>
          <w:sz w:val="32"/>
          <w:szCs w:val="32"/>
          <w:lang w:val="en-US" w:eastAsia="zh-CN"/>
        </w:rPr>
        <w:t>度集中</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工作。</w:t>
      </w:r>
    </w:p>
    <w:p w14:paraId="2A765116">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楷体" w:hAnsi="楷体" w:eastAsia="楷体" w:cs="楷体"/>
          <w:b w:val="0"/>
          <w:bCs w:val="0"/>
          <w:snapToGrid w:val="0"/>
          <w:color w:val="000000"/>
          <w:kern w:val="0"/>
          <w:sz w:val="32"/>
          <w:szCs w:val="32"/>
          <w:lang w:eastAsia="en-US"/>
        </w:rPr>
      </w:pPr>
      <w:r>
        <w:rPr>
          <w:rFonts w:hint="eastAsia" w:ascii="楷体" w:hAnsi="楷体" w:eastAsia="楷体" w:cs="楷体"/>
          <w:b w:val="0"/>
          <w:bCs w:val="0"/>
          <w:snapToGrid w:val="0"/>
          <w:color w:val="000000"/>
          <w:kern w:val="0"/>
          <w:sz w:val="32"/>
          <w:szCs w:val="32"/>
          <w:lang w:eastAsia="en-US"/>
        </w:rPr>
        <w:t>（二）</w:t>
      </w:r>
      <w:r>
        <w:rPr>
          <w:rFonts w:hint="eastAsia" w:ascii="楷体" w:hAnsi="楷体" w:eastAsia="楷体" w:cs="楷体"/>
          <w:b w:val="0"/>
          <w:bCs w:val="0"/>
          <w:snapToGrid w:val="0"/>
          <w:color w:val="000000"/>
          <w:kern w:val="0"/>
          <w:sz w:val="32"/>
          <w:szCs w:val="32"/>
          <w:lang w:eastAsia="zh-CN"/>
        </w:rPr>
        <w:t>考</w:t>
      </w:r>
      <w:r>
        <w:rPr>
          <w:rFonts w:hint="eastAsia" w:ascii="楷体" w:hAnsi="楷体" w:eastAsia="楷体" w:cs="楷体"/>
          <w:b w:val="0"/>
          <w:bCs w:val="0"/>
          <w:snapToGrid w:val="0"/>
          <w:color w:val="000000"/>
          <w:kern w:val="0"/>
          <w:sz w:val="32"/>
          <w:szCs w:val="32"/>
          <w:lang w:val="en-US" w:eastAsia="zh-CN"/>
        </w:rPr>
        <w:t>核</w:t>
      </w:r>
      <w:r>
        <w:rPr>
          <w:rFonts w:hint="eastAsia" w:ascii="楷体" w:hAnsi="楷体" w:eastAsia="楷体" w:cs="楷体"/>
          <w:b w:val="0"/>
          <w:bCs w:val="0"/>
          <w:snapToGrid w:val="0"/>
          <w:color w:val="000000"/>
          <w:kern w:val="0"/>
          <w:sz w:val="32"/>
          <w:szCs w:val="32"/>
          <w:lang w:eastAsia="en-US"/>
        </w:rPr>
        <w:t>职责</w:t>
      </w:r>
    </w:p>
    <w:p w14:paraId="8EFDF95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1.负责对保洁服务公司日常作业质量的监督和月度</w:t>
      </w:r>
      <w:r>
        <w:rPr>
          <w:rFonts w:hint="eastAsia" w:ascii="仿宋_GB2312" w:hAnsi="仿宋_GB2312" w:eastAsia="仿宋_GB2312" w:cs="仿宋_GB2312"/>
          <w:snapToGrid w:val="0"/>
          <w:color w:val="000000"/>
          <w:kern w:val="0"/>
          <w:sz w:val="32"/>
          <w:szCs w:val="32"/>
          <w:lang w:eastAsia="zh-CN"/>
        </w:rPr>
        <w:t>考评</w:t>
      </w:r>
      <w:r>
        <w:rPr>
          <w:rFonts w:hint="eastAsia" w:ascii="仿宋_GB2312" w:hAnsi="仿宋_GB2312" w:eastAsia="仿宋_GB2312" w:cs="仿宋_GB2312"/>
          <w:snapToGrid w:val="0"/>
          <w:color w:val="000000"/>
          <w:kern w:val="0"/>
          <w:sz w:val="32"/>
          <w:szCs w:val="32"/>
          <w:lang w:eastAsia="en-US"/>
        </w:rPr>
        <w:t>。</w:t>
      </w:r>
    </w:p>
    <w:p w14:paraId="02091BB6">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2.负责检查情况的收集、整理、评分、反馈。</w:t>
      </w:r>
    </w:p>
    <w:p w14:paraId="B2A3A4B2">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3.负责对检查反馈的问题、群众投诉、媒体曝光事项整改情况的跟踪督办等。</w:t>
      </w:r>
    </w:p>
    <w:p w14:paraId="A7371442">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en-US"/>
        </w:rPr>
      </w:pPr>
      <w:r>
        <w:rPr>
          <w:rFonts w:hint="eastAsia" w:ascii="黑体" w:hAnsi="黑体" w:eastAsia="黑体" w:cs="黑体"/>
          <w:b w:val="0"/>
          <w:bCs w:val="0"/>
          <w:snapToGrid w:val="0"/>
          <w:color w:val="000000"/>
          <w:kern w:val="0"/>
          <w:sz w:val="32"/>
          <w:szCs w:val="32"/>
          <w:lang w:eastAsia="en-US"/>
        </w:rPr>
        <w:t>四、</w:t>
      </w:r>
      <w:r>
        <w:rPr>
          <w:rFonts w:hint="eastAsia" w:ascii="黑体" w:hAnsi="黑体" w:eastAsia="黑体" w:cs="黑体"/>
          <w:b w:val="0"/>
          <w:bCs w:val="0"/>
          <w:snapToGrid w:val="0"/>
          <w:color w:val="000000"/>
          <w:kern w:val="0"/>
          <w:sz w:val="32"/>
          <w:szCs w:val="32"/>
          <w:lang w:eastAsia="zh-CN"/>
        </w:rPr>
        <w:t>考</w:t>
      </w:r>
      <w:r>
        <w:rPr>
          <w:rFonts w:hint="eastAsia" w:ascii="黑体" w:hAnsi="黑体" w:eastAsia="黑体" w:cs="黑体"/>
          <w:b w:val="0"/>
          <w:bCs w:val="0"/>
          <w:snapToGrid w:val="0"/>
          <w:color w:val="000000"/>
          <w:kern w:val="0"/>
          <w:sz w:val="32"/>
          <w:szCs w:val="32"/>
          <w:lang w:val="en-US" w:eastAsia="zh-CN"/>
        </w:rPr>
        <w:t>核范围</w:t>
      </w:r>
      <w:r>
        <w:rPr>
          <w:rFonts w:hint="eastAsia" w:ascii="黑体" w:hAnsi="黑体" w:eastAsia="黑体" w:cs="黑体"/>
          <w:b w:val="0"/>
          <w:bCs w:val="0"/>
          <w:snapToGrid w:val="0"/>
          <w:color w:val="000000"/>
          <w:kern w:val="0"/>
          <w:sz w:val="32"/>
          <w:szCs w:val="32"/>
          <w:lang w:eastAsia="en-US"/>
        </w:rPr>
        <w:t>、方式和计分办法</w:t>
      </w:r>
    </w:p>
    <w:p w14:paraId="097141A3">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default" w:ascii="楷体" w:hAnsi="楷体" w:eastAsia="楷体" w:cs="楷体"/>
          <w:b w:val="0"/>
          <w:bCs w:val="0"/>
          <w:snapToGrid w:val="0"/>
          <w:color w:val="000000"/>
          <w:kern w:val="0"/>
          <w:sz w:val="32"/>
          <w:szCs w:val="32"/>
          <w:lang w:val="en-US" w:eastAsia="en-US"/>
        </w:rPr>
      </w:pPr>
      <w:r>
        <w:rPr>
          <w:rFonts w:hint="eastAsia" w:ascii="楷体" w:hAnsi="楷体" w:eastAsia="楷体" w:cs="楷体"/>
          <w:b w:val="0"/>
          <w:bCs w:val="0"/>
          <w:snapToGrid w:val="0"/>
          <w:color w:val="000000"/>
          <w:kern w:val="0"/>
          <w:sz w:val="32"/>
          <w:szCs w:val="32"/>
          <w:lang w:eastAsia="en-US"/>
        </w:rPr>
        <w:t>（一）</w:t>
      </w:r>
      <w:r>
        <w:rPr>
          <w:rFonts w:hint="eastAsia" w:ascii="楷体" w:hAnsi="楷体" w:eastAsia="楷体" w:cs="楷体"/>
          <w:b w:val="0"/>
          <w:bCs w:val="0"/>
          <w:snapToGrid w:val="0"/>
          <w:color w:val="000000"/>
          <w:kern w:val="0"/>
          <w:sz w:val="32"/>
          <w:szCs w:val="32"/>
          <w:lang w:eastAsia="zh-CN"/>
        </w:rPr>
        <w:t>考</w:t>
      </w:r>
      <w:r>
        <w:rPr>
          <w:rFonts w:hint="eastAsia" w:ascii="楷体" w:hAnsi="楷体" w:eastAsia="楷体" w:cs="楷体"/>
          <w:b w:val="0"/>
          <w:bCs w:val="0"/>
          <w:snapToGrid w:val="0"/>
          <w:color w:val="000000"/>
          <w:kern w:val="0"/>
          <w:sz w:val="32"/>
          <w:szCs w:val="32"/>
          <w:lang w:val="en-US" w:eastAsia="zh-CN"/>
        </w:rPr>
        <w:t>核范围</w:t>
      </w:r>
    </w:p>
    <w:p w14:paraId="B0D0B595">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1.设施设备配备管理情况。环卫保洁设施必须保证足额足量和维护正常，及时维护、更新损坏与不足的环卫设施设备。</w:t>
      </w:r>
    </w:p>
    <w:p w14:paraId="AF0A46F7">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2.作业人员配备管理情况。严格按照合同规定以服务人口</w:t>
      </w:r>
      <w:r>
        <w:rPr>
          <w:rFonts w:hint="eastAsia" w:ascii="仿宋_GB2312" w:hAnsi="仿宋_GB2312" w:eastAsia="仿宋_GB2312" w:cs="仿宋_GB2312"/>
          <w:snapToGrid w:val="0"/>
          <w:color w:val="000000"/>
          <w:kern w:val="0"/>
          <w:sz w:val="32"/>
          <w:szCs w:val="32"/>
          <w:lang w:val="en-US" w:eastAsia="zh-CN"/>
        </w:rPr>
        <w:t>4</w:t>
      </w:r>
      <w:r>
        <w:rPr>
          <w:rFonts w:hint="eastAsia" w:ascii="仿宋_GB2312" w:hAnsi="仿宋_GB2312" w:eastAsia="仿宋_GB2312" w:cs="仿宋_GB2312"/>
          <w:snapToGrid w:val="0"/>
          <w:color w:val="000000"/>
          <w:kern w:val="0"/>
          <w:sz w:val="32"/>
          <w:szCs w:val="32"/>
          <w:lang w:eastAsia="en-US"/>
        </w:rPr>
        <w:t>‰的标准配备保洁</w:t>
      </w:r>
      <w:r>
        <w:rPr>
          <w:rFonts w:hint="eastAsia" w:ascii="仿宋_GB2312" w:hAnsi="仿宋_GB2312" w:eastAsia="仿宋_GB2312" w:cs="仿宋_GB2312"/>
          <w:snapToGrid w:val="0"/>
          <w:color w:val="000000"/>
          <w:kern w:val="0"/>
          <w:sz w:val="32"/>
          <w:szCs w:val="32"/>
          <w:lang w:val="en-US" w:eastAsia="zh-CN"/>
        </w:rPr>
        <w:t>工作</w:t>
      </w:r>
      <w:r>
        <w:rPr>
          <w:rFonts w:hint="eastAsia" w:ascii="仿宋_GB2312" w:hAnsi="仿宋_GB2312" w:eastAsia="仿宋_GB2312" w:cs="仿宋_GB2312"/>
          <w:snapToGrid w:val="0"/>
          <w:color w:val="000000"/>
          <w:kern w:val="0"/>
          <w:sz w:val="32"/>
          <w:szCs w:val="32"/>
          <w:lang w:eastAsia="en-US"/>
        </w:rPr>
        <w:t>人员队伍，按规定确保工资待遇，购买相关保险，加强作业人员日常管理情况。</w:t>
      </w:r>
    </w:p>
    <w:p w14:paraId="AA1254EA">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3.保洁清洗清运情况。所有保洁服务区域的清扫保洁、清洗冲洗、垃圾收集和转运情况。</w:t>
      </w:r>
    </w:p>
    <w:p w14:paraId="135B27F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napToGrid w:val="0"/>
          <w:color w:val="000000"/>
          <w:sz w:val="32"/>
          <w:szCs w:val="32"/>
          <w:lang w:val="en-US" w:eastAsia="en-US" w:bidi="ar-SA"/>
        </w:rPr>
      </w:pPr>
      <w:r>
        <w:rPr>
          <w:rFonts w:hint="eastAsia" w:ascii="仿宋_GB2312" w:hAnsi="仿宋_GB2312" w:eastAsia="仿宋_GB2312" w:cs="仿宋_GB2312"/>
          <w:snapToGrid w:val="0"/>
          <w:color w:val="000000"/>
          <w:kern w:val="0"/>
          <w:sz w:val="32"/>
          <w:szCs w:val="32"/>
          <w:lang w:val="en-US" w:eastAsia="zh-CN" w:bidi="ar-SA"/>
        </w:rPr>
        <w:t>4.</w:t>
      </w:r>
      <w:r>
        <w:rPr>
          <w:rFonts w:hint="eastAsia" w:ascii="仿宋_GB2312" w:hAnsi="仿宋_GB2312" w:eastAsia="仿宋_GB2312" w:cs="仿宋_GB2312"/>
          <w:snapToGrid w:val="0"/>
          <w:color w:val="000000"/>
          <w:kern w:val="0"/>
          <w:sz w:val="32"/>
          <w:szCs w:val="32"/>
          <w:lang w:val="en-US" w:eastAsia="en-US" w:bidi="ar-SA"/>
        </w:rPr>
        <w:t>机制建设监督管理情况。</w:t>
      </w:r>
      <w:r>
        <w:rPr>
          <w:rFonts w:hint="eastAsia" w:ascii="仿宋_GB2312" w:hAnsi="仿宋_GB2312" w:eastAsia="仿宋_GB2312" w:cs="仿宋_GB2312"/>
          <w:snapToGrid w:val="0"/>
          <w:color w:val="000000"/>
          <w:sz w:val="32"/>
          <w:szCs w:val="32"/>
          <w:lang w:val="en-US" w:eastAsia="en-US" w:bidi="ar-SA"/>
        </w:rPr>
        <w:t>做好日常监督管理工作，建立保洁人员管理、日常作业、安全保障等各方面的长效管理机制，重大节假日、活动。</w:t>
      </w:r>
    </w:p>
    <w:p w14:paraId="AFE60BF9">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napToGrid w:val="0"/>
          <w:color w:val="auto"/>
          <w:kern w:val="2"/>
          <w:sz w:val="32"/>
          <w:szCs w:val="32"/>
          <w:lang w:val="en-US" w:eastAsia="zh-CN" w:bidi="ar-SA"/>
        </w:rPr>
      </w:pPr>
      <w:r>
        <w:rPr>
          <w:rFonts w:hint="eastAsia" w:ascii="仿宋_GB2312" w:hAnsi="仿宋_GB2312" w:eastAsia="仿宋_GB2312" w:cs="仿宋_GB2312"/>
          <w:snapToGrid w:val="0"/>
          <w:color w:val="000000"/>
          <w:sz w:val="32"/>
          <w:szCs w:val="32"/>
          <w:lang w:val="en-US" w:eastAsia="zh-CN" w:bidi="ar-SA"/>
        </w:rPr>
        <w:t>5.</w:t>
      </w:r>
      <w:r>
        <w:rPr>
          <w:rFonts w:hint="eastAsia" w:ascii="仿宋_GB2312" w:hAnsi="仿宋_GB2312" w:eastAsia="仿宋_GB2312" w:cs="仿宋_GB2312"/>
          <w:snapToGrid w:val="0"/>
          <w:color w:val="000000"/>
          <w:kern w:val="2"/>
          <w:sz w:val="32"/>
          <w:szCs w:val="32"/>
          <w:lang w:val="en-US" w:eastAsia="zh-CN" w:bidi="ar-SA"/>
        </w:rPr>
        <w:t>配合城市管理运行平台工作情况，</w:t>
      </w:r>
      <w:r>
        <w:rPr>
          <w:rFonts w:hint="eastAsia" w:ascii="仿宋" w:hAnsi="仿宋" w:eastAsia="仿宋" w:cs="仿宋"/>
          <w:snapToGrid w:val="0"/>
          <w:color w:val="auto"/>
          <w:kern w:val="0"/>
          <w:sz w:val="30"/>
          <w:szCs w:val="30"/>
          <w:lang w:val="en-US" w:eastAsia="zh-CN" w:bidi="ar-SA"/>
        </w:rPr>
        <w:t>及时有效完成城市管理运行平台下派案件的整改销号</w:t>
      </w:r>
      <w:r>
        <w:rPr>
          <w:rFonts w:hint="eastAsia" w:ascii="仿宋_GB2312" w:hAnsi="仿宋_GB2312" w:eastAsia="仿宋_GB2312" w:cs="仿宋_GB2312"/>
          <w:snapToGrid w:val="0"/>
          <w:color w:val="auto"/>
          <w:kern w:val="2"/>
          <w:sz w:val="32"/>
          <w:szCs w:val="32"/>
          <w:lang w:val="en-US" w:eastAsia="zh-CN" w:bidi="ar-SA"/>
        </w:rPr>
        <w:t>。</w:t>
      </w:r>
    </w:p>
    <w:p w14:paraId="0982CFC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snapToGrid w:val="0"/>
          <w:color w:val="auto"/>
          <w:kern w:val="2"/>
          <w:sz w:val="32"/>
          <w:szCs w:val="32"/>
          <w:lang w:val="en-US" w:eastAsia="zh-CN" w:bidi="ar-SA"/>
        </w:rPr>
      </w:pPr>
      <w:r>
        <w:rPr>
          <w:rFonts w:hint="eastAsia" w:ascii="仿宋_GB2312" w:hAnsi="仿宋_GB2312" w:eastAsia="仿宋_GB2312" w:cs="仿宋_GB2312"/>
          <w:snapToGrid w:val="0"/>
          <w:color w:val="auto"/>
          <w:kern w:val="2"/>
          <w:sz w:val="32"/>
          <w:szCs w:val="32"/>
          <w:lang w:val="en-US" w:eastAsia="zh-CN" w:bidi="ar-SA"/>
        </w:rPr>
        <w:t>6.</w:t>
      </w:r>
      <w:r>
        <w:rPr>
          <w:rFonts w:hint="eastAsia" w:ascii="仿宋_GB2312" w:hAnsi="仿宋_GB2312" w:eastAsia="仿宋_GB2312" w:cs="仿宋_GB2312"/>
          <w:i w:val="0"/>
          <w:caps w:val="0"/>
          <w:snapToGrid w:val="0"/>
          <w:color w:val="auto"/>
          <w:spacing w:val="0"/>
          <w:kern w:val="0"/>
          <w:sz w:val="32"/>
          <w:szCs w:val="32"/>
          <w:lang w:val="en-US" w:eastAsia="zh-CN" w:bidi="ar-SA"/>
        </w:rPr>
        <w:t>垃圾分类运输，餐厨垃圾、中转站渗滤液、有害垃圾、生活垃圾不能混运并按要求运输至指定位置进行及时处理，不造成环境污染。</w:t>
      </w:r>
    </w:p>
    <w:p w14:paraId="A056FC3C">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楷体" w:hAnsi="楷体" w:eastAsia="楷体" w:cs="楷体"/>
          <w:b w:val="0"/>
          <w:bCs w:val="0"/>
          <w:snapToGrid w:val="0"/>
          <w:color w:val="000000"/>
          <w:kern w:val="0"/>
          <w:sz w:val="32"/>
          <w:szCs w:val="32"/>
          <w:lang w:eastAsia="en-US"/>
        </w:rPr>
      </w:pPr>
      <w:r>
        <w:rPr>
          <w:rFonts w:hint="eastAsia" w:ascii="楷体" w:hAnsi="楷体" w:eastAsia="楷体" w:cs="楷体"/>
          <w:b w:val="0"/>
          <w:bCs w:val="0"/>
          <w:snapToGrid w:val="0"/>
          <w:color w:val="000000"/>
          <w:kern w:val="0"/>
          <w:sz w:val="32"/>
          <w:szCs w:val="32"/>
          <w:lang w:eastAsia="en-US"/>
        </w:rPr>
        <w:t>（二）</w:t>
      </w:r>
      <w:r>
        <w:rPr>
          <w:rFonts w:hint="eastAsia" w:ascii="楷体" w:hAnsi="楷体" w:eastAsia="楷体" w:cs="楷体"/>
          <w:b w:val="0"/>
          <w:bCs w:val="0"/>
          <w:snapToGrid w:val="0"/>
          <w:color w:val="000000"/>
          <w:kern w:val="0"/>
          <w:sz w:val="32"/>
          <w:szCs w:val="32"/>
          <w:lang w:eastAsia="zh-CN"/>
        </w:rPr>
        <w:t>考</w:t>
      </w:r>
      <w:r>
        <w:rPr>
          <w:rFonts w:hint="eastAsia" w:ascii="楷体" w:hAnsi="楷体" w:eastAsia="楷体" w:cs="楷体"/>
          <w:b w:val="0"/>
          <w:bCs w:val="0"/>
          <w:snapToGrid w:val="0"/>
          <w:color w:val="000000"/>
          <w:kern w:val="0"/>
          <w:sz w:val="32"/>
          <w:szCs w:val="32"/>
          <w:lang w:val="en-US" w:eastAsia="zh-CN"/>
        </w:rPr>
        <w:t>核</w:t>
      </w:r>
      <w:r>
        <w:rPr>
          <w:rFonts w:hint="eastAsia" w:ascii="楷体" w:hAnsi="楷体" w:eastAsia="楷体" w:cs="楷体"/>
          <w:b w:val="0"/>
          <w:bCs w:val="0"/>
          <w:snapToGrid w:val="0"/>
          <w:color w:val="000000"/>
          <w:kern w:val="0"/>
          <w:sz w:val="32"/>
          <w:szCs w:val="32"/>
          <w:lang w:eastAsia="en-US"/>
        </w:rPr>
        <w:t>方式</w:t>
      </w:r>
    </w:p>
    <w:p w14:paraId="03FE5A68">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b/>
          <w:bCs/>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区社会发展建设局</w:t>
      </w:r>
      <w:r>
        <w:rPr>
          <w:rFonts w:hint="eastAsia" w:ascii="仿宋_GB2312" w:hAnsi="仿宋_GB2312" w:eastAsia="仿宋_GB2312" w:cs="仿宋_GB2312"/>
          <w:snapToGrid w:val="0"/>
          <w:color w:val="000000"/>
          <w:kern w:val="0"/>
          <w:sz w:val="32"/>
          <w:szCs w:val="32"/>
          <w:lang w:eastAsia="zh-CN"/>
        </w:rPr>
        <w:t>和乡</w:t>
      </w:r>
      <w:r>
        <w:rPr>
          <w:rFonts w:hint="eastAsia" w:ascii="仿宋_GB2312" w:hAnsi="仿宋_GB2312" w:eastAsia="仿宋_GB2312" w:cs="仿宋_GB2312"/>
          <w:snapToGrid w:val="0"/>
          <w:color w:val="000000"/>
          <w:kern w:val="0"/>
          <w:sz w:val="32"/>
          <w:szCs w:val="32"/>
          <w:lang w:val="en-US" w:eastAsia="zh-CN"/>
        </w:rPr>
        <w:t>镇</w:t>
      </w:r>
      <w:r>
        <w:rPr>
          <w:rFonts w:hint="eastAsia" w:ascii="仿宋_GB2312" w:hAnsi="仿宋_GB2312" w:eastAsia="仿宋_GB2312" w:cs="仿宋_GB2312"/>
          <w:snapToGrid w:val="0"/>
          <w:color w:val="000000"/>
          <w:kern w:val="0"/>
          <w:sz w:val="32"/>
          <w:szCs w:val="32"/>
          <w:lang w:eastAsia="en-US"/>
        </w:rPr>
        <w:t>协同被抽检的村（居）做好辖区内保洁服务公司作业质量的</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工作。</w:t>
      </w:r>
      <w:r>
        <w:rPr>
          <w:rFonts w:hint="eastAsia" w:ascii="仿宋_GB2312" w:hAnsi="仿宋_GB2312" w:eastAsia="仿宋_GB2312" w:cs="仿宋_GB2312"/>
          <w:snapToGrid w:val="0"/>
          <w:color w:val="000000"/>
          <w:kern w:val="0"/>
          <w:sz w:val="32"/>
          <w:szCs w:val="32"/>
          <w:lang w:val="en-US" w:eastAsia="zh-CN"/>
        </w:rPr>
        <w:t>一是区社会发展建设局和乡镇分别在日常采取不定期暗访方式进行检查将上级领导督查结果内入该次考核。二是区社会发展建设局和乡镇共同进行月度集中考核，</w:t>
      </w:r>
      <w:r>
        <w:rPr>
          <w:rFonts w:hint="eastAsia" w:ascii="仿宋_GB2312" w:hAnsi="仿宋_GB2312" w:eastAsia="仿宋_GB2312" w:cs="仿宋_GB2312"/>
          <w:snapToGrid w:val="0"/>
          <w:color w:val="000000"/>
          <w:kern w:val="0"/>
          <w:sz w:val="32"/>
          <w:szCs w:val="32"/>
          <w:lang w:eastAsia="en-US"/>
        </w:rPr>
        <w:t>每月应不少于</w:t>
      </w:r>
      <w:r>
        <w:rPr>
          <w:rFonts w:hint="eastAsia" w:ascii="仿宋_GB2312" w:hAnsi="仿宋_GB2312" w:eastAsia="仿宋_GB2312" w:cs="仿宋_GB2312"/>
          <w:snapToGrid w:val="0"/>
          <w:color w:val="000000"/>
          <w:kern w:val="0"/>
          <w:sz w:val="32"/>
          <w:szCs w:val="32"/>
          <w:lang w:val="en-US" w:eastAsia="zh-CN"/>
        </w:rPr>
        <w:t>1</w:t>
      </w:r>
      <w:r>
        <w:rPr>
          <w:rFonts w:hint="eastAsia" w:ascii="仿宋_GB2312" w:hAnsi="仿宋_GB2312" w:eastAsia="仿宋_GB2312" w:cs="仿宋_GB2312"/>
          <w:snapToGrid w:val="0"/>
          <w:color w:val="000000"/>
          <w:kern w:val="0"/>
          <w:sz w:val="32"/>
          <w:szCs w:val="32"/>
          <w:lang w:eastAsia="en-US"/>
        </w:rPr>
        <w:t>次，集镇</w:t>
      </w:r>
      <w:r>
        <w:rPr>
          <w:rFonts w:hint="eastAsia" w:ascii="仿宋_GB2312" w:hAnsi="仿宋_GB2312" w:eastAsia="仿宋_GB2312" w:cs="仿宋_GB2312"/>
          <w:snapToGrid w:val="0"/>
          <w:color w:val="000000"/>
          <w:kern w:val="0"/>
          <w:sz w:val="32"/>
          <w:szCs w:val="32"/>
          <w:lang w:eastAsia="zh-CN"/>
        </w:rPr>
        <w:t>、乡</w:t>
      </w:r>
      <w:r>
        <w:rPr>
          <w:rFonts w:hint="eastAsia" w:ascii="仿宋_GB2312" w:hAnsi="仿宋_GB2312" w:eastAsia="仿宋_GB2312" w:cs="仿宋_GB2312"/>
          <w:snapToGrid w:val="0"/>
          <w:color w:val="000000"/>
          <w:kern w:val="0"/>
          <w:sz w:val="32"/>
          <w:szCs w:val="32"/>
          <w:lang w:val="en-US" w:eastAsia="zh-CN"/>
        </w:rPr>
        <w:t>镇政府驻地</w:t>
      </w:r>
      <w:r>
        <w:rPr>
          <w:rFonts w:hint="eastAsia" w:ascii="仿宋_GB2312" w:hAnsi="仿宋_GB2312" w:eastAsia="仿宋_GB2312" w:cs="仿宋_GB2312"/>
          <w:snapToGrid w:val="0"/>
          <w:color w:val="000000"/>
          <w:kern w:val="0"/>
          <w:sz w:val="32"/>
          <w:szCs w:val="32"/>
          <w:lang w:eastAsia="zh-CN"/>
        </w:rPr>
        <w:t>所在村（</w:t>
      </w:r>
      <w:r>
        <w:rPr>
          <w:rFonts w:hint="eastAsia" w:ascii="仿宋_GB2312" w:hAnsi="仿宋_GB2312" w:eastAsia="仿宋_GB2312" w:cs="仿宋_GB2312"/>
          <w:snapToGrid w:val="0"/>
          <w:color w:val="000000"/>
          <w:kern w:val="0"/>
          <w:sz w:val="32"/>
          <w:szCs w:val="32"/>
          <w:lang w:val="en-US" w:eastAsia="zh-CN"/>
        </w:rPr>
        <w:t>居</w:t>
      </w:r>
      <w:r>
        <w:rPr>
          <w:rFonts w:hint="eastAsia" w:ascii="仿宋_GB2312" w:hAnsi="仿宋_GB2312" w:eastAsia="仿宋_GB2312" w:cs="仿宋_GB2312"/>
          <w:snapToGrid w:val="0"/>
          <w:color w:val="000000"/>
          <w:kern w:val="0"/>
          <w:sz w:val="32"/>
          <w:szCs w:val="32"/>
          <w:lang w:eastAsia="zh-CN"/>
        </w:rPr>
        <w:t>）为</w:t>
      </w:r>
      <w:r>
        <w:rPr>
          <w:rFonts w:hint="eastAsia" w:ascii="仿宋_GB2312" w:hAnsi="仿宋_GB2312" w:eastAsia="仿宋_GB2312" w:cs="仿宋_GB2312"/>
          <w:snapToGrid w:val="0"/>
          <w:color w:val="000000"/>
          <w:kern w:val="0"/>
          <w:sz w:val="32"/>
          <w:szCs w:val="32"/>
          <w:lang w:eastAsia="en-US"/>
        </w:rPr>
        <w:t>必检</w:t>
      </w:r>
      <w:r>
        <w:rPr>
          <w:rFonts w:hint="eastAsia" w:ascii="仿宋_GB2312" w:hAnsi="仿宋_GB2312" w:eastAsia="仿宋_GB2312" w:cs="仿宋_GB2312"/>
          <w:snapToGrid w:val="0"/>
          <w:color w:val="000000"/>
          <w:kern w:val="0"/>
          <w:sz w:val="32"/>
          <w:szCs w:val="32"/>
          <w:lang w:eastAsia="zh-CN"/>
        </w:rPr>
        <w:t>点</w:t>
      </w:r>
      <w:r>
        <w:rPr>
          <w:rFonts w:hint="eastAsia" w:ascii="仿宋_GB2312" w:hAnsi="仿宋_GB2312" w:eastAsia="仿宋_GB2312" w:cs="仿宋_GB2312"/>
          <w:snapToGrid w:val="0"/>
          <w:color w:val="000000"/>
          <w:kern w:val="0"/>
          <w:sz w:val="32"/>
          <w:szCs w:val="32"/>
          <w:lang w:eastAsia="en-US"/>
        </w:rPr>
        <w:t>，同时</w:t>
      </w:r>
      <w:r>
        <w:rPr>
          <w:rFonts w:hint="eastAsia" w:ascii="仿宋_GB2312" w:hAnsi="仿宋_GB2312" w:eastAsia="仿宋_GB2312" w:cs="仿宋_GB2312"/>
          <w:snapToGrid w:val="0"/>
          <w:color w:val="000000"/>
          <w:kern w:val="0"/>
          <w:sz w:val="32"/>
          <w:szCs w:val="32"/>
          <w:lang w:eastAsia="zh-CN"/>
        </w:rPr>
        <w:t>另外</w:t>
      </w:r>
      <w:r>
        <w:rPr>
          <w:rFonts w:hint="eastAsia" w:ascii="仿宋_GB2312" w:hAnsi="仿宋_GB2312" w:eastAsia="仿宋_GB2312" w:cs="仿宋_GB2312"/>
          <w:snapToGrid w:val="0"/>
          <w:color w:val="000000"/>
          <w:kern w:val="0"/>
          <w:sz w:val="32"/>
          <w:szCs w:val="32"/>
          <w:lang w:val="en-US" w:eastAsia="zh-CN"/>
        </w:rPr>
        <w:t>分乡镇各再</w:t>
      </w:r>
      <w:r>
        <w:rPr>
          <w:rFonts w:hint="eastAsia" w:ascii="仿宋_GB2312" w:hAnsi="仿宋_GB2312" w:eastAsia="仿宋_GB2312" w:cs="仿宋_GB2312"/>
          <w:snapToGrid w:val="0"/>
          <w:color w:val="000000"/>
          <w:kern w:val="0"/>
          <w:sz w:val="32"/>
          <w:szCs w:val="32"/>
          <w:lang w:eastAsia="en-US"/>
        </w:rPr>
        <w:t>至少</w:t>
      </w:r>
      <w:r>
        <w:rPr>
          <w:rFonts w:hint="eastAsia" w:ascii="仿宋_GB2312" w:hAnsi="仿宋_GB2312" w:eastAsia="仿宋_GB2312" w:cs="仿宋_GB2312"/>
          <w:snapToGrid w:val="0"/>
          <w:color w:val="000000"/>
          <w:kern w:val="0"/>
          <w:sz w:val="32"/>
          <w:szCs w:val="32"/>
          <w:lang w:eastAsia="zh-CN"/>
        </w:rPr>
        <w:t>抽</w:t>
      </w:r>
      <w:r>
        <w:rPr>
          <w:rFonts w:hint="eastAsia" w:ascii="仿宋_GB2312" w:hAnsi="仿宋_GB2312" w:eastAsia="仿宋_GB2312" w:cs="仿宋_GB2312"/>
          <w:snapToGrid w:val="0"/>
          <w:color w:val="000000"/>
          <w:kern w:val="0"/>
          <w:sz w:val="32"/>
          <w:szCs w:val="32"/>
          <w:lang w:eastAsia="en-US"/>
        </w:rPr>
        <w:t>查</w:t>
      </w:r>
      <w:r>
        <w:rPr>
          <w:rFonts w:hint="eastAsia" w:ascii="仿宋_GB2312" w:hAnsi="仿宋_GB2312" w:eastAsia="仿宋_GB2312" w:cs="仿宋_GB2312"/>
          <w:snapToGrid w:val="0"/>
          <w:color w:val="000000"/>
          <w:kern w:val="0"/>
          <w:sz w:val="32"/>
          <w:szCs w:val="32"/>
          <w:lang w:val="en-US" w:eastAsia="zh-CN"/>
        </w:rPr>
        <w:t>两</w:t>
      </w:r>
      <w:r>
        <w:rPr>
          <w:rFonts w:hint="eastAsia" w:ascii="仿宋_GB2312" w:hAnsi="仿宋_GB2312" w:eastAsia="仿宋_GB2312" w:cs="仿宋_GB2312"/>
          <w:snapToGrid w:val="0"/>
          <w:color w:val="000000"/>
          <w:kern w:val="0"/>
          <w:sz w:val="32"/>
          <w:szCs w:val="32"/>
          <w:lang w:eastAsia="en-US"/>
        </w:rPr>
        <w:t>个行政村。</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扣分实行单个/项计分制（一事不二罚），收集汇总扣分佐证材料，按百分制评定</w:t>
      </w:r>
      <w:r>
        <w:rPr>
          <w:rFonts w:hint="eastAsia" w:ascii="仿宋_GB2312" w:hAnsi="仿宋_GB2312" w:eastAsia="仿宋_GB2312" w:cs="仿宋_GB2312"/>
          <w:snapToGrid w:val="0"/>
          <w:color w:val="000000"/>
          <w:kern w:val="0"/>
          <w:sz w:val="32"/>
          <w:szCs w:val="32"/>
          <w:lang w:eastAsia="zh-CN"/>
        </w:rPr>
        <w:t>计入</w:t>
      </w:r>
      <w:r>
        <w:rPr>
          <w:rFonts w:hint="eastAsia" w:ascii="仿宋_GB2312" w:hAnsi="仿宋_GB2312" w:eastAsia="仿宋_GB2312" w:cs="仿宋_GB2312"/>
          <w:snapToGrid w:val="0"/>
          <w:color w:val="000000"/>
          <w:kern w:val="0"/>
          <w:sz w:val="32"/>
          <w:szCs w:val="32"/>
          <w:lang w:eastAsia="en-US"/>
        </w:rPr>
        <w:t>当月</w:t>
      </w:r>
      <w:r>
        <w:rPr>
          <w:rFonts w:hint="eastAsia" w:ascii="仿宋_GB2312" w:hAnsi="仿宋_GB2312" w:eastAsia="仿宋_GB2312" w:cs="仿宋_GB2312"/>
          <w:snapToGrid w:val="0"/>
          <w:color w:val="000000"/>
          <w:kern w:val="0"/>
          <w:sz w:val="32"/>
          <w:szCs w:val="32"/>
          <w:lang w:eastAsia="zh-CN"/>
        </w:rPr>
        <w:t>考评</w:t>
      </w:r>
      <w:r>
        <w:rPr>
          <w:rFonts w:hint="eastAsia" w:ascii="仿宋_GB2312" w:hAnsi="仿宋_GB2312" w:eastAsia="仿宋_GB2312" w:cs="仿宋_GB2312"/>
          <w:snapToGrid w:val="0"/>
          <w:color w:val="000000"/>
          <w:kern w:val="0"/>
          <w:sz w:val="32"/>
          <w:szCs w:val="32"/>
          <w:lang w:eastAsia="en-US"/>
        </w:rPr>
        <w:t>成绩，核算扣除的服务费，按月兑现。</w:t>
      </w:r>
    </w:p>
    <w:p w14:paraId="07D60763">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楷体" w:hAnsi="楷体" w:eastAsia="楷体" w:cs="楷体"/>
          <w:snapToGrid w:val="0"/>
          <w:color w:val="000000"/>
          <w:kern w:val="0"/>
          <w:sz w:val="32"/>
          <w:szCs w:val="32"/>
          <w:lang w:eastAsia="en-US"/>
        </w:rPr>
      </w:pPr>
      <w:r>
        <w:rPr>
          <w:rFonts w:hint="eastAsia" w:ascii="楷体" w:hAnsi="楷体" w:eastAsia="楷体" w:cs="楷体"/>
          <w:b w:val="0"/>
          <w:bCs w:val="0"/>
          <w:snapToGrid w:val="0"/>
          <w:color w:val="000000"/>
          <w:kern w:val="0"/>
          <w:sz w:val="32"/>
          <w:szCs w:val="32"/>
          <w:lang w:eastAsia="en-US"/>
        </w:rPr>
        <w:t>（三）计分方法</w:t>
      </w:r>
    </w:p>
    <w:p w14:paraId="5542AFAB">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日常</w:t>
      </w:r>
      <w:r>
        <w:rPr>
          <w:rFonts w:hint="eastAsia" w:ascii="仿宋_GB2312" w:hAnsi="仿宋_GB2312" w:eastAsia="仿宋_GB2312" w:cs="仿宋_GB2312"/>
          <w:snapToGrid w:val="0"/>
          <w:color w:val="000000"/>
          <w:kern w:val="0"/>
          <w:sz w:val="32"/>
          <w:szCs w:val="32"/>
          <w:lang w:val="en-US" w:eastAsia="zh-CN"/>
        </w:rPr>
        <w:t>暗访</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和月度</w:t>
      </w:r>
      <w:r>
        <w:rPr>
          <w:rFonts w:hint="eastAsia" w:ascii="仿宋_GB2312" w:hAnsi="仿宋_GB2312" w:eastAsia="仿宋_GB2312" w:cs="仿宋_GB2312"/>
          <w:snapToGrid w:val="0"/>
          <w:color w:val="000000"/>
          <w:kern w:val="0"/>
          <w:sz w:val="32"/>
          <w:szCs w:val="32"/>
          <w:lang w:val="en-US" w:eastAsia="zh-CN"/>
        </w:rPr>
        <w:t>集中</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情况，采用百分制</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按照日常暗访考核（含区社会发展建设局和乡镇）和月度集中考核得分各占50%比例折算</w:t>
      </w:r>
      <w:r>
        <w:rPr>
          <w:rFonts w:hint="eastAsia" w:ascii="仿宋_GB2312" w:hAnsi="仿宋_GB2312" w:eastAsia="仿宋_GB2312" w:cs="仿宋_GB2312"/>
          <w:snapToGrid w:val="0"/>
          <w:color w:val="000000"/>
          <w:kern w:val="0"/>
          <w:sz w:val="32"/>
          <w:szCs w:val="32"/>
          <w:lang w:eastAsia="en-US"/>
        </w:rPr>
        <w:t>为保洁服务公司的月</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成绩</w:t>
      </w:r>
      <w:r>
        <w:rPr>
          <w:rFonts w:hint="eastAsia" w:ascii="仿宋_GB2312" w:hAnsi="仿宋_GB2312" w:eastAsia="仿宋_GB2312" w:cs="仿宋_GB2312"/>
          <w:snapToGrid w:val="0"/>
          <w:color w:val="000000"/>
          <w:kern w:val="0"/>
          <w:sz w:val="32"/>
          <w:szCs w:val="32"/>
          <w:lang w:eastAsia="zh-CN"/>
        </w:rPr>
        <w:t>得分</w:t>
      </w:r>
      <w:r>
        <w:rPr>
          <w:rFonts w:hint="eastAsia" w:ascii="仿宋_GB2312" w:hAnsi="仿宋_GB2312" w:eastAsia="仿宋_GB2312" w:cs="仿宋_GB2312"/>
          <w:snapToGrid w:val="0"/>
          <w:color w:val="000000"/>
          <w:kern w:val="0"/>
          <w:sz w:val="32"/>
          <w:szCs w:val="32"/>
          <w:lang w:eastAsia="en-US"/>
        </w:rPr>
        <w:t>即为当月</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成绩。</w:t>
      </w:r>
    </w:p>
    <w:p w14:paraId="A7ADBCCE">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具体计算公式为</w:t>
      </w:r>
      <w:r>
        <w:rPr>
          <w:rFonts w:hint="eastAsia" w:ascii="仿宋_GB2312" w:hAnsi="仿宋_GB2312" w:eastAsia="仿宋_GB2312" w:cs="仿宋_GB2312"/>
          <w:snapToGrid w:val="0"/>
          <w:color w:val="000000"/>
          <w:kern w:val="0"/>
          <w:sz w:val="32"/>
          <w:szCs w:val="32"/>
          <w:lang w:eastAsia="zh-CN"/>
        </w:rPr>
        <w:t>：</w:t>
      </w:r>
      <w:r>
        <w:rPr>
          <w:rFonts w:hint="eastAsia" w:ascii="仿宋_GB2312" w:hAnsi="仿宋_GB2312" w:eastAsia="仿宋_GB2312" w:cs="仿宋_GB2312"/>
          <w:snapToGrid w:val="0"/>
          <w:color w:val="000000"/>
          <w:kern w:val="0"/>
          <w:sz w:val="32"/>
          <w:szCs w:val="32"/>
          <w:lang w:eastAsia="en-US"/>
        </w:rPr>
        <w:t>保洁服务公司月度</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成绩=</w:t>
      </w:r>
      <w:r>
        <w:rPr>
          <w:rFonts w:hint="eastAsia" w:ascii="仿宋_GB2312" w:hAnsi="仿宋_GB2312" w:eastAsia="仿宋_GB2312" w:cs="仿宋_GB2312"/>
          <w:snapToGrid w:val="0"/>
          <w:color w:val="000000"/>
          <w:kern w:val="0"/>
          <w:sz w:val="32"/>
          <w:szCs w:val="32"/>
          <w:lang w:val="en-US" w:eastAsia="zh-CN"/>
        </w:rPr>
        <w:t>日常暗访考核得分</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50%</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月度集中考核得分</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50%-其他监督检查扣分</w:t>
      </w:r>
      <w:r>
        <w:rPr>
          <w:rFonts w:hint="eastAsia" w:ascii="仿宋_GB2312" w:hAnsi="仿宋_GB2312" w:eastAsia="仿宋_GB2312" w:cs="仿宋_GB2312"/>
          <w:snapToGrid w:val="0"/>
          <w:color w:val="000000"/>
          <w:kern w:val="0"/>
          <w:sz w:val="32"/>
          <w:szCs w:val="32"/>
          <w:lang w:eastAsia="en-US"/>
        </w:rPr>
        <w:t>。</w:t>
      </w:r>
    </w:p>
    <w:p w14:paraId="CC1210AA">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zh-CN"/>
        </w:rPr>
      </w:pPr>
      <w:r>
        <w:rPr>
          <w:rFonts w:hint="eastAsia" w:ascii="黑体" w:hAnsi="黑体" w:eastAsia="黑体" w:cs="黑体"/>
          <w:b w:val="0"/>
          <w:bCs w:val="0"/>
          <w:snapToGrid w:val="0"/>
          <w:color w:val="000000"/>
          <w:kern w:val="0"/>
          <w:sz w:val="32"/>
          <w:szCs w:val="32"/>
          <w:lang w:eastAsia="en-US"/>
        </w:rPr>
        <w:t>五、</w:t>
      </w:r>
      <w:r>
        <w:rPr>
          <w:rFonts w:hint="eastAsia" w:ascii="黑体" w:hAnsi="黑体" w:eastAsia="黑体" w:cs="黑体"/>
          <w:b w:val="0"/>
          <w:bCs w:val="0"/>
          <w:snapToGrid w:val="0"/>
          <w:color w:val="000000"/>
          <w:kern w:val="0"/>
          <w:sz w:val="32"/>
          <w:szCs w:val="32"/>
          <w:lang w:eastAsia="zh-CN"/>
        </w:rPr>
        <w:t>考</w:t>
      </w:r>
      <w:r>
        <w:rPr>
          <w:rFonts w:hint="eastAsia" w:ascii="黑体" w:hAnsi="黑体" w:eastAsia="黑体" w:cs="黑体"/>
          <w:b w:val="0"/>
          <w:bCs w:val="0"/>
          <w:snapToGrid w:val="0"/>
          <w:color w:val="000000"/>
          <w:kern w:val="0"/>
          <w:sz w:val="32"/>
          <w:szCs w:val="32"/>
          <w:lang w:val="en-US" w:eastAsia="zh-CN"/>
        </w:rPr>
        <w:t>核</w:t>
      </w:r>
      <w:r>
        <w:rPr>
          <w:rFonts w:hint="eastAsia" w:ascii="黑体" w:hAnsi="黑体" w:eastAsia="黑体" w:cs="黑体"/>
          <w:b w:val="0"/>
          <w:bCs w:val="0"/>
          <w:snapToGrid w:val="0"/>
          <w:color w:val="000000"/>
          <w:kern w:val="0"/>
          <w:sz w:val="32"/>
          <w:szCs w:val="32"/>
          <w:lang w:eastAsia="en-US"/>
        </w:rPr>
        <w:t>结果及</w:t>
      </w:r>
      <w:r>
        <w:rPr>
          <w:rFonts w:hint="eastAsia" w:ascii="黑体" w:hAnsi="黑体" w:eastAsia="黑体" w:cs="黑体"/>
          <w:b w:val="0"/>
          <w:bCs w:val="0"/>
          <w:snapToGrid w:val="0"/>
          <w:color w:val="000000"/>
          <w:kern w:val="0"/>
          <w:sz w:val="32"/>
          <w:szCs w:val="32"/>
          <w:lang w:val="en-US" w:eastAsia="zh-CN"/>
        </w:rPr>
        <w:t>计费方式</w:t>
      </w:r>
    </w:p>
    <w:p w14:paraId="3AF3A48F">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0"/>
          <w:szCs w:val="30"/>
          <w:lang w:eastAsia="zh-CN"/>
        </w:rPr>
      </w:pPr>
      <w:r>
        <w:rPr>
          <w:rFonts w:hint="eastAsia" w:ascii="仿宋_GB2312" w:hAnsi="仿宋_GB2312" w:eastAsia="仿宋_GB2312" w:cs="仿宋_GB2312"/>
          <w:b w:val="0"/>
          <w:bCs w:val="0"/>
          <w:snapToGrid w:val="0"/>
          <w:color w:val="000000"/>
          <w:kern w:val="0"/>
          <w:sz w:val="32"/>
          <w:szCs w:val="32"/>
          <w:lang w:eastAsia="en-US"/>
        </w:rPr>
        <w:t>1.</w:t>
      </w:r>
      <w:r>
        <w:rPr>
          <w:rFonts w:hint="eastAsia" w:ascii="仿宋_GB2312" w:hAnsi="仿宋_GB2312" w:eastAsia="仿宋_GB2312" w:cs="仿宋_GB2312"/>
          <w:snapToGrid w:val="0"/>
          <w:color w:val="000000"/>
          <w:kern w:val="0"/>
          <w:sz w:val="32"/>
          <w:szCs w:val="32"/>
          <w:lang w:eastAsia="en-US"/>
        </w:rPr>
        <w:t>根据月</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结果</w:t>
      </w:r>
      <w:r>
        <w:rPr>
          <w:rFonts w:hint="eastAsia" w:ascii="仿宋_GB2312" w:hAnsi="仿宋_GB2312" w:eastAsia="仿宋_GB2312" w:cs="仿宋_GB2312"/>
          <w:snapToGrid w:val="0"/>
          <w:color w:val="000000"/>
          <w:kern w:val="0"/>
          <w:sz w:val="32"/>
          <w:szCs w:val="32"/>
          <w:lang w:eastAsia="zh-CN"/>
        </w:rPr>
        <w:t>（</w:t>
      </w:r>
      <w:r>
        <w:rPr>
          <w:rFonts w:hint="eastAsia" w:ascii="仿宋_GB2312" w:hAnsi="仿宋_GB2312" w:eastAsia="仿宋_GB2312" w:cs="仿宋_GB2312"/>
          <w:snapToGrid w:val="0"/>
          <w:color w:val="000000"/>
          <w:kern w:val="0"/>
          <w:sz w:val="32"/>
          <w:szCs w:val="32"/>
          <w:lang w:val="en-US" w:eastAsia="zh-CN"/>
        </w:rPr>
        <w:t>含日常暗访和月度集中考核</w:t>
      </w:r>
      <w:r>
        <w:rPr>
          <w:rFonts w:hint="eastAsia" w:ascii="仿宋_GB2312" w:hAnsi="仿宋_GB2312" w:eastAsia="仿宋_GB2312" w:cs="仿宋_GB2312"/>
          <w:snapToGrid w:val="0"/>
          <w:color w:val="000000"/>
          <w:kern w:val="0"/>
          <w:sz w:val="32"/>
          <w:szCs w:val="32"/>
          <w:lang w:eastAsia="zh-CN"/>
        </w:rPr>
        <w:t>）</w:t>
      </w:r>
      <w:r>
        <w:rPr>
          <w:rFonts w:hint="eastAsia" w:ascii="仿宋_GB2312" w:hAnsi="仿宋_GB2312" w:eastAsia="仿宋_GB2312" w:cs="仿宋_GB2312"/>
          <w:snapToGrid w:val="0"/>
          <w:color w:val="000000"/>
          <w:kern w:val="0"/>
          <w:sz w:val="30"/>
          <w:szCs w:val="30"/>
          <w:lang w:eastAsia="en-US"/>
        </w:rPr>
        <w:t>分值未达</w:t>
      </w:r>
      <w:r>
        <w:rPr>
          <w:rFonts w:hint="eastAsia" w:ascii="仿宋_GB2312" w:hAnsi="仿宋_GB2312" w:eastAsia="仿宋_GB2312" w:cs="仿宋_GB2312"/>
          <w:snapToGrid w:val="0"/>
          <w:color w:val="000000"/>
          <w:kern w:val="0"/>
          <w:sz w:val="30"/>
          <w:szCs w:val="30"/>
          <w:lang w:val="en-US" w:eastAsia="zh-CN"/>
        </w:rPr>
        <w:t>95</w:t>
      </w:r>
      <w:r>
        <w:rPr>
          <w:rFonts w:hint="eastAsia" w:ascii="仿宋_GB2312" w:hAnsi="仿宋_GB2312" w:eastAsia="仿宋_GB2312" w:cs="仿宋_GB2312"/>
          <w:snapToGrid w:val="0"/>
          <w:color w:val="000000"/>
          <w:kern w:val="0"/>
          <w:sz w:val="30"/>
          <w:szCs w:val="30"/>
          <w:lang w:eastAsia="en-US"/>
        </w:rPr>
        <w:t>分时</w:t>
      </w:r>
      <w:r>
        <w:rPr>
          <w:rFonts w:hint="eastAsia" w:ascii="仿宋_GB2312" w:hAnsi="仿宋_GB2312" w:eastAsia="仿宋_GB2312" w:cs="仿宋_GB2312"/>
          <w:snapToGrid w:val="0"/>
          <w:color w:val="000000"/>
          <w:kern w:val="0"/>
          <w:sz w:val="30"/>
          <w:szCs w:val="30"/>
          <w:lang w:eastAsia="zh-CN"/>
        </w:rPr>
        <w:t>，</w:t>
      </w:r>
      <w:r>
        <w:rPr>
          <w:rFonts w:hint="eastAsia" w:ascii="仿宋_GB2312" w:hAnsi="仿宋_GB2312" w:eastAsia="仿宋_GB2312" w:cs="仿宋_GB2312"/>
          <w:snapToGrid w:val="0"/>
          <w:color w:val="000000"/>
          <w:kern w:val="0"/>
          <w:sz w:val="30"/>
          <w:szCs w:val="30"/>
          <w:lang w:val="en-US" w:eastAsia="zh-CN"/>
        </w:rPr>
        <w:t>按比例</w:t>
      </w:r>
      <w:r>
        <w:rPr>
          <w:rFonts w:hint="eastAsia" w:ascii="仿宋_GB2312" w:hAnsi="仿宋_GB2312" w:eastAsia="仿宋_GB2312" w:cs="仿宋_GB2312"/>
          <w:snapToGrid w:val="0"/>
          <w:color w:val="000000"/>
          <w:kern w:val="0"/>
          <w:sz w:val="30"/>
          <w:szCs w:val="30"/>
          <w:lang w:eastAsia="en-US"/>
        </w:rPr>
        <w:t>扣除</w:t>
      </w:r>
      <w:r>
        <w:rPr>
          <w:rFonts w:hint="eastAsia" w:ascii="仿宋_GB2312" w:hAnsi="仿宋_GB2312" w:eastAsia="仿宋_GB2312" w:cs="仿宋_GB2312"/>
          <w:snapToGrid w:val="0"/>
          <w:color w:val="000000"/>
          <w:kern w:val="0"/>
          <w:sz w:val="32"/>
          <w:szCs w:val="32"/>
          <w:lang w:eastAsia="en-US"/>
        </w:rPr>
        <w:t>拨付保洁服务公司市场化服务费用</w:t>
      </w:r>
      <w:r>
        <w:rPr>
          <w:rFonts w:hint="eastAsia" w:ascii="仿宋_GB2312" w:hAnsi="仿宋_GB2312" w:eastAsia="仿宋_GB2312" w:cs="仿宋_GB2312"/>
          <w:snapToGrid w:val="0"/>
          <w:color w:val="000000"/>
          <w:kern w:val="0"/>
          <w:sz w:val="30"/>
          <w:szCs w:val="30"/>
          <w:lang w:eastAsia="zh-CN"/>
        </w:rPr>
        <w:t>：</w:t>
      </w:r>
    </w:p>
    <w:p w14:paraId="2E8AFCC3">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90</w:t>
      </w:r>
      <w:r>
        <w:rPr>
          <w:rFonts w:hint="eastAsia" w:ascii="仿宋_GB2312" w:hAnsi="仿宋_GB2312" w:eastAsia="仿宋_GB2312" w:cs="仿宋_GB2312"/>
          <w:snapToGrid w:val="0"/>
          <w:color w:val="000000"/>
          <w:kern w:val="0"/>
          <w:sz w:val="32"/>
          <w:szCs w:val="32"/>
          <w:lang w:eastAsia="en-US"/>
        </w:rPr>
        <w:t>-9</w:t>
      </w:r>
      <w:r>
        <w:rPr>
          <w:rFonts w:hint="eastAsia" w:ascii="仿宋_GB2312" w:hAnsi="仿宋_GB2312" w:eastAsia="仿宋_GB2312" w:cs="仿宋_GB2312"/>
          <w:snapToGrid w:val="0"/>
          <w:color w:val="000000"/>
          <w:kern w:val="0"/>
          <w:sz w:val="32"/>
          <w:szCs w:val="32"/>
          <w:lang w:val="en-US" w:eastAsia="zh-CN"/>
        </w:rPr>
        <w:t>5</w:t>
      </w:r>
      <w:r>
        <w:rPr>
          <w:rFonts w:hint="eastAsia" w:ascii="仿宋_GB2312" w:hAnsi="仿宋_GB2312" w:eastAsia="仿宋_GB2312" w:cs="仿宋_GB2312"/>
          <w:snapToGrid w:val="0"/>
          <w:color w:val="000000"/>
          <w:kern w:val="0"/>
          <w:sz w:val="32"/>
          <w:szCs w:val="32"/>
          <w:lang w:eastAsia="en-US"/>
        </w:rPr>
        <w:t>分（不含9</w:t>
      </w:r>
      <w:r>
        <w:rPr>
          <w:rFonts w:hint="eastAsia" w:ascii="仿宋_GB2312" w:hAnsi="仿宋_GB2312" w:eastAsia="仿宋_GB2312" w:cs="仿宋_GB2312"/>
          <w:snapToGrid w:val="0"/>
          <w:color w:val="000000"/>
          <w:kern w:val="0"/>
          <w:sz w:val="32"/>
          <w:szCs w:val="32"/>
          <w:lang w:val="en-US" w:eastAsia="zh-CN"/>
        </w:rPr>
        <w:t>5</w:t>
      </w:r>
      <w:r>
        <w:rPr>
          <w:rFonts w:hint="eastAsia" w:ascii="仿宋_GB2312" w:hAnsi="仿宋_GB2312" w:eastAsia="仿宋_GB2312" w:cs="仿宋_GB2312"/>
          <w:snapToGrid w:val="0"/>
          <w:color w:val="000000"/>
          <w:kern w:val="0"/>
          <w:sz w:val="32"/>
          <w:szCs w:val="32"/>
          <w:lang w:eastAsia="en-US"/>
        </w:rPr>
        <w:t>分），每分扣1</w:t>
      </w:r>
      <w:r>
        <w:rPr>
          <w:rFonts w:hint="eastAsia" w:ascii="仿宋_GB2312" w:hAnsi="仿宋_GB2312" w:eastAsia="仿宋_GB2312" w:cs="仿宋_GB2312"/>
          <w:snapToGrid w:val="0"/>
          <w:color w:val="000000"/>
          <w:kern w:val="0"/>
          <w:sz w:val="32"/>
          <w:szCs w:val="32"/>
          <w:lang w:val="en-US" w:eastAsia="zh-CN"/>
        </w:rPr>
        <w:t>000</w:t>
      </w:r>
      <w:r>
        <w:rPr>
          <w:rFonts w:hint="eastAsia" w:ascii="仿宋_GB2312" w:hAnsi="仿宋_GB2312" w:eastAsia="仿宋_GB2312" w:cs="仿宋_GB2312"/>
          <w:snapToGrid w:val="0"/>
          <w:color w:val="000000"/>
          <w:kern w:val="0"/>
          <w:sz w:val="32"/>
          <w:szCs w:val="32"/>
          <w:lang w:eastAsia="en-US"/>
        </w:rPr>
        <w:t>元；</w:t>
      </w:r>
    </w:p>
    <w:p w14:paraId="C5C13E0B">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8</w:t>
      </w:r>
      <w:r>
        <w:rPr>
          <w:rFonts w:hint="eastAsia" w:ascii="仿宋_GB2312" w:hAnsi="仿宋_GB2312" w:eastAsia="仿宋_GB2312" w:cs="仿宋_GB2312"/>
          <w:snapToGrid w:val="0"/>
          <w:color w:val="000000"/>
          <w:kern w:val="0"/>
          <w:sz w:val="32"/>
          <w:szCs w:val="32"/>
          <w:lang w:val="en-US" w:eastAsia="zh-CN"/>
        </w:rPr>
        <w:t>5</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90</w:t>
      </w:r>
      <w:r>
        <w:rPr>
          <w:rFonts w:hint="eastAsia" w:ascii="仿宋_GB2312" w:hAnsi="仿宋_GB2312" w:eastAsia="仿宋_GB2312" w:cs="仿宋_GB2312"/>
          <w:snapToGrid w:val="0"/>
          <w:color w:val="000000"/>
          <w:kern w:val="0"/>
          <w:sz w:val="32"/>
          <w:szCs w:val="32"/>
          <w:lang w:eastAsia="en-US"/>
        </w:rPr>
        <w:t xml:space="preserve"> 分（不含</w:t>
      </w:r>
      <w:r>
        <w:rPr>
          <w:rFonts w:hint="eastAsia" w:ascii="仿宋_GB2312" w:hAnsi="仿宋_GB2312" w:eastAsia="仿宋_GB2312" w:cs="仿宋_GB2312"/>
          <w:snapToGrid w:val="0"/>
          <w:color w:val="000000"/>
          <w:kern w:val="0"/>
          <w:sz w:val="32"/>
          <w:szCs w:val="32"/>
          <w:lang w:val="en-US" w:eastAsia="zh-CN"/>
        </w:rPr>
        <w:t>90</w:t>
      </w:r>
      <w:r>
        <w:rPr>
          <w:rFonts w:hint="eastAsia" w:ascii="仿宋_GB2312" w:hAnsi="仿宋_GB2312" w:eastAsia="仿宋_GB2312" w:cs="仿宋_GB2312"/>
          <w:snapToGrid w:val="0"/>
          <w:color w:val="000000"/>
          <w:kern w:val="0"/>
          <w:sz w:val="32"/>
          <w:szCs w:val="32"/>
          <w:lang w:eastAsia="en-US"/>
        </w:rPr>
        <w:t>分），每分扣2</w:t>
      </w:r>
      <w:r>
        <w:rPr>
          <w:rFonts w:hint="eastAsia" w:ascii="仿宋_GB2312" w:hAnsi="仿宋_GB2312" w:eastAsia="仿宋_GB2312" w:cs="仿宋_GB2312"/>
          <w:snapToGrid w:val="0"/>
          <w:color w:val="000000"/>
          <w:kern w:val="0"/>
          <w:sz w:val="32"/>
          <w:szCs w:val="32"/>
          <w:lang w:val="en-US" w:eastAsia="zh-CN"/>
        </w:rPr>
        <w:t>000</w:t>
      </w:r>
      <w:r>
        <w:rPr>
          <w:rFonts w:hint="eastAsia" w:ascii="仿宋_GB2312" w:hAnsi="仿宋_GB2312" w:eastAsia="仿宋_GB2312" w:cs="仿宋_GB2312"/>
          <w:snapToGrid w:val="0"/>
          <w:color w:val="000000"/>
          <w:kern w:val="0"/>
          <w:sz w:val="32"/>
          <w:szCs w:val="32"/>
          <w:lang w:eastAsia="en-US"/>
        </w:rPr>
        <w:t>元；</w:t>
      </w:r>
    </w:p>
    <w:p w14:paraId="E20791A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75</w:t>
      </w:r>
      <w:r>
        <w:rPr>
          <w:rFonts w:hint="eastAsia" w:ascii="仿宋_GB2312" w:hAnsi="仿宋_GB2312" w:eastAsia="仿宋_GB2312" w:cs="仿宋_GB2312"/>
          <w:snapToGrid w:val="0"/>
          <w:color w:val="000000"/>
          <w:kern w:val="0"/>
          <w:sz w:val="32"/>
          <w:szCs w:val="32"/>
          <w:lang w:eastAsia="en-US"/>
        </w:rPr>
        <w:t>-</w:t>
      </w:r>
      <w:r>
        <w:rPr>
          <w:rFonts w:hint="eastAsia" w:ascii="仿宋_GB2312" w:hAnsi="仿宋_GB2312" w:eastAsia="仿宋_GB2312" w:cs="仿宋_GB2312"/>
          <w:snapToGrid w:val="0"/>
          <w:color w:val="000000"/>
          <w:kern w:val="0"/>
          <w:sz w:val="32"/>
          <w:szCs w:val="32"/>
          <w:lang w:val="en-US" w:eastAsia="zh-CN"/>
        </w:rPr>
        <w:t>85</w:t>
      </w:r>
      <w:r>
        <w:rPr>
          <w:rFonts w:hint="eastAsia" w:ascii="仿宋_GB2312" w:hAnsi="仿宋_GB2312" w:eastAsia="仿宋_GB2312" w:cs="仿宋_GB2312"/>
          <w:snapToGrid w:val="0"/>
          <w:color w:val="000000"/>
          <w:kern w:val="0"/>
          <w:sz w:val="32"/>
          <w:szCs w:val="32"/>
          <w:lang w:eastAsia="en-US"/>
        </w:rPr>
        <w:t xml:space="preserve"> 分（不含8</w:t>
      </w:r>
      <w:r>
        <w:rPr>
          <w:rFonts w:hint="eastAsia" w:ascii="仿宋_GB2312" w:hAnsi="仿宋_GB2312" w:eastAsia="仿宋_GB2312" w:cs="仿宋_GB2312"/>
          <w:snapToGrid w:val="0"/>
          <w:color w:val="000000"/>
          <w:kern w:val="0"/>
          <w:sz w:val="32"/>
          <w:szCs w:val="32"/>
          <w:lang w:val="en-US" w:eastAsia="zh-CN"/>
        </w:rPr>
        <w:t>5</w:t>
      </w:r>
      <w:r>
        <w:rPr>
          <w:rFonts w:hint="eastAsia" w:ascii="仿宋_GB2312" w:hAnsi="仿宋_GB2312" w:eastAsia="仿宋_GB2312" w:cs="仿宋_GB2312"/>
          <w:snapToGrid w:val="0"/>
          <w:color w:val="000000"/>
          <w:kern w:val="0"/>
          <w:sz w:val="32"/>
          <w:szCs w:val="32"/>
          <w:lang w:eastAsia="en-US"/>
        </w:rPr>
        <w:t>分），每分扣3</w:t>
      </w:r>
      <w:r>
        <w:rPr>
          <w:rFonts w:hint="eastAsia" w:ascii="仿宋_GB2312" w:hAnsi="仿宋_GB2312" w:eastAsia="仿宋_GB2312" w:cs="仿宋_GB2312"/>
          <w:snapToGrid w:val="0"/>
          <w:color w:val="000000"/>
          <w:kern w:val="0"/>
          <w:sz w:val="32"/>
          <w:szCs w:val="32"/>
          <w:lang w:val="en-US" w:eastAsia="zh-CN"/>
        </w:rPr>
        <w:t>000</w:t>
      </w:r>
      <w:r>
        <w:rPr>
          <w:rFonts w:hint="eastAsia" w:ascii="仿宋_GB2312" w:hAnsi="仿宋_GB2312" w:eastAsia="仿宋_GB2312" w:cs="仿宋_GB2312"/>
          <w:snapToGrid w:val="0"/>
          <w:color w:val="000000"/>
          <w:kern w:val="0"/>
          <w:sz w:val="32"/>
          <w:szCs w:val="32"/>
          <w:lang w:eastAsia="en-US"/>
        </w:rPr>
        <w:t>元；</w:t>
      </w:r>
    </w:p>
    <w:p w14:paraId="EB840A8D">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低于</w:t>
      </w:r>
      <w:r>
        <w:rPr>
          <w:rFonts w:hint="eastAsia" w:ascii="仿宋_GB2312" w:hAnsi="仿宋_GB2312" w:eastAsia="仿宋_GB2312" w:cs="仿宋_GB2312"/>
          <w:snapToGrid w:val="0"/>
          <w:color w:val="000000"/>
          <w:kern w:val="0"/>
          <w:sz w:val="32"/>
          <w:szCs w:val="32"/>
          <w:lang w:val="en-US" w:eastAsia="zh-CN"/>
        </w:rPr>
        <w:t>75</w:t>
      </w:r>
      <w:r>
        <w:rPr>
          <w:rFonts w:hint="eastAsia" w:ascii="仿宋_GB2312" w:hAnsi="仿宋_GB2312" w:eastAsia="仿宋_GB2312" w:cs="仿宋_GB2312"/>
          <w:snapToGrid w:val="0"/>
          <w:color w:val="000000"/>
          <w:kern w:val="0"/>
          <w:sz w:val="32"/>
          <w:szCs w:val="32"/>
          <w:lang w:eastAsia="en-US"/>
        </w:rPr>
        <w:t>分以下，每分扣4</w:t>
      </w:r>
      <w:r>
        <w:rPr>
          <w:rFonts w:hint="eastAsia" w:ascii="仿宋_GB2312" w:hAnsi="仿宋_GB2312" w:eastAsia="仿宋_GB2312" w:cs="仿宋_GB2312"/>
          <w:snapToGrid w:val="0"/>
          <w:color w:val="000000"/>
          <w:kern w:val="0"/>
          <w:sz w:val="32"/>
          <w:szCs w:val="32"/>
          <w:lang w:val="en-US" w:eastAsia="zh-CN"/>
        </w:rPr>
        <w:t>000</w:t>
      </w:r>
      <w:r>
        <w:rPr>
          <w:rFonts w:hint="eastAsia" w:ascii="仿宋_GB2312" w:hAnsi="仿宋_GB2312" w:eastAsia="仿宋_GB2312" w:cs="仿宋_GB2312"/>
          <w:snapToGrid w:val="0"/>
          <w:color w:val="000000"/>
          <w:kern w:val="0"/>
          <w:sz w:val="32"/>
          <w:szCs w:val="32"/>
          <w:lang w:eastAsia="en-US"/>
        </w:rPr>
        <w:t>元，并视为当月</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不合格，全年累计3个月不合格情况的</w:t>
      </w:r>
      <w:r>
        <w:rPr>
          <w:rFonts w:hint="eastAsia" w:ascii="仿宋_GB2312" w:hAnsi="仿宋_GB2312" w:eastAsia="仿宋_GB2312" w:cs="仿宋_GB2312"/>
          <w:snapToGrid w:val="0"/>
          <w:color w:val="000000"/>
          <w:kern w:val="0"/>
          <w:sz w:val="32"/>
          <w:szCs w:val="32"/>
          <w:lang w:val="en-US" w:eastAsia="zh-CN"/>
        </w:rPr>
        <w:t>扣减</w:t>
      </w:r>
      <w:r>
        <w:rPr>
          <w:rFonts w:hint="eastAsia" w:ascii="仿宋_GB2312" w:hAnsi="仿宋_GB2312" w:eastAsia="仿宋_GB2312" w:cs="仿宋_GB2312"/>
          <w:snapToGrid w:val="0"/>
          <w:color w:val="auto"/>
          <w:kern w:val="0"/>
          <w:sz w:val="32"/>
          <w:szCs w:val="32"/>
          <w:highlight w:val="none"/>
          <w:lang w:eastAsia="en-US"/>
        </w:rPr>
        <w:t>当月全部服务费，</w:t>
      </w:r>
      <w:r>
        <w:rPr>
          <w:rFonts w:hint="eastAsia" w:ascii="仿宋_GB2312" w:hAnsi="仿宋_GB2312" w:eastAsia="仿宋_GB2312" w:cs="仿宋_GB2312"/>
          <w:snapToGrid w:val="0"/>
          <w:color w:val="auto"/>
          <w:kern w:val="0"/>
          <w:sz w:val="32"/>
          <w:szCs w:val="32"/>
          <w:highlight w:val="none"/>
          <w:lang w:val="en-US" w:eastAsia="zh-CN"/>
        </w:rPr>
        <w:t>并</w:t>
      </w:r>
      <w:r>
        <w:rPr>
          <w:rFonts w:hint="eastAsia" w:ascii="仿宋_GB2312" w:hAnsi="仿宋_GB2312" w:eastAsia="仿宋_GB2312" w:cs="仿宋_GB2312"/>
          <w:snapToGrid w:val="0"/>
          <w:color w:val="000000"/>
          <w:kern w:val="0"/>
          <w:sz w:val="32"/>
          <w:szCs w:val="32"/>
          <w:lang w:eastAsia="en-US"/>
        </w:rPr>
        <w:t>取消保洁服务公司次年市场化保洁承（续）包权。</w:t>
      </w:r>
    </w:p>
    <w:p w14:paraId="B00BDAFD">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2.</w:t>
      </w:r>
      <w:r>
        <w:rPr>
          <w:rFonts w:hint="eastAsia" w:ascii="仿宋_GB2312" w:hAnsi="仿宋_GB2312" w:eastAsia="仿宋_GB2312" w:cs="仿宋_GB2312"/>
          <w:snapToGrid w:val="0"/>
          <w:color w:val="000000"/>
          <w:kern w:val="0"/>
          <w:sz w:val="32"/>
          <w:szCs w:val="32"/>
          <w:lang w:eastAsia="en-US"/>
        </w:rPr>
        <w:t>人员、设备配备应保持合同规定100%以上，低于98%的按实际缺职人员、设施设备的比例在服务费中扣除相应费用。</w:t>
      </w:r>
    </w:p>
    <w:p w14:paraId="95FE13E8">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en-US"/>
        </w:rPr>
      </w:pPr>
    </w:p>
    <w:p w14:paraId="C548F24F">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b w:val="0"/>
          <w:bCs w:val="0"/>
          <w:snapToGrid w:val="0"/>
          <w:color w:val="000000"/>
          <w:kern w:val="0"/>
          <w:sz w:val="32"/>
          <w:szCs w:val="32"/>
          <w:lang w:eastAsia="en-US"/>
        </w:rPr>
      </w:pPr>
      <w:r>
        <w:rPr>
          <w:rFonts w:hint="eastAsia" w:ascii="黑体" w:hAnsi="黑体" w:eastAsia="黑体" w:cs="黑体"/>
          <w:b w:val="0"/>
          <w:bCs w:val="0"/>
          <w:snapToGrid w:val="0"/>
          <w:color w:val="000000"/>
          <w:kern w:val="0"/>
          <w:sz w:val="32"/>
          <w:szCs w:val="32"/>
          <w:lang w:eastAsia="en-US"/>
        </w:rPr>
        <w:t>六、有关要求</w:t>
      </w:r>
    </w:p>
    <w:p w14:paraId="D771CF87">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1.</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小组必须严格按照标准进行</w:t>
      </w:r>
      <w:r>
        <w:rPr>
          <w:rFonts w:hint="eastAsia" w:ascii="仿宋_GB2312" w:hAnsi="仿宋_GB2312" w:eastAsia="仿宋_GB2312" w:cs="仿宋_GB2312"/>
          <w:snapToGrid w:val="0"/>
          <w:color w:val="000000"/>
          <w:kern w:val="0"/>
          <w:sz w:val="32"/>
          <w:szCs w:val="32"/>
          <w:lang w:eastAsia="zh-CN"/>
        </w:rPr>
        <w:t>考评</w:t>
      </w:r>
      <w:r>
        <w:rPr>
          <w:rFonts w:hint="eastAsia" w:ascii="仿宋_GB2312" w:hAnsi="仿宋_GB2312" w:eastAsia="仿宋_GB2312" w:cs="仿宋_GB2312"/>
          <w:snapToGrid w:val="0"/>
          <w:color w:val="000000"/>
          <w:kern w:val="0"/>
          <w:sz w:val="32"/>
          <w:szCs w:val="32"/>
          <w:lang w:eastAsia="en-US"/>
        </w:rPr>
        <w:t>，不得随意更改标准，严禁随意加大或缩小扣分比例，并据实提供扣分有效佐证材料。</w:t>
      </w:r>
    </w:p>
    <w:p w14:paraId="12BF4E7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2.日常</w:t>
      </w:r>
      <w:r>
        <w:rPr>
          <w:rFonts w:hint="eastAsia" w:ascii="仿宋_GB2312" w:hAnsi="仿宋_GB2312" w:eastAsia="仿宋_GB2312" w:cs="仿宋_GB2312"/>
          <w:snapToGrid w:val="0"/>
          <w:color w:val="000000"/>
          <w:kern w:val="0"/>
          <w:sz w:val="32"/>
          <w:szCs w:val="32"/>
          <w:lang w:val="en-US" w:eastAsia="zh-CN"/>
        </w:rPr>
        <w:t>暗访考核</w:t>
      </w:r>
      <w:r>
        <w:rPr>
          <w:rFonts w:hint="eastAsia" w:ascii="仿宋_GB2312" w:hAnsi="仿宋_GB2312" w:eastAsia="仿宋_GB2312" w:cs="仿宋_GB2312"/>
          <w:snapToGrid w:val="0"/>
          <w:color w:val="000000"/>
          <w:kern w:val="0"/>
          <w:sz w:val="32"/>
          <w:szCs w:val="32"/>
          <w:lang w:eastAsia="en-US"/>
        </w:rPr>
        <w:t>和月度</w:t>
      </w:r>
      <w:r>
        <w:rPr>
          <w:rFonts w:hint="eastAsia" w:ascii="仿宋_GB2312" w:hAnsi="仿宋_GB2312" w:eastAsia="仿宋_GB2312" w:cs="仿宋_GB2312"/>
          <w:snapToGrid w:val="0"/>
          <w:color w:val="000000"/>
          <w:kern w:val="0"/>
          <w:sz w:val="32"/>
          <w:szCs w:val="32"/>
          <w:lang w:val="en-US" w:eastAsia="zh-CN"/>
        </w:rPr>
        <w:t>集中</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各项资料应齐全，</w:t>
      </w:r>
      <w:r>
        <w:rPr>
          <w:rFonts w:hint="eastAsia" w:ascii="仿宋_GB2312" w:hAnsi="仿宋_GB2312" w:eastAsia="仿宋_GB2312" w:cs="仿宋_GB2312"/>
          <w:snapToGrid w:val="0"/>
          <w:color w:val="000000"/>
          <w:kern w:val="0"/>
          <w:sz w:val="32"/>
          <w:szCs w:val="32"/>
          <w:lang w:eastAsia="zh-CN"/>
        </w:rPr>
        <w:t>考评</w:t>
      </w:r>
      <w:r>
        <w:rPr>
          <w:rFonts w:hint="eastAsia" w:ascii="仿宋_GB2312" w:hAnsi="仿宋_GB2312" w:eastAsia="仿宋_GB2312" w:cs="仿宋_GB2312"/>
          <w:snapToGrid w:val="0"/>
          <w:color w:val="000000"/>
          <w:kern w:val="0"/>
          <w:sz w:val="32"/>
          <w:szCs w:val="32"/>
          <w:lang w:eastAsia="en-US"/>
        </w:rPr>
        <w:t>人员应客观、公平、公正，每次</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参加人员应至少不少于2人同时在场，</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结果应及时反馈告知保洁服务公司管理人员。</w:t>
      </w:r>
    </w:p>
    <w:p w14:paraId="49C93FC6">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eastAsia="en-US"/>
        </w:rPr>
        <w:t>3.保洁服务公司必须严格按照</w:t>
      </w:r>
      <w:r>
        <w:rPr>
          <w:rFonts w:hint="eastAsia" w:ascii="仿宋_GB2312" w:hAnsi="仿宋_GB2312" w:eastAsia="仿宋_GB2312" w:cs="仿宋_GB2312"/>
          <w:snapToGrid w:val="0"/>
          <w:color w:val="000000"/>
          <w:kern w:val="0"/>
          <w:sz w:val="32"/>
          <w:szCs w:val="32"/>
          <w:lang w:eastAsia="zh-CN"/>
        </w:rPr>
        <w:t>法律法规</w:t>
      </w:r>
      <w:r>
        <w:rPr>
          <w:rFonts w:hint="eastAsia" w:ascii="仿宋_GB2312" w:hAnsi="仿宋_GB2312" w:eastAsia="仿宋_GB2312" w:cs="仿宋_GB2312"/>
          <w:snapToGrid w:val="0"/>
          <w:color w:val="000000"/>
          <w:kern w:val="0"/>
          <w:sz w:val="32"/>
          <w:szCs w:val="32"/>
          <w:lang w:eastAsia="en-US"/>
        </w:rPr>
        <w:t>和标准、规范以及招标文件、政府采购合同的约定，高质量、高水平落实责任范围内的环境卫生作业和日常管理工作，并接受区、乡</w:t>
      </w:r>
      <w:r>
        <w:rPr>
          <w:rFonts w:hint="eastAsia" w:ascii="仿宋_GB2312" w:hAnsi="仿宋_GB2312" w:eastAsia="仿宋_GB2312" w:cs="仿宋_GB2312"/>
          <w:snapToGrid w:val="0"/>
          <w:color w:val="000000"/>
          <w:kern w:val="0"/>
          <w:sz w:val="32"/>
          <w:szCs w:val="32"/>
          <w:lang w:val="en-US" w:eastAsia="zh-CN"/>
        </w:rPr>
        <w:t>镇</w:t>
      </w:r>
      <w:r>
        <w:rPr>
          <w:rFonts w:hint="eastAsia" w:ascii="仿宋_GB2312" w:hAnsi="仿宋_GB2312" w:eastAsia="仿宋_GB2312" w:cs="仿宋_GB2312"/>
          <w:snapToGrid w:val="0"/>
          <w:color w:val="000000"/>
          <w:kern w:val="0"/>
          <w:sz w:val="32"/>
          <w:szCs w:val="32"/>
          <w:lang w:eastAsia="en-US"/>
        </w:rPr>
        <w:t>的检查和监督。</w:t>
      </w:r>
    </w:p>
    <w:p w14:paraId="A94D1E88">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4</w:t>
      </w:r>
      <w:r>
        <w:rPr>
          <w:rFonts w:hint="eastAsia" w:ascii="仿宋_GB2312" w:hAnsi="仿宋_GB2312" w:eastAsia="仿宋_GB2312" w:cs="仿宋_GB2312"/>
          <w:snapToGrid w:val="0"/>
          <w:color w:val="000000"/>
          <w:kern w:val="0"/>
          <w:sz w:val="32"/>
          <w:szCs w:val="32"/>
          <w:lang w:eastAsia="en-US"/>
        </w:rPr>
        <w:t>.保洁服务公司要建立健全环卫作业质量自查自评工作机制，健全内部日常作业巡查和监管工作，整理完善自查资料档案，做到制度健全、工作落实、资料齐全，促进环卫作业质量的不断提高。</w:t>
      </w:r>
    </w:p>
    <w:p w14:paraId="74DAD60C">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5</w:t>
      </w:r>
      <w:r>
        <w:rPr>
          <w:rFonts w:hint="eastAsia" w:ascii="仿宋_GB2312" w:hAnsi="仿宋_GB2312" w:eastAsia="仿宋_GB2312" w:cs="仿宋_GB2312"/>
          <w:snapToGrid w:val="0"/>
          <w:color w:val="000000"/>
          <w:kern w:val="0"/>
          <w:sz w:val="32"/>
          <w:szCs w:val="32"/>
          <w:lang w:eastAsia="en-US"/>
        </w:rPr>
        <w:t>.对群众投诉、媒体曝光的环境卫生问题以及重大节日、活动和上级交办的环卫工作要认真制订工作预案，落实整改措施，确保发现的环境卫生问题得以及时、有效地解决。</w:t>
      </w:r>
    </w:p>
    <w:p w14:paraId="69392CC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6</w:t>
      </w:r>
      <w:r>
        <w:rPr>
          <w:rFonts w:hint="eastAsia" w:ascii="仿宋_GB2312" w:hAnsi="仿宋_GB2312" w:eastAsia="仿宋_GB2312" w:cs="仿宋_GB2312"/>
          <w:snapToGrid w:val="0"/>
          <w:color w:val="000000"/>
          <w:kern w:val="0"/>
          <w:sz w:val="32"/>
          <w:szCs w:val="32"/>
          <w:lang w:eastAsia="en-US"/>
        </w:rPr>
        <w:t>.积极开展环境卫生宣传活动，加强环卫从业人员的职业道德教育、责任意识教育和职业技能培训，弘扬环卫行业无私奉献精神，形成良好的环境卫生工作氛围，共同为提高</w:t>
      </w:r>
      <w:r>
        <w:rPr>
          <w:rFonts w:hint="eastAsia" w:ascii="仿宋_GB2312" w:hAnsi="仿宋_GB2312" w:eastAsia="仿宋_GB2312" w:cs="仿宋_GB2312"/>
          <w:snapToGrid w:val="0"/>
          <w:color w:val="000000"/>
          <w:kern w:val="0"/>
          <w:sz w:val="32"/>
          <w:szCs w:val="32"/>
          <w:lang w:val="en-US" w:eastAsia="zh-CN"/>
        </w:rPr>
        <w:t>武功</w:t>
      </w:r>
      <w:r>
        <w:rPr>
          <w:rFonts w:hint="eastAsia" w:ascii="仿宋_GB2312" w:hAnsi="仿宋_GB2312" w:eastAsia="仿宋_GB2312" w:cs="仿宋_GB2312"/>
          <w:snapToGrid w:val="0"/>
          <w:color w:val="000000"/>
          <w:kern w:val="0"/>
          <w:sz w:val="32"/>
          <w:szCs w:val="32"/>
          <w:lang w:eastAsia="en-US"/>
        </w:rPr>
        <w:t>山</w:t>
      </w:r>
      <w:r>
        <w:rPr>
          <w:rFonts w:hint="eastAsia" w:ascii="仿宋_GB2312" w:hAnsi="仿宋_GB2312" w:eastAsia="仿宋_GB2312" w:cs="仿宋_GB2312"/>
          <w:snapToGrid w:val="0"/>
          <w:color w:val="000000"/>
          <w:kern w:val="0"/>
          <w:sz w:val="32"/>
          <w:szCs w:val="32"/>
          <w:lang w:eastAsia="zh-CN"/>
        </w:rPr>
        <w:t>城乡</w:t>
      </w:r>
      <w:r>
        <w:rPr>
          <w:rFonts w:hint="eastAsia" w:ascii="仿宋_GB2312" w:hAnsi="仿宋_GB2312" w:eastAsia="仿宋_GB2312" w:cs="仿宋_GB2312"/>
          <w:snapToGrid w:val="0"/>
          <w:color w:val="000000"/>
          <w:kern w:val="0"/>
          <w:sz w:val="32"/>
          <w:szCs w:val="32"/>
          <w:lang w:eastAsia="en-US"/>
        </w:rPr>
        <w:t>环境卫生质量而努力。</w:t>
      </w:r>
    </w:p>
    <w:p w14:paraId="1F6387FD">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napToGrid w:val="0"/>
          <w:color w:val="000000"/>
          <w:kern w:val="0"/>
          <w:sz w:val="32"/>
          <w:szCs w:val="32"/>
          <w:lang w:eastAsia="en-US"/>
        </w:rPr>
      </w:pPr>
      <w:r>
        <w:rPr>
          <w:rFonts w:hint="eastAsia" w:ascii="仿宋_GB2312" w:hAnsi="仿宋_GB2312" w:eastAsia="仿宋_GB2312" w:cs="仿宋_GB2312"/>
          <w:snapToGrid w:val="0"/>
          <w:color w:val="000000"/>
          <w:kern w:val="0"/>
          <w:sz w:val="32"/>
          <w:szCs w:val="32"/>
          <w:lang w:val="en-US" w:eastAsia="zh-CN"/>
        </w:rPr>
        <w:t>7</w:t>
      </w:r>
      <w:r>
        <w:rPr>
          <w:rFonts w:hint="eastAsia" w:ascii="仿宋_GB2312" w:hAnsi="仿宋_GB2312" w:eastAsia="仿宋_GB2312" w:cs="仿宋_GB2312"/>
          <w:snapToGrid w:val="0"/>
          <w:color w:val="000000"/>
          <w:kern w:val="0"/>
          <w:sz w:val="32"/>
          <w:szCs w:val="32"/>
          <w:lang w:eastAsia="en-US"/>
        </w:rPr>
        <w:t>.本</w:t>
      </w:r>
      <w:r>
        <w:rPr>
          <w:rFonts w:hint="eastAsia" w:ascii="仿宋_GB2312" w:hAnsi="仿宋_GB2312" w:eastAsia="仿宋_GB2312" w:cs="仿宋_GB2312"/>
          <w:snapToGrid w:val="0"/>
          <w:color w:val="000000"/>
          <w:kern w:val="0"/>
          <w:sz w:val="32"/>
          <w:szCs w:val="32"/>
          <w:lang w:eastAsia="zh-CN"/>
        </w:rPr>
        <w:t>考</w:t>
      </w:r>
      <w:r>
        <w:rPr>
          <w:rFonts w:hint="eastAsia" w:ascii="仿宋_GB2312" w:hAnsi="仿宋_GB2312" w:eastAsia="仿宋_GB2312" w:cs="仿宋_GB2312"/>
          <w:snapToGrid w:val="0"/>
          <w:color w:val="000000"/>
          <w:kern w:val="0"/>
          <w:sz w:val="32"/>
          <w:szCs w:val="32"/>
          <w:lang w:val="en-US" w:eastAsia="zh-CN"/>
        </w:rPr>
        <w:t>核</w:t>
      </w:r>
      <w:r>
        <w:rPr>
          <w:rFonts w:hint="eastAsia" w:ascii="仿宋_GB2312" w:hAnsi="仿宋_GB2312" w:eastAsia="仿宋_GB2312" w:cs="仿宋_GB2312"/>
          <w:snapToGrid w:val="0"/>
          <w:color w:val="000000"/>
          <w:kern w:val="0"/>
          <w:sz w:val="32"/>
          <w:szCs w:val="32"/>
          <w:lang w:eastAsia="en-US"/>
        </w:rPr>
        <w:t>办法未尽事宜，按《萍乡武功山风景名胜区农村生活垃圾治理市场化购买服务</w:t>
      </w:r>
      <w:r>
        <w:rPr>
          <w:rFonts w:hint="eastAsia" w:ascii="仿宋_GB2312" w:hAnsi="仿宋_GB2312" w:eastAsia="仿宋_GB2312" w:cs="仿宋_GB2312"/>
          <w:snapToGrid w:val="0"/>
          <w:color w:val="000000"/>
          <w:kern w:val="0"/>
          <w:sz w:val="32"/>
          <w:szCs w:val="32"/>
          <w:lang w:val="en-US" w:eastAsia="zh-CN"/>
        </w:rPr>
        <w:t>项目采购</w:t>
      </w:r>
      <w:r>
        <w:rPr>
          <w:rFonts w:hint="eastAsia" w:ascii="仿宋_GB2312" w:hAnsi="仿宋_GB2312" w:eastAsia="仿宋_GB2312" w:cs="仿宋_GB2312"/>
          <w:snapToGrid w:val="0"/>
          <w:color w:val="000000"/>
          <w:kern w:val="0"/>
          <w:sz w:val="32"/>
          <w:szCs w:val="32"/>
          <w:lang w:eastAsia="en-US"/>
        </w:rPr>
        <w:t>方案》规定执行。</w:t>
      </w:r>
    </w:p>
    <w:p w14:paraId="2D525F70">
      <w:pPr>
        <w:kinsoku w:val="0"/>
        <w:autoSpaceDE w:val="0"/>
        <w:autoSpaceDN w:val="0"/>
        <w:adjustRightInd w:val="0"/>
        <w:snapToGrid w:val="0"/>
        <w:textAlignment w:val="baseline"/>
        <w:rPr>
          <w:rFonts w:hint="eastAsia" w:ascii="黑体" w:hAnsi="黑体" w:eastAsia="黑体" w:cs="黑体"/>
          <w:b w:val="0"/>
          <w:bCs w:val="0"/>
          <w:snapToGrid w:val="0"/>
          <w:color w:val="000000"/>
          <w:sz w:val="32"/>
          <w:szCs w:val="32"/>
          <w:lang w:val="en-US" w:eastAsia="zh-CN" w:bidi="ar-SA"/>
        </w:rPr>
      </w:pPr>
    </w:p>
    <w:p w14:paraId="0A957A49">
      <w:pPr>
        <w:widowControl/>
        <w:kinsoku w:val="0"/>
        <w:autoSpaceDE w:val="0"/>
        <w:autoSpaceDN w:val="0"/>
        <w:adjustRightInd w:val="0"/>
        <w:snapToGrid w:val="0"/>
        <w:spacing w:line="600" w:lineRule="exact"/>
        <w:jc w:val="both"/>
        <w:textAlignment w:val="baseline"/>
        <w:rPr>
          <w:rFonts w:hint="eastAsia" w:ascii="黑体" w:hAnsi="黑体" w:eastAsia="黑体" w:cs="黑体"/>
          <w:b w:val="0"/>
          <w:bCs w:val="0"/>
          <w:snapToGrid w:val="0"/>
          <w:color w:val="000000"/>
          <w:kern w:val="0"/>
          <w:sz w:val="32"/>
          <w:szCs w:val="32"/>
          <w:lang w:val="en-US" w:eastAsia="zh-CN"/>
        </w:rPr>
      </w:pPr>
      <w:r>
        <w:rPr>
          <w:rFonts w:hint="eastAsia" w:ascii="黑体" w:hAnsi="黑体" w:eastAsia="黑体" w:cs="黑体"/>
          <w:b w:val="0"/>
          <w:bCs w:val="0"/>
          <w:snapToGrid w:val="0"/>
          <w:color w:val="000000"/>
          <w:kern w:val="0"/>
          <w:sz w:val="32"/>
          <w:szCs w:val="32"/>
          <w:lang w:val="en-US" w:eastAsia="zh-CN"/>
        </w:rPr>
        <w:t>附件：</w:t>
      </w:r>
    </w:p>
    <w:p w14:paraId="034FE623">
      <w:pPr>
        <w:widowControl/>
        <w:kinsoku w:val="0"/>
        <w:autoSpaceDE w:val="0"/>
        <w:autoSpaceDN w:val="0"/>
        <w:adjustRightInd w:val="0"/>
        <w:snapToGrid w:val="0"/>
        <w:spacing w:line="600" w:lineRule="exact"/>
        <w:jc w:val="center"/>
        <w:textAlignment w:val="baseline"/>
        <w:rPr>
          <w:rFonts w:ascii="Arial" w:hAnsi="Arial" w:eastAsia="Arial" w:cs="Times New Roman"/>
          <w:snapToGrid w:val="0"/>
          <w:color w:val="000000"/>
          <w:kern w:val="0"/>
          <w:sz w:val="24"/>
          <w:szCs w:val="24"/>
          <w:lang w:eastAsia="en-US"/>
        </w:rPr>
      </w:pPr>
      <w:r>
        <w:rPr>
          <w:rFonts w:hint="eastAsia" w:ascii="宋体" w:hAnsi="宋体" w:eastAsia="Arial" w:cs="宋体"/>
          <w:b/>
          <w:bCs/>
          <w:snapToGrid w:val="0"/>
          <w:color w:val="000000"/>
          <w:kern w:val="0"/>
          <w:sz w:val="32"/>
          <w:szCs w:val="32"/>
          <w:lang w:eastAsia="zh-CN"/>
        </w:rPr>
        <w:t>考</w:t>
      </w:r>
      <w:r>
        <w:rPr>
          <w:rFonts w:hint="eastAsia" w:ascii="宋体" w:hAnsi="宋体" w:eastAsia="Arial" w:cs="宋体"/>
          <w:b/>
          <w:bCs/>
          <w:snapToGrid w:val="0"/>
          <w:color w:val="000000"/>
          <w:kern w:val="0"/>
          <w:sz w:val="32"/>
          <w:szCs w:val="32"/>
          <w:lang w:val="en-US" w:eastAsia="zh-CN"/>
        </w:rPr>
        <w:t>核</w:t>
      </w:r>
      <w:r>
        <w:rPr>
          <w:rFonts w:hint="eastAsia" w:ascii="宋体" w:hAnsi="宋体" w:eastAsia="Arial" w:cs="宋体"/>
          <w:b/>
          <w:bCs/>
          <w:snapToGrid w:val="0"/>
          <w:color w:val="000000"/>
          <w:kern w:val="0"/>
          <w:sz w:val="32"/>
          <w:szCs w:val="32"/>
          <w:lang w:eastAsia="en-US"/>
        </w:rPr>
        <w:t>评分</w:t>
      </w:r>
      <w:r>
        <w:rPr>
          <w:rFonts w:hint="eastAsia" w:ascii="宋体" w:hAnsi="宋体" w:eastAsia="Arial" w:cs="宋体"/>
          <w:b/>
          <w:bCs/>
          <w:snapToGrid w:val="0"/>
          <w:color w:val="000000"/>
          <w:kern w:val="0"/>
          <w:sz w:val="32"/>
          <w:szCs w:val="32"/>
          <w:lang w:val="en-US" w:eastAsia="zh-CN"/>
        </w:rPr>
        <w:t>细则</w:t>
      </w:r>
      <w:r>
        <w:rPr>
          <w:rFonts w:hint="eastAsia" w:ascii="宋体" w:hAnsi="宋体" w:eastAsia="Arial" w:cs="宋体"/>
          <w:b/>
          <w:bCs/>
          <w:snapToGrid w:val="0"/>
          <w:color w:val="000000"/>
          <w:kern w:val="0"/>
          <w:sz w:val="32"/>
          <w:szCs w:val="32"/>
          <w:lang w:eastAsia="en-US"/>
        </w:rPr>
        <w:t>表（</w:t>
      </w:r>
      <w:r>
        <w:rPr>
          <w:rFonts w:hint="eastAsia" w:ascii="宋体" w:hAnsi="宋体" w:eastAsia="Arial" w:cs="宋体"/>
          <w:b/>
          <w:bCs/>
          <w:snapToGrid w:val="0"/>
          <w:color w:val="000000"/>
          <w:kern w:val="0"/>
          <w:sz w:val="32"/>
          <w:szCs w:val="32"/>
          <w:lang w:val="en-US" w:eastAsia="zh-CN"/>
        </w:rPr>
        <w:t>修订</w:t>
      </w:r>
      <w:r>
        <w:rPr>
          <w:rFonts w:hint="eastAsia" w:ascii="宋体" w:hAnsi="宋体" w:eastAsia="Arial" w:cs="宋体"/>
          <w:b/>
          <w:bCs/>
          <w:snapToGrid w:val="0"/>
          <w:color w:val="000000"/>
          <w:kern w:val="0"/>
          <w:sz w:val="32"/>
          <w:szCs w:val="32"/>
          <w:lang w:eastAsia="en-US"/>
        </w:rPr>
        <w:t>）</w:t>
      </w:r>
    </w:p>
    <w:tbl>
      <w:tblPr>
        <w:tblStyle w:val="2"/>
        <w:tblW w:w="93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7"/>
        <w:gridCol w:w="611"/>
        <w:gridCol w:w="2631"/>
        <w:gridCol w:w="2435"/>
        <w:gridCol w:w="675"/>
        <w:gridCol w:w="645"/>
        <w:gridCol w:w="642"/>
        <w:gridCol w:w="681"/>
      </w:tblGrid>
      <w:tr w14:paraId="FBBDC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987" w:type="dxa"/>
            <w:vAlign w:val="center"/>
          </w:tcPr>
          <w:p w14:paraId="E7A5A8A3">
            <w:pPr>
              <w:widowControl/>
              <w:kinsoku w:val="0"/>
              <w:autoSpaceDE w:val="0"/>
              <w:autoSpaceDN w:val="0"/>
              <w:adjustRightInd w:val="0"/>
              <w:snapToGrid w:val="0"/>
              <w:jc w:val="center"/>
              <w:textAlignment w:val="baseline"/>
              <w:rPr>
                <w:rFonts w:hint="eastAsia" w:ascii="宋体" w:hAnsi="Arial" w:eastAsia="宋体" w:cs="Times New Roman"/>
                <w:snapToGrid w:val="0"/>
                <w:color w:val="000000"/>
                <w:kern w:val="0"/>
                <w:szCs w:val="21"/>
                <w:lang w:eastAsia="zh-CN"/>
              </w:rPr>
            </w:pPr>
            <w:r>
              <w:rPr>
                <w:rFonts w:hint="eastAsia" w:ascii="宋体" w:hAnsi="Arial" w:eastAsia="Arial" w:cs="宋体"/>
                <w:snapToGrid w:val="0"/>
                <w:color w:val="000000"/>
                <w:kern w:val="0"/>
                <w:szCs w:val="21"/>
                <w:lang w:eastAsia="zh-CN"/>
              </w:rPr>
              <w:t>考</w:t>
            </w:r>
            <w:r>
              <w:rPr>
                <w:rFonts w:hint="eastAsia" w:ascii="宋体" w:hAnsi="Arial" w:eastAsia="Arial" w:cs="宋体"/>
                <w:snapToGrid w:val="0"/>
                <w:color w:val="000000"/>
                <w:kern w:val="0"/>
                <w:szCs w:val="21"/>
                <w:lang w:val="en-US" w:eastAsia="zh-CN"/>
              </w:rPr>
              <w:t>核</w:t>
            </w:r>
          </w:p>
          <w:p w14:paraId="F772B1AC">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内容</w:t>
            </w:r>
          </w:p>
        </w:tc>
        <w:tc>
          <w:tcPr>
            <w:tcW w:w="611" w:type="dxa"/>
            <w:vAlign w:val="center"/>
          </w:tcPr>
          <w:p w14:paraId="BE450C83">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权重</w:t>
            </w:r>
          </w:p>
          <w:p w14:paraId="AAC8C508">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分值</w:t>
            </w:r>
          </w:p>
        </w:tc>
        <w:tc>
          <w:tcPr>
            <w:tcW w:w="2631" w:type="dxa"/>
            <w:vAlign w:val="center"/>
          </w:tcPr>
          <w:p w14:paraId="3EADEBC8">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作业要求</w:t>
            </w:r>
          </w:p>
        </w:tc>
        <w:tc>
          <w:tcPr>
            <w:tcW w:w="2435" w:type="dxa"/>
            <w:vAlign w:val="center"/>
          </w:tcPr>
          <w:p w14:paraId="2D66FB49">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zh-CN"/>
              </w:rPr>
              <w:t>考</w:t>
            </w:r>
            <w:r>
              <w:rPr>
                <w:rFonts w:hint="eastAsia" w:ascii="宋体" w:hAnsi="Arial" w:eastAsia="Arial" w:cs="宋体"/>
                <w:snapToGrid w:val="0"/>
                <w:color w:val="000000"/>
                <w:kern w:val="0"/>
                <w:szCs w:val="21"/>
                <w:lang w:val="en-US" w:eastAsia="zh-CN"/>
              </w:rPr>
              <w:t>核</w:t>
            </w:r>
            <w:r>
              <w:rPr>
                <w:rFonts w:hint="eastAsia" w:ascii="宋体" w:hAnsi="Arial" w:eastAsia="Arial" w:cs="宋体"/>
                <w:snapToGrid w:val="0"/>
                <w:color w:val="000000"/>
                <w:kern w:val="0"/>
                <w:szCs w:val="21"/>
                <w:lang w:eastAsia="en-US"/>
              </w:rPr>
              <w:t>细则</w:t>
            </w:r>
          </w:p>
        </w:tc>
        <w:tc>
          <w:tcPr>
            <w:tcW w:w="675" w:type="dxa"/>
            <w:vAlign w:val="center"/>
          </w:tcPr>
          <w:p w14:paraId="97DD03AE">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扣分依据</w:t>
            </w:r>
          </w:p>
        </w:tc>
        <w:tc>
          <w:tcPr>
            <w:tcW w:w="645" w:type="dxa"/>
            <w:vAlign w:val="center"/>
          </w:tcPr>
          <w:p w14:paraId="E1E2B790">
            <w:pPr>
              <w:widowControl/>
              <w:kinsoku w:val="0"/>
              <w:autoSpaceDE w:val="0"/>
              <w:autoSpaceDN w:val="0"/>
              <w:adjustRightInd w:val="0"/>
              <w:snapToGrid w:val="0"/>
              <w:jc w:val="center"/>
              <w:textAlignment w:val="baseline"/>
              <w:rPr>
                <w:rFonts w:hint="eastAsia" w:ascii="宋体" w:hAnsi="Arial" w:eastAsia="宋体" w:cs="宋体"/>
                <w:snapToGrid w:val="0"/>
                <w:color w:val="000000"/>
                <w:kern w:val="0"/>
                <w:szCs w:val="21"/>
                <w:lang w:eastAsia="zh-CN"/>
              </w:rPr>
            </w:pPr>
            <w:r>
              <w:rPr>
                <w:rFonts w:hint="eastAsia" w:ascii="宋体" w:hAnsi="Arial" w:eastAsia="Arial" w:cs="宋体"/>
                <w:snapToGrid w:val="0"/>
                <w:color w:val="000000"/>
                <w:kern w:val="0"/>
                <w:szCs w:val="21"/>
                <w:lang w:eastAsia="zh-CN"/>
              </w:rPr>
              <w:t>区级得分</w:t>
            </w:r>
          </w:p>
        </w:tc>
        <w:tc>
          <w:tcPr>
            <w:tcW w:w="642" w:type="dxa"/>
            <w:vAlign w:val="center"/>
          </w:tcPr>
          <w:p w14:paraId="3846E726">
            <w:pPr>
              <w:widowControl/>
              <w:kinsoku w:val="0"/>
              <w:autoSpaceDE w:val="0"/>
              <w:autoSpaceDN w:val="0"/>
              <w:adjustRightInd w:val="0"/>
              <w:snapToGrid w:val="0"/>
              <w:jc w:val="center"/>
              <w:textAlignment w:val="baseline"/>
              <w:rPr>
                <w:rFonts w:hint="eastAsia" w:ascii="宋体" w:hAnsi="Arial" w:eastAsia="宋体" w:cs="宋体"/>
                <w:snapToGrid w:val="0"/>
                <w:color w:val="000000"/>
                <w:kern w:val="0"/>
                <w:szCs w:val="21"/>
                <w:lang w:eastAsia="zh-CN"/>
              </w:rPr>
            </w:pPr>
            <w:r>
              <w:rPr>
                <w:rFonts w:hint="eastAsia" w:ascii="宋体" w:hAnsi="Arial" w:eastAsia="Arial" w:cs="宋体"/>
                <w:snapToGrid w:val="0"/>
                <w:color w:val="000000"/>
                <w:kern w:val="0"/>
                <w:szCs w:val="21"/>
                <w:lang w:eastAsia="zh-CN"/>
              </w:rPr>
              <w:t>乡办得分</w:t>
            </w:r>
          </w:p>
        </w:tc>
        <w:tc>
          <w:tcPr>
            <w:tcW w:w="681" w:type="dxa"/>
            <w:vAlign w:val="center"/>
          </w:tcPr>
          <w:p w14:paraId="BD48FAD0">
            <w:pPr>
              <w:widowControl/>
              <w:kinsoku w:val="0"/>
              <w:autoSpaceDE w:val="0"/>
              <w:autoSpaceDN w:val="0"/>
              <w:adjustRightInd w:val="0"/>
              <w:snapToGrid w:val="0"/>
              <w:jc w:val="center"/>
              <w:textAlignment w:val="baseline"/>
              <w:rPr>
                <w:rFonts w:ascii="宋体" w:hAnsi="Arial" w:eastAsia="Arial" w:cs="Times New Roman"/>
                <w:snapToGrid w:val="0"/>
                <w:color w:val="000000"/>
                <w:kern w:val="0"/>
                <w:szCs w:val="21"/>
                <w:lang w:eastAsia="en-US"/>
              </w:rPr>
            </w:pPr>
            <w:r>
              <w:rPr>
                <w:rFonts w:hint="eastAsia" w:ascii="宋体" w:hAnsi="Arial" w:eastAsia="Arial" w:cs="宋体"/>
                <w:snapToGrid w:val="0"/>
                <w:color w:val="000000"/>
                <w:kern w:val="0"/>
                <w:szCs w:val="21"/>
                <w:lang w:eastAsia="en-US"/>
              </w:rPr>
              <w:t>合计得分</w:t>
            </w:r>
          </w:p>
        </w:tc>
      </w:tr>
      <w:tr w14:paraId="5439B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atLeast"/>
          <w:jc w:val="center"/>
        </w:trPr>
        <w:tc>
          <w:tcPr>
            <w:tcW w:w="987" w:type="dxa"/>
            <w:vMerge w:val="restart"/>
            <w:vAlign w:val="center"/>
          </w:tcPr>
          <w:p w14:paraId="0EAF72F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设施设备配备管理情况</w:t>
            </w:r>
          </w:p>
          <w:p w14:paraId="3312F69F">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r>
              <w:rPr>
                <w:rFonts w:hint="eastAsia" w:ascii="仿宋" w:hAnsi="仿宋" w:eastAsia="仿宋" w:cs="仿宋"/>
                <w:snapToGrid w:val="0"/>
                <w:color w:val="000000"/>
                <w:kern w:val="0"/>
                <w:szCs w:val="21"/>
                <w:lang w:eastAsia="zh-CN"/>
              </w:rPr>
              <w:t>（</w:t>
            </w:r>
            <w:r>
              <w:rPr>
                <w:rFonts w:ascii="仿宋" w:hAnsi="仿宋" w:eastAsia="仿宋" w:cs="仿宋"/>
                <w:snapToGrid w:val="0"/>
                <w:color w:val="000000"/>
                <w:kern w:val="0"/>
                <w:szCs w:val="21"/>
                <w:lang w:eastAsia="en-US"/>
              </w:rPr>
              <w:t>10</w:t>
            </w:r>
            <w:r>
              <w:rPr>
                <w:rFonts w:hint="eastAsia" w:ascii="仿宋" w:hAnsi="仿宋" w:eastAsia="仿宋" w:cs="仿宋"/>
                <w:snapToGrid w:val="0"/>
                <w:color w:val="000000"/>
                <w:kern w:val="0"/>
                <w:szCs w:val="21"/>
                <w:lang w:eastAsia="en-US"/>
              </w:rPr>
              <w:t>分</w:t>
            </w:r>
            <w:r>
              <w:rPr>
                <w:rFonts w:ascii="仿宋" w:hAnsi="仿宋" w:eastAsia="仿宋" w:cs="仿宋"/>
                <w:snapToGrid w:val="0"/>
                <w:color w:val="000000"/>
                <w:kern w:val="0"/>
                <w:szCs w:val="21"/>
                <w:lang w:eastAsia="en-US"/>
              </w:rPr>
              <w:t>)</w:t>
            </w:r>
          </w:p>
        </w:tc>
        <w:tc>
          <w:tcPr>
            <w:tcW w:w="611" w:type="dxa"/>
            <w:vAlign w:val="center"/>
          </w:tcPr>
          <w:p w14:paraId="23BD46BE">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r>
              <w:rPr>
                <w:rFonts w:ascii="仿宋" w:hAnsi="仿宋" w:eastAsia="仿宋" w:cs="仿宋"/>
                <w:snapToGrid w:val="0"/>
                <w:color w:val="000000"/>
                <w:kern w:val="0"/>
                <w:szCs w:val="21"/>
                <w:lang w:eastAsia="en-US"/>
              </w:rPr>
              <w:t>4</w:t>
            </w:r>
          </w:p>
        </w:tc>
        <w:tc>
          <w:tcPr>
            <w:tcW w:w="2631" w:type="dxa"/>
            <w:vAlign w:val="center"/>
          </w:tcPr>
          <w:p w14:paraId="295519F4">
            <w:pPr>
              <w:widowControl/>
              <w:kinsoku w:val="0"/>
              <w:autoSpaceDE w:val="0"/>
              <w:autoSpaceDN w:val="0"/>
              <w:adjustRightInd w:val="0"/>
              <w:snapToGrid w:val="0"/>
              <w:jc w:val="left"/>
              <w:textAlignment w:val="baseline"/>
              <w:rPr>
                <w:rFonts w:ascii="宋体" w:hAnsi="Arial" w:eastAsia="仿宋" w:cs="Times New Roman"/>
                <w:snapToGrid w:val="0"/>
                <w:color w:val="000000"/>
                <w:kern w:val="0"/>
                <w:sz w:val="24"/>
                <w:szCs w:val="24"/>
                <w:lang w:eastAsia="en-US"/>
              </w:rPr>
            </w:pPr>
            <w:r>
              <w:rPr>
                <w:rFonts w:hint="eastAsia" w:ascii="仿宋" w:hAnsi="仿宋" w:eastAsia="仿宋" w:cs="仿宋"/>
                <w:snapToGrid w:val="0"/>
                <w:color w:val="000000"/>
                <w:kern w:val="0"/>
                <w:szCs w:val="21"/>
                <w:lang w:eastAsia="en-US"/>
              </w:rPr>
              <w:t>按要求足额配备作业车辆、垃圾桶（箱）、户分类垃圾桶等；按时购买车辆相关保险；设施设备及时保养、维修和更新。</w:t>
            </w:r>
          </w:p>
        </w:tc>
        <w:tc>
          <w:tcPr>
            <w:tcW w:w="2435" w:type="dxa"/>
            <w:vAlign w:val="center"/>
          </w:tcPr>
          <w:p w14:paraId="168D2382">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E04932AA">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CB4E7C59">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56B335AA">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B709F3CA">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38691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987" w:type="dxa"/>
            <w:vMerge w:val="continue"/>
            <w:vAlign w:val="center"/>
          </w:tcPr>
          <w:p w14:paraId="B6B26B7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E4F5A2B5">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2.5</w:t>
            </w:r>
          </w:p>
        </w:tc>
        <w:tc>
          <w:tcPr>
            <w:tcW w:w="2631" w:type="dxa"/>
            <w:vAlign w:val="center"/>
          </w:tcPr>
          <w:p w14:paraId="AAF7FD33">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桶（箱）体摆放合理，无明显破损、污渍以及“小广告”。</w:t>
            </w:r>
          </w:p>
        </w:tc>
        <w:tc>
          <w:tcPr>
            <w:tcW w:w="2435" w:type="dxa"/>
            <w:vAlign w:val="center"/>
          </w:tcPr>
          <w:p w14:paraId="1FEB47AE">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A85D728E">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981215C1">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9EFA2827">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6B5FCDD8">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0CC8B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8" w:hRule="atLeast"/>
          <w:jc w:val="center"/>
        </w:trPr>
        <w:tc>
          <w:tcPr>
            <w:tcW w:w="987" w:type="dxa"/>
            <w:vMerge w:val="continue"/>
            <w:vAlign w:val="center"/>
          </w:tcPr>
          <w:p w14:paraId="3E459AA3">
            <w:pPr>
              <w:widowControl/>
              <w:kinsoku w:val="0"/>
              <w:autoSpaceDE w:val="0"/>
              <w:autoSpaceDN w:val="0"/>
              <w:adjustRightInd w:val="0"/>
              <w:snapToGrid w:val="0"/>
              <w:jc w:val="left"/>
              <w:textAlignment w:val="baseline"/>
              <w:rPr>
                <w:rFonts w:ascii="宋体" w:hAnsi="Arial" w:eastAsia="Arial" w:cs="Times New Roman"/>
                <w:snapToGrid w:val="0"/>
                <w:color w:val="000000"/>
                <w:kern w:val="0"/>
                <w:sz w:val="24"/>
                <w:szCs w:val="24"/>
                <w:lang w:eastAsia="en-US"/>
              </w:rPr>
            </w:pPr>
          </w:p>
        </w:tc>
        <w:tc>
          <w:tcPr>
            <w:tcW w:w="611" w:type="dxa"/>
            <w:vAlign w:val="center"/>
          </w:tcPr>
          <w:p w14:paraId="034A2548">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1</w:t>
            </w:r>
          </w:p>
        </w:tc>
        <w:tc>
          <w:tcPr>
            <w:tcW w:w="2631" w:type="dxa"/>
            <w:vAlign w:val="center"/>
          </w:tcPr>
          <w:p w14:paraId="55B322C3">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车辆密闭，车身清洁，有安全警示标识；并在规定地点卸载垃圾、排放污水；垃圾转运途中无滴漏、抛洒。</w:t>
            </w:r>
          </w:p>
        </w:tc>
        <w:tc>
          <w:tcPr>
            <w:tcW w:w="2435" w:type="dxa"/>
            <w:vAlign w:val="center"/>
          </w:tcPr>
          <w:p w14:paraId="9C162035">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0E9C66EE">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1D40C931">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3D6B3F3D">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94DA65DC">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DE1DD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6" w:hRule="atLeast"/>
          <w:jc w:val="center"/>
        </w:trPr>
        <w:tc>
          <w:tcPr>
            <w:tcW w:w="987" w:type="dxa"/>
            <w:vMerge w:val="continue"/>
            <w:vAlign w:val="center"/>
          </w:tcPr>
          <w:p w14:paraId="C940BA47">
            <w:pPr>
              <w:widowControl/>
              <w:kinsoku w:val="0"/>
              <w:autoSpaceDE w:val="0"/>
              <w:autoSpaceDN w:val="0"/>
              <w:adjustRightInd w:val="0"/>
              <w:snapToGrid w:val="0"/>
              <w:jc w:val="left"/>
              <w:textAlignment w:val="baseline"/>
              <w:rPr>
                <w:rFonts w:ascii="宋体" w:hAnsi="Arial" w:eastAsia="Arial" w:cs="Times New Roman"/>
                <w:snapToGrid w:val="0"/>
                <w:color w:val="000000"/>
                <w:kern w:val="0"/>
                <w:sz w:val="24"/>
                <w:szCs w:val="24"/>
                <w:lang w:eastAsia="en-US"/>
              </w:rPr>
            </w:pPr>
          </w:p>
        </w:tc>
        <w:tc>
          <w:tcPr>
            <w:tcW w:w="611" w:type="dxa"/>
            <w:vAlign w:val="center"/>
          </w:tcPr>
          <w:p w14:paraId="4DE212A6">
            <w:pPr>
              <w:widowControl/>
              <w:kinsoku w:val="0"/>
              <w:autoSpaceDE w:val="0"/>
              <w:autoSpaceDN w:val="0"/>
              <w:adjustRightInd w:val="0"/>
              <w:snapToGrid w:val="0"/>
              <w:jc w:val="center"/>
              <w:textAlignment w:val="baseline"/>
              <w:rPr>
                <w:rFonts w:hint="eastAsia" w:ascii="宋体" w:hAnsi="Arial" w:eastAsia="宋体" w:cs="Times New Roman"/>
                <w:snapToGrid w:val="0"/>
                <w:color w:val="000000"/>
                <w:kern w:val="0"/>
                <w:sz w:val="24"/>
                <w:szCs w:val="24"/>
                <w:lang w:val="en-US" w:eastAsia="zh-CN"/>
              </w:rPr>
            </w:pPr>
            <w:r>
              <w:rPr>
                <w:rFonts w:hint="eastAsia" w:ascii="仿宋" w:hAnsi="仿宋" w:eastAsia="仿宋" w:cs="仿宋"/>
                <w:snapToGrid w:val="0"/>
                <w:color w:val="000000"/>
                <w:kern w:val="0"/>
                <w:szCs w:val="21"/>
                <w:lang w:val="en-US" w:eastAsia="zh-CN"/>
              </w:rPr>
              <w:t>2.5</w:t>
            </w:r>
          </w:p>
        </w:tc>
        <w:tc>
          <w:tcPr>
            <w:tcW w:w="2631" w:type="dxa"/>
            <w:vAlign w:val="center"/>
          </w:tcPr>
          <w:p w14:paraId="D68F3BAD">
            <w:pPr>
              <w:widowControl/>
              <w:kinsoku w:val="0"/>
              <w:autoSpaceDE w:val="0"/>
              <w:autoSpaceDN w:val="0"/>
              <w:adjustRightInd w:val="0"/>
              <w:snapToGrid w:val="0"/>
              <w:jc w:val="left"/>
              <w:textAlignment w:val="baseline"/>
              <w:rPr>
                <w:rFonts w:ascii="宋体" w:hAnsi="Arial" w:eastAsia="仿宋" w:cs="Times New Roman"/>
                <w:snapToGrid w:val="0"/>
                <w:color w:val="000000"/>
                <w:kern w:val="0"/>
                <w:szCs w:val="21"/>
                <w:lang w:eastAsia="en-US"/>
              </w:rPr>
            </w:pPr>
            <w:r>
              <w:rPr>
                <w:rFonts w:hint="eastAsia" w:ascii="宋体" w:hAnsi="Arial" w:eastAsia="仿宋" w:cs="Times New Roman"/>
                <w:snapToGrid w:val="0"/>
                <w:color w:val="000000"/>
                <w:kern w:val="0"/>
                <w:szCs w:val="21"/>
                <w:lang w:eastAsia="en-US"/>
              </w:rPr>
              <w:t>垃圾压缩站清洁，无异味溢出，污水不乱流；有安全和环保标识；机械及时保养维护。</w:t>
            </w:r>
          </w:p>
        </w:tc>
        <w:tc>
          <w:tcPr>
            <w:tcW w:w="2435" w:type="dxa"/>
            <w:vAlign w:val="center"/>
          </w:tcPr>
          <w:p w14:paraId="66C8ECB9">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FCE8AA08">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0EF01190">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4E0FF811">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3032B0AE">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A0A18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0" w:hRule="atLeast"/>
          <w:jc w:val="center"/>
        </w:trPr>
        <w:tc>
          <w:tcPr>
            <w:tcW w:w="987" w:type="dxa"/>
            <w:vMerge w:val="restart"/>
            <w:vAlign w:val="center"/>
          </w:tcPr>
          <w:p w14:paraId="A6E2B57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作业人员配备管理情况</w:t>
            </w:r>
          </w:p>
          <w:p w14:paraId="F5E9886E">
            <w:pPr>
              <w:widowControl/>
              <w:kinsoku w:val="0"/>
              <w:autoSpaceDE w:val="0"/>
              <w:autoSpaceDN w:val="0"/>
              <w:adjustRightInd w:val="0"/>
              <w:snapToGrid w:val="0"/>
              <w:jc w:val="left"/>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zh-CN"/>
              </w:rPr>
              <w:t>（</w:t>
            </w:r>
            <w:r>
              <w:rPr>
                <w:rFonts w:ascii="仿宋" w:hAnsi="仿宋" w:eastAsia="仿宋" w:cs="仿宋"/>
                <w:snapToGrid w:val="0"/>
                <w:color w:val="000000"/>
                <w:kern w:val="0"/>
                <w:szCs w:val="21"/>
                <w:lang w:eastAsia="en-US"/>
              </w:rPr>
              <w:t>10</w:t>
            </w:r>
            <w:r>
              <w:rPr>
                <w:rFonts w:hint="eastAsia" w:ascii="仿宋" w:hAnsi="仿宋" w:eastAsia="仿宋" w:cs="仿宋"/>
                <w:snapToGrid w:val="0"/>
                <w:color w:val="000000"/>
                <w:kern w:val="0"/>
                <w:szCs w:val="21"/>
                <w:lang w:eastAsia="en-US"/>
              </w:rPr>
              <w:t>分</w:t>
            </w:r>
            <w:r>
              <w:rPr>
                <w:rFonts w:ascii="仿宋" w:hAnsi="仿宋" w:eastAsia="仿宋" w:cs="仿宋"/>
                <w:snapToGrid w:val="0"/>
                <w:color w:val="000000"/>
                <w:kern w:val="0"/>
                <w:szCs w:val="21"/>
                <w:lang w:eastAsia="en-US"/>
              </w:rPr>
              <w:t>)</w:t>
            </w:r>
          </w:p>
        </w:tc>
        <w:tc>
          <w:tcPr>
            <w:tcW w:w="611" w:type="dxa"/>
            <w:vAlign w:val="center"/>
          </w:tcPr>
          <w:p w14:paraId="DC4CA4B1">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4</w:t>
            </w:r>
          </w:p>
        </w:tc>
        <w:tc>
          <w:tcPr>
            <w:tcW w:w="2631" w:type="dxa"/>
            <w:vAlign w:val="center"/>
          </w:tcPr>
          <w:p w14:paraId="753DF601">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按</w:t>
            </w:r>
            <w:r>
              <w:rPr>
                <w:rFonts w:hint="eastAsia" w:ascii="仿宋" w:hAnsi="仿宋" w:eastAsia="仿宋" w:cs="仿宋"/>
                <w:snapToGrid w:val="0"/>
                <w:color w:val="000000"/>
                <w:kern w:val="0"/>
                <w:szCs w:val="21"/>
                <w:lang w:val="en-US" w:eastAsia="zh-CN"/>
              </w:rPr>
              <w:t>5</w:t>
            </w:r>
            <w:r>
              <w:rPr>
                <w:rFonts w:hint="eastAsia" w:ascii="仿宋" w:hAnsi="仿宋" w:eastAsia="仿宋" w:cs="仿宋"/>
                <w:snapToGrid w:val="0"/>
                <w:color w:val="000000"/>
                <w:kern w:val="0"/>
                <w:szCs w:val="21"/>
                <w:lang w:eastAsia="en-US"/>
              </w:rPr>
              <w:t>‰足额配备作业人员，及时补充离岗空缺，签订合同规范用工；每月组织开展一次业务安全知识教育；做好劳资或安全事件纠纷防控。</w:t>
            </w:r>
          </w:p>
        </w:tc>
        <w:tc>
          <w:tcPr>
            <w:tcW w:w="2435" w:type="dxa"/>
            <w:vAlign w:val="center"/>
          </w:tcPr>
          <w:p w14:paraId="5EC925DD">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分，未及时处置造成不良影响的扣</w:t>
            </w:r>
            <w:r>
              <w:rPr>
                <w:rFonts w:ascii="仿宋" w:hAnsi="仿宋" w:eastAsia="仿宋" w:cs="仿宋"/>
                <w:snapToGrid w:val="0"/>
                <w:color w:val="000000"/>
                <w:kern w:val="0"/>
                <w:szCs w:val="21"/>
                <w:lang w:eastAsia="en-US"/>
              </w:rPr>
              <w:t>2</w:t>
            </w:r>
            <w:r>
              <w:rPr>
                <w:rFonts w:hint="eastAsia" w:ascii="仿宋" w:hAnsi="仿宋" w:eastAsia="仿宋" w:cs="仿宋"/>
                <w:snapToGrid w:val="0"/>
                <w:color w:val="000000"/>
                <w:kern w:val="0"/>
                <w:szCs w:val="21"/>
                <w:lang w:eastAsia="en-US"/>
              </w:rPr>
              <w:t>分。扣完为止。</w:t>
            </w:r>
          </w:p>
        </w:tc>
        <w:tc>
          <w:tcPr>
            <w:tcW w:w="675" w:type="dxa"/>
            <w:vAlign w:val="center"/>
          </w:tcPr>
          <w:p w14:paraId="F160F3BF">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625CA5FC">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E91C98D2">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9873AF84">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3F43E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1" w:hRule="atLeast"/>
          <w:jc w:val="center"/>
        </w:trPr>
        <w:tc>
          <w:tcPr>
            <w:tcW w:w="987" w:type="dxa"/>
            <w:vMerge w:val="continue"/>
            <w:vAlign w:val="center"/>
          </w:tcPr>
          <w:p w14:paraId="AEA96C6C">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7ACBD5EF">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2</w:t>
            </w:r>
          </w:p>
        </w:tc>
        <w:tc>
          <w:tcPr>
            <w:tcW w:w="2631" w:type="dxa"/>
            <w:vAlign w:val="center"/>
          </w:tcPr>
          <w:p w14:paraId="C7BDA6F8">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按时支付作业人员工资及福利；按时为作业人员购买相关保险。</w:t>
            </w:r>
          </w:p>
        </w:tc>
        <w:tc>
          <w:tcPr>
            <w:tcW w:w="2435" w:type="dxa"/>
            <w:vAlign w:val="center"/>
          </w:tcPr>
          <w:p w14:paraId="A860BA9E">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877F567F">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A69618A3">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5DF84AD8">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CC405BEF">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9A96E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jc w:val="center"/>
        </w:trPr>
        <w:tc>
          <w:tcPr>
            <w:tcW w:w="987" w:type="dxa"/>
            <w:vMerge w:val="continue"/>
            <w:vAlign w:val="center"/>
          </w:tcPr>
          <w:p w14:paraId="890FACEB">
            <w:pPr>
              <w:widowControl/>
              <w:kinsoku w:val="0"/>
              <w:autoSpaceDE w:val="0"/>
              <w:autoSpaceDN w:val="0"/>
              <w:adjustRightInd w:val="0"/>
              <w:snapToGrid w:val="0"/>
              <w:jc w:val="left"/>
              <w:textAlignment w:val="baseline"/>
              <w:rPr>
                <w:rFonts w:ascii="宋体" w:hAnsi="Arial" w:eastAsia="Arial" w:cs="Times New Roman"/>
                <w:snapToGrid w:val="0"/>
                <w:color w:val="000000"/>
                <w:kern w:val="0"/>
                <w:sz w:val="24"/>
                <w:szCs w:val="24"/>
                <w:lang w:eastAsia="en-US"/>
              </w:rPr>
            </w:pPr>
          </w:p>
        </w:tc>
        <w:tc>
          <w:tcPr>
            <w:tcW w:w="611" w:type="dxa"/>
            <w:vAlign w:val="center"/>
          </w:tcPr>
          <w:p w14:paraId="6093D285">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4</w:t>
            </w:r>
          </w:p>
        </w:tc>
        <w:tc>
          <w:tcPr>
            <w:tcW w:w="2631" w:type="dxa"/>
            <w:vAlign w:val="center"/>
          </w:tcPr>
          <w:p w14:paraId="540BD15D">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作业人员（含垃圾车驾驶员）穿环卫标志（警示）作业服，作业期间严禁缺岗、离岗、串岗、聊天，实行定岗、定人、定点作业。</w:t>
            </w:r>
          </w:p>
        </w:tc>
        <w:tc>
          <w:tcPr>
            <w:tcW w:w="2435" w:type="dxa"/>
            <w:vAlign w:val="center"/>
          </w:tcPr>
          <w:p w14:paraId="AF6B4BEC">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71EE5BC7">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5" w:type="dxa"/>
            <w:vAlign w:val="center"/>
          </w:tcPr>
          <w:p w14:paraId="EC8358BC">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42" w:type="dxa"/>
            <w:vAlign w:val="center"/>
          </w:tcPr>
          <w:p w14:paraId="6BBE5A11">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c>
          <w:tcPr>
            <w:tcW w:w="681" w:type="dxa"/>
            <w:vAlign w:val="center"/>
          </w:tcPr>
          <w:p w14:paraId="861C383D">
            <w:pPr>
              <w:widowControl/>
              <w:kinsoku w:val="0"/>
              <w:autoSpaceDE w:val="0"/>
              <w:autoSpaceDN w:val="0"/>
              <w:adjustRightInd w:val="0"/>
              <w:snapToGrid w:val="0"/>
              <w:jc w:val="center"/>
              <w:textAlignment w:val="baseline"/>
              <w:rPr>
                <w:rFonts w:ascii="宋体" w:hAnsi="Arial" w:eastAsia="Arial" w:cs="Times New Roman"/>
                <w:snapToGrid w:val="0"/>
                <w:color w:val="000000"/>
                <w:kern w:val="0"/>
                <w:sz w:val="24"/>
                <w:szCs w:val="24"/>
                <w:lang w:eastAsia="en-US"/>
              </w:rPr>
            </w:pPr>
          </w:p>
        </w:tc>
      </w:tr>
      <w:tr w14:paraId="13D6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987" w:type="dxa"/>
            <w:vMerge w:val="restart"/>
            <w:vAlign w:val="center"/>
          </w:tcPr>
          <w:p w14:paraId="23FEFCA6">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保洁清洗清运情况</w:t>
            </w:r>
          </w:p>
          <w:p w14:paraId="A5D56B18">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zh-CN"/>
              </w:rPr>
              <w:t>（</w:t>
            </w:r>
            <w:r>
              <w:rPr>
                <w:rFonts w:hint="eastAsia" w:ascii="仿宋" w:hAnsi="仿宋" w:eastAsia="仿宋" w:cs="仿宋"/>
                <w:snapToGrid w:val="0"/>
                <w:color w:val="000000"/>
                <w:kern w:val="0"/>
                <w:szCs w:val="21"/>
                <w:lang w:eastAsia="en-US"/>
              </w:rPr>
              <w:t>50分</w:t>
            </w:r>
            <w:r>
              <w:rPr>
                <w:rFonts w:ascii="仿宋" w:hAnsi="仿宋" w:eastAsia="仿宋" w:cs="仿宋"/>
                <w:snapToGrid w:val="0"/>
                <w:color w:val="000000"/>
                <w:kern w:val="0"/>
                <w:szCs w:val="21"/>
                <w:lang w:eastAsia="en-US"/>
              </w:rPr>
              <w:t>)</w:t>
            </w:r>
          </w:p>
        </w:tc>
        <w:tc>
          <w:tcPr>
            <w:tcW w:w="611" w:type="dxa"/>
            <w:vAlign w:val="center"/>
          </w:tcPr>
          <w:p w14:paraId="3AE09399">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2</w:t>
            </w:r>
          </w:p>
        </w:tc>
        <w:tc>
          <w:tcPr>
            <w:tcW w:w="2631" w:type="dxa"/>
            <w:vAlign w:val="center"/>
          </w:tcPr>
          <w:p w14:paraId="D5B0E2CF">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普扫：早8</w:t>
            </w:r>
            <w:r>
              <w:rPr>
                <w:rFonts w:ascii="仿宋" w:hAnsi="仿宋" w:eastAsia="仿宋" w:cs="仿宋"/>
                <w:snapToGrid w:val="0"/>
                <w:color w:val="000000"/>
                <w:kern w:val="0"/>
                <w:szCs w:val="21"/>
                <w:lang w:eastAsia="en-US"/>
              </w:rPr>
              <w:t>:00</w:t>
            </w:r>
            <w:r>
              <w:rPr>
                <w:rFonts w:hint="eastAsia" w:ascii="仿宋" w:hAnsi="仿宋" w:eastAsia="仿宋" w:cs="仿宋"/>
                <w:snapToGrid w:val="0"/>
                <w:color w:val="000000"/>
                <w:kern w:val="0"/>
                <w:szCs w:val="21"/>
                <w:lang w:eastAsia="en-US"/>
              </w:rPr>
              <w:t>前普扫结束。</w:t>
            </w:r>
          </w:p>
          <w:p w14:paraId="2B53DF12">
            <w:pPr>
              <w:kinsoku w:val="0"/>
              <w:autoSpaceDE w:val="0"/>
              <w:autoSpaceDN w:val="0"/>
              <w:adjustRightInd w:val="0"/>
              <w:snapToGrid w:val="0"/>
              <w:ind w:left="0" w:leftChars="0" w:firstLine="0" w:firstLineChars="0"/>
              <w:textAlignment w:val="baseline"/>
              <w:rPr>
                <w:rFonts w:hint="default" w:ascii="仿宋" w:hAnsi="仿宋" w:eastAsia="仿宋" w:cs="仿宋"/>
                <w:snapToGrid w:val="0"/>
                <w:color w:val="000000"/>
                <w:sz w:val="30"/>
                <w:szCs w:val="30"/>
                <w:lang w:val="en-US" w:eastAsia="zh-CN" w:bidi="ar-SA"/>
              </w:rPr>
            </w:pPr>
            <w:r>
              <w:rPr>
                <w:rFonts w:hint="eastAsia" w:ascii="仿宋" w:hAnsi="仿宋" w:eastAsia="仿宋" w:cs="仿宋"/>
                <w:snapToGrid w:val="0"/>
                <w:color w:val="000000"/>
                <w:kern w:val="0"/>
                <w:sz w:val="21"/>
                <w:szCs w:val="24"/>
                <w:lang w:val="en-US" w:eastAsia="zh-CN" w:bidi="ar-SA"/>
              </w:rPr>
              <w:t>机扫：每日两次大清扫。</w:t>
            </w:r>
          </w:p>
        </w:tc>
        <w:tc>
          <w:tcPr>
            <w:tcW w:w="2435" w:type="dxa"/>
            <w:vAlign w:val="center"/>
          </w:tcPr>
          <w:p w14:paraId="35509115">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未在规定时间内完成普扫</w:t>
            </w:r>
            <w:r>
              <w:rPr>
                <w:rFonts w:hint="eastAsia" w:ascii="仿宋" w:hAnsi="仿宋" w:eastAsia="仿宋" w:cs="仿宋"/>
                <w:snapToGrid w:val="0"/>
                <w:color w:val="000000"/>
                <w:kern w:val="0"/>
                <w:szCs w:val="21"/>
                <w:lang w:val="en-US" w:eastAsia="zh-CN"/>
              </w:rPr>
              <w:t>和机扫。</w:t>
            </w:r>
            <w:r>
              <w:rPr>
                <w:rFonts w:hint="eastAsia" w:ascii="仿宋" w:hAnsi="仿宋" w:eastAsia="仿宋" w:cs="仿宋"/>
                <w:snapToGrid w:val="0"/>
                <w:color w:val="000000"/>
                <w:kern w:val="0"/>
                <w:szCs w:val="21"/>
                <w:lang w:eastAsia="en-US"/>
              </w:rPr>
              <w:t>每发</w:t>
            </w:r>
            <w:r>
              <w:rPr>
                <w:rFonts w:hint="eastAsia" w:ascii="仿宋" w:hAnsi="仿宋" w:eastAsia="仿宋" w:cs="仿宋"/>
                <w:snapToGrid w:val="0"/>
                <w:color w:val="000000"/>
                <w:kern w:val="0"/>
                <w:szCs w:val="21"/>
                <w:lang w:eastAsia="zh-CN"/>
              </w:rPr>
              <w:t>现一</w:t>
            </w:r>
            <w:r>
              <w:rPr>
                <w:rFonts w:hint="eastAsia" w:ascii="仿宋" w:hAnsi="仿宋" w:eastAsia="仿宋" w:cs="仿宋"/>
                <w:snapToGrid w:val="0"/>
                <w:color w:val="000000"/>
                <w:kern w:val="0"/>
                <w:szCs w:val="21"/>
                <w:lang w:eastAsia="en-US"/>
              </w:rPr>
              <w:t>次未到位现象扣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6C54DEEB">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E905069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258D5766">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2996A17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7E761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3" w:hRule="atLeast"/>
          <w:jc w:val="center"/>
        </w:trPr>
        <w:tc>
          <w:tcPr>
            <w:tcW w:w="987" w:type="dxa"/>
            <w:vMerge w:val="continue"/>
            <w:vAlign w:val="center"/>
          </w:tcPr>
          <w:p w14:paraId="CD32FFD1">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566EBC43">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10</w:t>
            </w:r>
          </w:p>
        </w:tc>
        <w:tc>
          <w:tcPr>
            <w:tcW w:w="2631" w:type="dxa"/>
            <w:vAlign w:val="center"/>
          </w:tcPr>
          <w:p w14:paraId="29B0AF08">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全</w:t>
            </w:r>
            <w:r>
              <w:rPr>
                <w:rFonts w:hint="eastAsia" w:ascii="仿宋" w:hAnsi="仿宋" w:eastAsia="仿宋" w:cs="仿宋"/>
                <w:snapToGrid w:val="0"/>
                <w:color w:val="000000"/>
                <w:kern w:val="0"/>
                <w:szCs w:val="21"/>
                <w:lang w:eastAsia="zh-CN"/>
              </w:rPr>
              <w:t>区</w:t>
            </w:r>
            <w:r>
              <w:rPr>
                <w:rFonts w:hint="eastAsia" w:ascii="仿宋" w:hAnsi="仿宋" w:eastAsia="仿宋" w:cs="仿宋"/>
                <w:snapToGrid w:val="0"/>
                <w:color w:val="000000"/>
                <w:kern w:val="0"/>
                <w:szCs w:val="21"/>
                <w:lang w:eastAsia="en-US"/>
              </w:rPr>
              <w:t>所有乙方保洁的职责范围内，无成堆白色垃圾、 建筑垃圾，</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平方米内无</w:t>
            </w:r>
            <w:r>
              <w:rPr>
                <w:rFonts w:hint="eastAsia" w:ascii="仿宋" w:hAnsi="仿宋" w:eastAsia="仿宋" w:cs="仿宋"/>
                <w:snapToGrid w:val="0"/>
                <w:color w:val="000000"/>
                <w:kern w:val="0"/>
                <w:szCs w:val="21"/>
                <w:lang w:eastAsia="zh-CN"/>
              </w:rPr>
              <w:t>两处</w:t>
            </w:r>
            <w:r>
              <w:rPr>
                <w:rFonts w:hint="eastAsia" w:ascii="仿宋" w:hAnsi="仿宋" w:eastAsia="仿宋" w:cs="仿宋"/>
                <w:snapToGrid w:val="0"/>
                <w:color w:val="000000"/>
                <w:kern w:val="0"/>
                <w:szCs w:val="21"/>
                <w:lang w:eastAsia="en-US"/>
              </w:rPr>
              <w:t>及以上的白色垃圾、漂浮物、废弃物、枯树枝等。</w:t>
            </w:r>
          </w:p>
        </w:tc>
        <w:tc>
          <w:tcPr>
            <w:tcW w:w="2435" w:type="dxa"/>
            <w:vAlign w:val="center"/>
          </w:tcPr>
          <w:p w14:paraId="788E39A6">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发现一处并在</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小时内整改到位的扣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分，超过</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小时未整改的扣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9AD2FA54">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85E0758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12CDC7C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07A7F38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EF0FA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987" w:type="dxa"/>
            <w:vMerge w:val="continue"/>
            <w:vAlign w:val="center"/>
          </w:tcPr>
          <w:p w14:paraId="739B120C">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FE81340C">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2</w:t>
            </w:r>
          </w:p>
        </w:tc>
        <w:tc>
          <w:tcPr>
            <w:tcW w:w="2631" w:type="dxa"/>
            <w:vAlign w:val="center"/>
          </w:tcPr>
          <w:p w14:paraId="D77EC020">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保洁：普扫结束后进行保洁，必须达到合同规定保洁时间。</w:t>
            </w:r>
          </w:p>
        </w:tc>
        <w:tc>
          <w:tcPr>
            <w:tcW w:w="2435" w:type="dxa"/>
            <w:vAlign w:val="center"/>
          </w:tcPr>
          <w:p w14:paraId="F809EE2E">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保洁时间不足每发现一次扣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BE93E537">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8F6F010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6D8F8B3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3143F4A7">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46011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987" w:type="dxa"/>
            <w:vMerge w:val="continue"/>
            <w:vAlign w:val="center"/>
          </w:tcPr>
          <w:p w14:paraId="61AFC218">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21BBAFEF">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6</w:t>
            </w:r>
          </w:p>
        </w:tc>
        <w:tc>
          <w:tcPr>
            <w:tcW w:w="2631" w:type="dxa"/>
            <w:vAlign w:val="center"/>
          </w:tcPr>
          <w:p w14:paraId="8692F3D0">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集镇公厕：无卫生死角、无白色垃圾和积存明显的污渍；空气清新，无臭味异味。</w:t>
            </w:r>
          </w:p>
        </w:tc>
        <w:tc>
          <w:tcPr>
            <w:tcW w:w="2435" w:type="dxa"/>
            <w:vAlign w:val="center"/>
          </w:tcPr>
          <w:p w14:paraId="2DD4B35A">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每发现一次未到位现象扣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BD580F0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C447804F">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0ABD99B8">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99C8FA8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7AE7B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4" w:hRule="atLeast"/>
          <w:jc w:val="center"/>
        </w:trPr>
        <w:tc>
          <w:tcPr>
            <w:tcW w:w="987" w:type="dxa"/>
            <w:vMerge w:val="continue"/>
            <w:vAlign w:val="center"/>
          </w:tcPr>
          <w:p w14:paraId="9C786ABA">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67634C9A">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8</w:t>
            </w:r>
          </w:p>
        </w:tc>
        <w:tc>
          <w:tcPr>
            <w:tcW w:w="2631" w:type="dxa"/>
            <w:vAlign w:val="center"/>
          </w:tcPr>
          <w:p w14:paraId="A0CE6241">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“牛皮癣”和广告横幅等：集镇区域内及主要公路两边可视范围内不能</w:t>
            </w:r>
            <w:r>
              <w:rPr>
                <w:rFonts w:hint="eastAsia" w:ascii="仿宋" w:hAnsi="仿宋" w:eastAsia="仿宋" w:cs="仿宋"/>
                <w:snapToGrid w:val="0"/>
                <w:color w:val="000000"/>
                <w:kern w:val="0"/>
                <w:szCs w:val="21"/>
                <w:lang w:eastAsia="zh-CN"/>
              </w:rPr>
              <w:t>存在</w:t>
            </w:r>
            <w:r>
              <w:rPr>
                <w:rFonts w:hint="eastAsia" w:ascii="仿宋" w:hAnsi="仿宋" w:eastAsia="仿宋" w:cs="仿宋"/>
                <w:snapToGrid w:val="0"/>
                <w:color w:val="000000"/>
                <w:kern w:val="0"/>
                <w:szCs w:val="21"/>
                <w:lang w:eastAsia="en-US"/>
              </w:rPr>
              <w:t>乱涂乱画、乱贴乱挂的“牛皮癣”、广告横幅、色条布等。</w:t>
            </w:r>
          </w:p>
        </w:tc>
        <w:tc>
          <w:tcPr>
            <w:tcW w:w="2435" w:type="dxa"/>
            <w:vAlign w:val="center"/>
          </w:tcPr>
          <w:p w14:paraId="17A7200A">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每发现一处并在</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小时内整改到位的扣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分，超过</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小时未整改的扣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7CDF7AA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442E7BB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277DB3A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FC232D8A">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B817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6" w:hRule="atLeast"/>
          <w:jc w:val="center"/>
        </w:trPr>
        <w:tc>
          <w:tcPr>
            <w:tcW w:w="987" w:type="dxa"/>
            <w:vMerge w:val="continue"/>
            <w:vAlign w:val="center"/>
          </w:tcPr>
          <w:p w14:paraId="2E0F02EA">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D5798B8B">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10</w:t>
            </w:r>
          </w:p>
        </w:tc>
        <w:tc>
          <w:tcPr>
            <w:tcW w:w="2631" w:type="dxa"/>
            <w:vAlign w:val="center"/>
          </w:tcPr>
          <w:p w14:paraId="7501A72B">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道路泥沙、扬尘：集镇和芦万武公路、311省道是否按规定时间每天冲洗两次；集镇和主次干道是否存在1平方米以上的扬尘或泥沙污染。</w:t>
            </w:r>
          </w:p>
        </w:tc>
        <w:tc>
          <w:tcPr>
            <w:tcW w:w="2435" w:type="dxa"/>
            <w:vAlign w:val="center"/>
          </w:tcPr>
          <w:p w14:paraId="A757A865">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每发现一次没按规定时间冲洗扣1分，每发现一处泥沙污染路面并在</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小时内整改到位的扣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分，超过</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小时未整改的扣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57E2E07D">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1EF8CF3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7290BDB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FA69EA1B">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1B44D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987" w:type="dxa"/>
            <w:vMerge w:val="continue"/>
            <w:vAlign w:val="center"/>
          </w:tcPr>
          <w:p w14:paraId="03E5FC79">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en-US"/>
              </w:rPr>
            </w:pPr>
          </w:p>
        </w:tc>
        <w:tc>
          <w:tcPr>
            <w:tcW w:w="611" w:type="dxa"/>
            <w:vAlign w:val="center"/>
          </w:tcPr>
          <w:p w14:paraId="8F8E6720">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2</w:t>
            </w:r>
          </w:p>
        </w:tc>
        <w:tc>
          <w:tcPr>
            <w:tcW w:w="2631" w:type="dxa"/>
            <w:vAlign w:val="center"/>
          </w:tcPr>
          <w:p w14:paraId="97A5FC3C">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牲畜粪便：牛羊马、鸡鸭鹅等牲畜粪便不能破坏道路和公共场所卫生。</w:t>
            </w:r>
          </w:p>
        </w:tc>
        <w:tc>
          <w:tcPr>
            <w:tcW w:w="2435" w:type="dxa"/>
            <w:vAlign w:val="center"/>
          </w:tcPr>
          <w:p w14:paraId="FC702343">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每发现一处牲畜粪便破坏卫生在</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小时内整改到位的扣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分，超过</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小时未整改的扣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045D24AD">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27A211E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67A2D3B6">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90419DB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E350E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987" w:type="dxa"/>
            <w:vMerge w:val="continue"/>
            <w:vAlign w:val="center"/>
          </w:tcPr>
          <w:p w14:paraId="BFB7EAF5">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5C23E4B1">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2</w:t>
            </w:r>
          </w:p>
        </w:tc>
        <w:tc>
          <w:tcPr>
            <w:tcW w:w="2631" w:type="dxa"/>
            <w:vAlign w:val="center"/>
          </w:tcPr>
          <w:p w14:paraId="3025A890">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垃圾车辆乱停乱放，违反交通规则行驶的。</w:t>
            </w:r>
          </w:p>
        </w:tc>
        <w:tc>
          <w:tcPr>
            <w:tcW w:w="2435" w:type="dxa"/>
            <w:vAlign w:val="center"/>
          </w:tcPr>
          <w:p w14:paraId="012201B8">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每发现一次扣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2AAAFAB8">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F1B452F6">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1C3A4399">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42EC3997">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E0331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7" w:hRule="atLeast"/>
          <w:jc w:val="center"/>
        </w:trPr>
        <w:tc>
          <w:tcPr>
            <w:tcW w:w="987" w:type="dxa"/>
            <w:vMerge w:val="continue"/>
            <w:vAlign w:val="center"/>
          </w:tcPr>
          <w:p w14:paraId="B038EAF8">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E2E16244">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8</w:t>
            </w:r>
          </w:p>
        </w:tc>
        <w:tc>
          <w:tcPr>
            <w:tcW w:w="2631" w:type="dxa"/>
            <w:vAlign w:val="center"/>
          </w:tcPr>
          <w:p w14:paraId="D5AD6F85">
            <w:pPr>
              <w:widowControl/>
              <w:kinsoku w:val="0"/>
              <w:autoSpaceDE w:val="0"/>
              <w:autoSpaceDN w:val="0"/>
              <w:adjustRightInd w:val="0"/>
              <w:snapToGrid w:val="0"/>
              <w:jc w:val="left"/>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清运：垃圾入桶（箱）及时清运，不发生溢满；严禁保洁人员焚烧垃圾杂物。</w:t>
            </w:r>
          </w:p>
        </w:tc>
        <w:tc>
          <w:tcPr>
            <w:tcW w:w="2435" w:type="dxa"/>
            <w:vAlign w:val="center"/>
          </w:tcPr>
          <w:p w14:paraId="DDFFB23B">
            <w:pPr>
              <w:widowControl/>
              <w:kinsoku w:val="0"/>
              <w:autoSpaceDE w:val="0"/>
              <w:autoSpaceDN w:val="0"/>
              <w:adjustRightInd w:val="0"/>
              <w:snapToGrid w:val="0"/>
              <w:jc w:val="left"/>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en-US"/>
              </w:rPr>
              <w:t>垃圾桶（箱）外溢发现一处并在</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小时内整改到位的扣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分，超过</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小时未整改的扣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分；发现一次保洁人员焚烧垃圾的扣</w:t>
            </w:r>
            <w:r>
              <w:rPr>
                <w:rFonts w:ascii="仿宋" w:hAnsi="仿宋" w:eastAsia="仿宋" w:cs="仿宋"/>
                <w:snapToGrid w:val="0"/>
                <w:color w:val="000000"/>
                <w:kern w:val="0"/>
                <w:szCs w:val="21"/>
                <w:lang w:eastAsia="en-US"/>
              </w:rPr>
              <w:t>1</w:t>
            </w:r>
            <w:r>
              <w:rPr>
                <w:rFonts w:hint="eastAsia" w:ascii="仿宋" w:hAnsi="仿宋" w:eastAsia="仿宋" w:cs="仿宋"/>
                <w:snapToGrid w:val="0"/>
                <w:color w:val="000000"/>
                <w:kern w:val="0"/>
                <w:szCs w:val="21"/>
                <w:lang w:eastAsia="en-US"/>
              </w:rPr>
              <w:t>分。扣完为止。</w:t>
            </w:r>
          </w:p>
        </w:tc>
        <w:tc>
          <w:tcPr>
            <w:tcW w:w="675" w:type="dxa"/>
            <w:vAlign w:val="center"/>
          </w:tcPr>
          <w:p w14:paraId="58E52909">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CF5BB94A">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B85E77C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365C5252">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D0F78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9" w:hRule="atLeast"/>
          <w:jc w:val="center"/>
        </w:trPr>
        <w:tc>
          <w:tcPr>
            <w:tcW w:w="987" w:type="dxa"/>
            <w:vMerge w:val="restart"/>
            <w:vAlign w:val="center"/>
          </w:tcPr>
          <w:p w14:paraId="BFB8C5FE">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机制建设监督管理</w:t>
            </w:r>
          </w:p>
          <w:p w14:paraId="8DC63D3B">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eastAsia="zh-CN"/>
              </w:rPr>
              <w:t>（</w:t>
            </w:r>
            <w:r>
              <w:rPr>
                <w:rFonts w:hint="eastAsia" w:ascii="仿宋" w:hAnsi="仿宋" w:eastAsia="仿宋" w:cs="仿宋"/>
                <w:snapToGrid w:val="0"/>
                <w:color w:val="000000"/>
                <w:kern w:val="0"/>
                <w:szCs w:val="21"/>
                <w:lang w:val="en-US" w:eastAsia="zh-CN"/>
              </w:rPr>
              <w:t>15</w:t>
            </w:r>
            <w:r>
              <w:rPr>
                <w:rFonts w:hint="eastAsia" w:ascii="仿宋" w:hAnsi="仿宋" w:eastAsia="仿宋" w:cs="仿宋"/>
                <w:snapToGrid w:val="0"/>
                <w:color w:val="000000"/>
                <w:kern w:val="0"/>
                <w:szCs w:val="21"/>
                <w:lang w:eastAsia="en-US"/>
              </w:rPr>
              <w:t>分</w:t>
            </w:r>
            <w:r>
              <w:rPr>
                <w:rFonts w:ascii="仿宋" w:hAnsi="仿宋" w:eastAsia="仿宋" w:cs="仿宋"/>
                <w:snapToGrid w:val="0"/>
                <w:color w:val="000000"/>
                <w:kern w:val="0"/>
                <w:szCs w:val="21"/>
                <w:lang w:eastAsia="en-US"/>
              </w:rPr>
              <w:t>)</w:t>
            </w:r>
          </w:p>
        </w:tc>
        <w:tc>
          <w:tcPr>
            <w:tcW w:w="611" w:type="dxa"/>
            <w:vAlign w:val="center"/>
          </w:tcPr>
          <w:p w14:paraId="72E59A0F">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ascii="仿宋" w:hAnsi="仿宋" w:eastAsia="仿宋" w:cs="仿宋"/>
                <w:snapToGrid w:val="0"/>
                <w:color w:val="000000"/>
                <w:kern w:val="0"/>
                <w:szCs w:val="21"/>
                <w:lang w:eastAsia="en-US"/>
              </w:rPr>
              <w:t>2</w:t>
            </w:r>
          </w:p>
        </w:tc>
        <w:tc>
          <w:tcPr>
            <w:tcW w:w="2631" w:type="dxa"/>
            <w:vAlign w:val="center"/>
          </w:tcPr>
          <w:p w14:paraId="AA8AE560">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建立健全保洁员管理、日常保洁、运转作业、安全保障</w:t>
            </w:r>
            <w:r>
              <w:rPr>
                <w:rFonts w:hint="eastAsia" w:ascii="仿宋" w:hAnsi="仿宋" w:eastAsia="仿宋" w:cs="仿宋"/>
                <w:snapToGrid w:val="0"/>
                <w:color w:val="000000"/>
                <w:kern w:val="0"/>
                <w:szCs w:val="21"/>
                <w:lang w:eastAsia="zh-CN"/>
              </w:rPr>
              <w:t>等</w:t>
            </w:r>
            <w:r>
              <w:rPr>
                <w:rFonts w:hint="eastAsia" w:ascii="仿宋" w:hAnsi="仿宋" w:eastAsia="仿宋" w:cs="仿宋"/>
                <w:snapToGrid w:val="0"/>
                <w:color w:val="000000"/>
                <w:kern w:val="0"/>
                <w:szCs w:val="21"/>
                <w:lang w:eastAsia="en-US"/>
              </w:rPr>
              <w:t>长效管理机制，</w:t>
            </w:r>
            <w:r>
              <w:rPr>
                <w:rFonts w:hint="eastAsia" w:ascii="仿宋" w:hAnsi="仿宋" w:eastAsia="仿宋" w:cs="仿宋"/>
                <w:snapToGrid w:val="0"/>
                <w:color w:val="000000"/>
                <w:kern w:val="0"/>
                <w:szCs w:val="21"/>
                <w:lang w:eastAsia="zh-CN"/>
              </w:rPr>
              <w:t>制定了</w:t>
            </w:r>
            <w:r>
              <w:rPr>
                <w:rFonts w:hint="eastAsia" w:ascii="仿宋" w:hAnsi="仿宋" w:eastAsia="仿宋" w:cs="仿宋"/>
                <w:snapToGrid w:val="0"/>
                <w:color w:val="000000"/>
                <w:kern w:val="0"/>
                <w:szCs w:val="21"/>
                <w:lang w:eastAsia="en-US"/>
              </w:rPr>
              <w:t>相关制度。</w:t>
            </w:r>
          </w:p>
        </w:tc>
        <w:tc>
          <w:tcPr>
            <w:tcW w:w="2435" w:type="dxa"/>
            <w:vAlign w:val="center"/>
          </w:tcPr>
          <w:p w14:paraId="CBF03CF1">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未建立长效机制（制订制度等）扣</w:t>
            </w:r>
            <w:r>
              <w:rPr>
                <w:rFonts w:ascii="仿宋" w:hAnsi="仿宋" w:eastAsia="仿宋" w:cs="仿宋"/>
                <w:snapToGrid w:val="0"/>
                <w:color w:val="000000"/>
                <w:kern w:val="0"/>
                <w:szCs w:val="21"/>
                <w:lang w:eastAsia="en-US"/>
              </w:rPr>
              <w:t>2</w:t>
            </w:r>
            <w:r>
              <w:rPr>
                <w:rFonts w:hint="eastAsia" w:ascii="仿宋" w:hAnsi="仿宋" w:eastAsia="仿宋" w:cs="仿宋"/>
                <w:snapToGrid w:val="0"/>
                <w:color w:val="000000"/>
                <w:kern w:val="0"/>
                <w:szCs w:val="21"/>
                <w:lang w:eastAsia="en-US"/>
              </w:rPr>
              <w:t>分，机制不健全的每少一项扣</w:t>
            </w:r>
            <w:r>
              <w:rPr>
                <w:rFonts w:ascii="仿宋" w:hAnsi="仿宋" w:eastAsia="仿宋" w:cs="仿宋"/>
                <w:snapToGrid w:val="0"/>
                <w:color w:val="000000"/>
                <w:kern w:val="0"/>
                <w:szCs w:val="21"/>
                <w:lang w:eastAsia="en-US"/>
              </w:rPr>
              <w:t>0.5</w:t>
            </w:r>
            <w:r>
              <w:rPr>
                <w:rFonts w:hint="eastAsia" w:ascii="仿宋" w:hAnsi="仿宋" w:eastAsia="仿宋" w:cs="仿宋"/>
                <w:snapToGrid w:val="0"/>
                <w:color w:val="000000"/>
                <w:kern w:val="0"/>
                <w:szCs w:val="21"/>
                <w:lang w:eastAsia="en-US"/>
              </w:rPr>
              <w:t>分。扣完为止。</w:t>
            </w:r>
          </w:p>
        </w:tc>
        <w:tc>
          <w:tcPr>
            <w:tcW w:w="675" w:type="dxa"/>
            <w:vAlign w:val="center"/>
          </w:tcPr>
          <w:p w14:paraId="B566773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9F6D137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A74403AB">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ECF0C3D9">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24C9B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6" w:hRule="atLeast"/>
          <w:jc w:val="center"/>
        </w:trPr>
        <w:tc>
          <w:tcPr>
            <w:tcW w:w="987" w:type="dxa"/>
            <w:vMerge w:val="continue"/>
            <w:vAlign w:val="center"/>
          </w:tcPr>
          <w:p w14:paraId="132B688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169CCA89">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ascii="仿宋" w:hAnsi="仿宋" w:eastAsia="仿宋" w:cs="仿宋"/>
                <w:snapToGrid w:val="0"/>
                <w:color w:val="000000"/>
                <w:kern w:val="0"/>
                <w:szCs w:val="21"/>
                <w:lang w:eastAsia="en-US"/>
              </w:rPr>
              <w:t>3</w:t>
            </w:r>
          </w:p>
        </w:tc>
        <w:tc>
          <w:tcPr>
            <w:tcW w:w="2631" w:type="dxa"/>
            <w:vAlign w:val="center"/>
          </w:tcPr>
          <w:p w14:paraId="84153036">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作业单位被群众投诉查实的；发生事故或纠纷的；出现重大安全责任事故的。</w:t>
            </w:r>
          </w:p>
        </w:tc>
        <w:tc>
          <w:tcPr>
            <w:tcW w:w="2435" w:type="dxa"/>
            <w:vAlign w:val="center"/>
          </w:tcPr>
          <w:p w14:paraId="4A6DCE66">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投诉、事故、纠纷</w:t>
            </w:r>
            <w:r>
              <w:rPr>
                <w:rFonts w:hint="eastAsia" w:ascii="仿宋" w:hAnsi="仿宋" w:eastAsia="仿宋" w:cs="仿宋"/>
                <w:snapToGrid w:val="0"/>
                <w:color w:val="000000"/>
                <w:kern w:val="0"/>
                <w:szCs w:val="21"/>
                <w:lang w:val="en-US" w:eastAsia="zh-CN"/>
              </w:rPr>
              <w:t>未</w:t>
            </w:r>
            <w:r>
              <w:rPr>
                <w:rFonts w:hint="eastAsia" w:ascii="仿宋" w:hAnsi="仿宋" w:eastAsia="仿宋" w:cs="仿宋"/>
                <w:snapToGrid w:val="0"/>
                <w:color w:val="000000"/>
                <w:kern w:val="0"/>
                <w:szCs w:val="21"/>
                <w:lang w:eastAsia="en-US"/>
              </w:rPr>
              <w:t>处理得当造成不良影响扣</w:t>
            </w:r>
            <w:r>
              <w:rPr>
                <w:rFonts w:ascii="仿宋" w:hAnsi="仿宋" w:eastAsia="仿宋" w:cs="仿宋"/>
                <w:snapToGrid w:val="0"/>
                <w:color w:val="000000"/>
                <w:kern w:val="0"/>
                <w:szCs w:val="21"/>
                <w:lang w:eastAsia="en-US"/>
              </w:rPr>
              <w:t>2</w:t>
            </w:r>
            <w:r>
              <w:rPr>
                <w:rFonts w:hint="eastAsia" w:ascii="仿宋" w:hAnsi="仿宋" w:eastAsia="仿宋" w:cs="仿宋"/>
                <w:snapToGrid w:val="0"/>
                <w:color w:val="000000"/>
                <w:kern w:val="0"/>
                <w:szCs w:val="21"/>
                <w:lang w:eastAsia="en-US"/>
              </w:rPr>
              <w:t>分；造成治安、上访事件和重大社会影响的直接扣</w:t>
            </w:r>
            <w:r>
              <w:rPr>
                <w:rFonts w:ascii="仿宋" w:hAnsi="仿宋" w:eastAsia="仿宋" w:cs="仿宋"/>
                <w:snapToGrid w:val="0"/>
                <w:color w:val="000000"/>
                <w:kern w:val="0"/>
                <w:szCs w:val="21"/>
                <w:lang w:eastAsia="en-US"/>
              </w:rPr>
              <w:t>3</w:t>
            </w:r>
            <w:r>
              <w:rPr>
                <w:rFonts w:hint="eastAsia" w:ascii="仿宋" w:hAnsi="仿宋" w:eastAsia="仿宋" w:cs="仿宋"/>
                <w:snapToGrid w:val="0"/>
                <w:color w:val="000000"/>
                <w:kern w:val="0"/>
                <w:szCs w:val="21"/>
                <w:lang w:eastAsia="en-US"/>
              </w:rPr>
              <w:t>分。</w:t>
            </w:r>
          </w:p>
        </w:tc>
        <w:tc>
          <w:tcPr>
            <w:tcW w:w="675" w:type="dxa"/>
            <w:vAlign w:val="center"/>
          </w:tcPr>
          <w:p w14:paraId="9976229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701B6B7A">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865D628D">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A9516B0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F3F6D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 w:hRule="atLeast"/>
          <w:jc w:val="center"/>
        </w:trPr>
        <w:tc>
          <w:tcPr>
            <w:tcW w:w="987" w:type="dxa"/>
            <w:vMerge w:val="continue"/>
            <w:vAlign w:val="center"/>
          </w:tcPr>
          <w:p w14:paraId="674BA945">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8FC94C4D">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ascii="仿宋" w:hAnsi="仿宋" w:eastAsia="仿宋" w:cs="仿宋"/>
                <w:snapToGrid w:val="0"/>
                <w:color w:val="000000"/>
                <w:kern w:val="0"/>
                <w:szCs w:val="21"/>
                <w:lang w:eastAsia="en-US"/>
              </w:rPr>
              <w:t>5</w:t>
            </w:r>
          </w:p>
        </w:tc>
        <w:tc>
          <w:tcPr>
            <w:tcW w:w="2631" w:type="dxa"/>
            <w:vAlign w:val="center"/>
          </w:tcPr>
          <w:p w14:paraId="57C56E39">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重大节假日、迎检、活动、上级督查等其他各类特殊情况加强保洁作业。</w:t>
            </w:r>
          </w:p>
        </w:tc>
        <w:tc>
          <w:tcPr>
            <w:tcW w:w="2435" w:type="dxa"/>
            <w:vAlign w:val="center"/>
          </w:tcPr>
          <w:p w14:paraId="5C7B5FF6">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保洁作业未按要求予以配合到位，出现一次直接扣</w:t>
            </w:r>
            <w:r>
              <w:rPr>
                <w:rFonts w:ascii="仿宋" w:hAnsi="仿宋" w:eastAsia="仿宋" w:cs="仿宋"/>
                <w:snapToGrid w:val="0"/>
                <w:color w:val="000000"/>
                <w:kern w:val="0"/>
                <w:szCs w:val="21"/>
                <w:lang w:eastAsia="en-US"/>
              </w:rPr>
              <w:t>5</w:t>
            </w:r>
            <w:r>
              <w:rPr>
                <w:rFonts w:hint="eastAsia" w:ascii="仿宋" w:hAnsi="仿宋" w:eastAsia="仿宋" w:cs="仿宋"/>
                <w:snapToGrid w:val="0"/>
                <w:color w:val="000000"/>
                <w:kern w:val="0"/>
                <w:szCs w:val="21"/>
                <w:lang w:eastAsia="en-US"/>
              </w:rPr>
              <w:t>分。</w:t>
            </w:r>
          </w:p>
        </w:tc>
        <w:tc>
          <w:tcPr>
            <w:tcW w:w="675" w:type="dxa"/>
            <w:vAlign w:val="center"/>
          </w:tcPr>
          <w:p w14:paraId="3BF0294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B6E9DB5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6F6D4546">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75460B92">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6E527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987" w:type="dxa"/>
            <w:vMerge w:val="continue"/>
            <w:vAlign w:val="center"/>
          </w:tcPr>
          <w:p w14:paraId="68A54082">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11" w:type="dxa"/>
            <w:vAlign w:val="center"/>
          </w:tcPr>
          <w:p w14:paraId="B72DA6EF">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eastAsia="zh-CN"/>
              </w:rPr>
            </w:pPr>
            <w:r>
              <w:rPr>
                <w:rFonts w:hint="eastAsia" w:ascii="仿宋" w:hAnsi="仿宋" w:eastAsia="仿宋" w:cs="仿宋"/>
                <w:snapToGrid w:val="0"/>
                <w:color w:val="000000"/>
                <w:kern w:val="0"/>
                <w:szCs w:val="21"/>
                <w:lang w:val="en-US" w:eastAsia="zh-CN"/>
              </w:rPr>
              <w:t>5</w:t>
            </w:r>
          </w:p>
        </w:tc>
        <w:tc>
          <w:tcPr>
            <w:tcW w:w="2631" w:type="dxa"/>
            <w:vAlign w:val="center"/>
          </w:tcPr>
          <w:p w14:paraId="FFB14EFE">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作业单位自觉接受社会媒体监督。</w:t>
            </w:r>
          </w:p>
        </w:tc>
        <w:tc>
          <w:tcPr>
            <w:tcW w:w="2435" w:type="dxa"/>
            <w:vAlign w:val="center"/>
          </w:tcPr>
          <w:p w14:paraId="EC405FE0">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被媒体曝光每次扣</w:t>
            </w:r>
            <w:r>
              <w:rPr>
                <w:rFonts w:hint="eastAsia" w:ascii="仿宋" w:hAnsi="仿宋" w:eastAsia="仿宋" w:cs="仿宋"/>
                <w:snapToGrid w:val="0"/>
                <w:color w:val="000000"/>
                <w:kern w:val="0"/>
                <w:szCs w:val="21"/>
                <w:lang w:val="en-US" w:eastAsia="zh-CN"/>
              </w:rPr>
              <w:t>2</w:t>
            </w:r>
            <w:r>
              <w:rPr>
                <w:rFonts w:hint="eastAsia" w:ascii="仿宋" w:hAnsi="仿宋" w:eastAsia="仿宋" w:cs="仿宋"/>
                <w:snapToGrid w:val="0"/>
                <w:color w:val="000000"/>
                <w:kern w:val="0"/>
                <w:szCs w:val="21"/>
                <w:lang w:eastAsia="en-US"/>
              </w:rPr>
              <w:t>分，造成重大负面影响的扣</w:t>
            </w:r>
            <w:r>
              <w:rPr>
                <w:rFonts w:hint="eastAsia" w:ascii="仿宋" w:hAnsi="仿宋" w:eastAsia="仿宋" w:cs="仿宋"/>
                <w:snapToGrid w:val="0"/>
                <w:color w:val="000000"/>
                <w:kern w:val="0"/>
                <w:szCs w:val="21"/>
                <w:lang w:val="en-US" w:eastAsia="zh-CN"/>
              </w:rPr>
              <w:t>5</w:t>
            </w:r>
            <w:r>
              <w:rPr>
                <w:rFonts w:hint="eastAsia" w:ascii="仿宋" w:hAnsi="仿宋" w:eastAsia="仿宋" w:cs="仿宋"/>
                <w:snapToGrid w:val="0"/>
                <w:color w:val="000000"/>
                <w:kern w:val="0"/>
                <w:szCs w:val="21"/>
                <w:lang w:eastAsia="en-US"/>
              </w:rPr>
              <w:t>分。</w:t>
            </w:r>
          </w:p>
        </w:tc>
        <w:tc>
          <w:tcPr>
            <w:tcW w:w="675" w:type="dxa"/>
            <w:vAlign w:val="center"/>
          </w:tcPr>
          <w:p w14:paraId="05131A0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FFA397E2">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A0AF2BF7">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33513CBA">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3902E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987" w:type="dxa"/>
            <w:vAlign w:val="center"/>
          </w:tcPr>
          <w:p w14:paraId="01B16ACB">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zh-CN"/>
              </w:rPr>
            </w:pPr>
            <w:r>
              <w:rPr>
                <w:rFonts w:hint="eastAsia" w:ascii="仿宋" w:hAnsi="仿宋" w:eastAsia="仿宋" w:cs="Times New Roman"/>
                <w:snapToGrid w:val="0"/>
                <w:color w:val="000000"/>
                <w:kern w:val="0"/>
                <w:szCs w:val="21"/>
                <w:lang w:eastAsia="en-US"/>
              </w:rPr>
              <w:t>配合城市管理运行平台工作情况</w:t>
            </w:r>
            <w:r>
              <w:rPr>
                <w:rFonts w:hint="eastAsia" w:ascii="仿宋" w:hAnsi="仿宋" w:eastAsia="仿宋" w:cs="Times New Roman"/>
                <w:snapToGrid w:val="0"/>
                <w:color w:val="000000"/>
                <w:kern w:val="0"/>
                <w:szCs w:val="21"/>
                <w:lang w:eastAsia="zh-CN"/>
              </w:rPr>
              <w:t>（</w:t>
            </w:r>
            <w:r>
              <w:rPr>
                <w:rFonts w:hint="eastAsia" w:ascii="仿宋" w:hAnsi="仿宋" w:eastAsia="仿宋" w:cs="Times New Roman"/>
                <w:snapToGrid w:val="0"/>
                <w:color w:val="000000"/>
                <w:kern w:val="0"/>
                <w:szCs w:val="21"/>
                <w:lang w:val="en-US" w:eastAsia="zh-CN"/>
              </w:rPr>
              <w:t>10分</w:t>
            </w:r>
            <w:r>
              <w:rPr>
                <w:rFonts w:hint="eastAsia" w:ascii="仿宋" w:hAnsi="仿宋" w:eastAsia="仿宋" w:cs="Times New Roman"/>
                <w:snapToGrid w:val="0"/>
                <w:color w:val="000000"/>
                <w:kern w:val="0"/>
                <w:szCs w:val="21"/>
                <w:lang w:eastAsia="zh-CN"/>
              </w:rPr>
              <w:t>）</w:t>
            </w:r>
          </w:p>
        </w:tc>
        <w:tc>
          <w:tcPr>
            <w:tcW w:w="611" w:type="dxa"/>
            <w:vAlign w:val="center"/>
          </w:tcPr>
          <w:p w14:paraId="2AD165C5">
            <w:pPr>
              <w:widowControl/>
              <w:kinsoku w:val="0"/>
              <w:autoSpaceDE w:val="0"/>
              <w:autoSpaceDN w:val="0"/>
              <w:adjustRightInd w:val="0"/>
              <w:snapToGrid w:val="0"/>
              <w:jc w:val="center"/>
              <w:textAlignment w:val="baseline"/>
              <w:rPr>
                <w:rFonts w:hint="default"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10</w:t>
            </w:r>
          </w:p>
        </w:tc>
        <w:tc>
          <w:tcPr>
            <w:tcW w:w="2631" w:type="dxa"/>
            <w:vAlign w:val="center"/>
          </w:tcPr>
          <w:p w14:paraId="DCF0FBA4">
            <w:pPr>
              <w:widowControl/>
              <w:kinsoku w:val="0"/>
              <w:autoSpaceDE w:val="0"/>
              <w:autoSpaceDN w:val="0"/>
              <w:adjustRightInd w:val="0"/>
              <w:snapToGrid w:val="0"/>
              <w:jc w:val="left"/>
              <w:textAlignment w:val="baseline"/>
              <w:rPr>
                <w:rFonts w:hint="default"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及时有效完成城市管理运行平台下派的案件，确保平台下派案件及时整改销号</w:t>
            </w:r>
          </w:p>
        </w:tc>
        <w:tc>
          <w:tcPr>
            <w:tcW w:w="2435" w:type="dxa"/>
            <w:vAlign w:val="center"/>
          </w:tcPr>
          <w:p w14:paraId="F6C92E0B">
            <w:pPr>
              <w:widowControl/>
              <w:kinsoku w:val="0"/>
              <w:autoSpaceDE w:val="0"/>
              <w:autoSpaceDN w:val="0"/>
              <w:adjustRightInd w:val="0"/>
              <w:snapToGrid w:val="0"/>
              <w:jc w:val="left"/>
              <w:textAlignment w:val="baseline"/>
              <w:rPr>
                <w:rFonts w:hint="default"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问题处理不及时、造成不良影响1次扣0.5分，扣完为止。</w:t>
            </w:r>
          </w:p>
        </w:tc>
        <w:tc>
          <w:tcPr>
            <w:tcW w:w="675" w:type="dxa"/>
            <w:vAlign w:val="center"/>
          </w:tcPr>
          <w:p w14:paraId="5A5694B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9C8D6DDC">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2615E800">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236EB1B4">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39578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4" w:hRule="atLeast"/>
          <w:jc w:val="center"/>
        </w:trPr>
        <w:tc>
          <w:tcPr>
            <w:tcW w:w="987" w:type="dxa"/>
            <w:vAlign w:val="center"/>
          </w:tcPr>
          <w:p w14:paraId="0CE17B51">
            <w:pPr>
              <w:widowControl/>
              <w:kinsoku w:val="0"/>
              <w:autoSpaceDE w:val="0"/>
              <w:autoSpaceDN w:val="0"/>
              <w:adjustRightInd w:val="0"/>
              <w:snapToGrid w:val="0"/>
              <w:jc w:val="left"/>
              <w:textAlignment w:val="baseline"/>
              <w:rPr>
                <w:rFonts w:hint="eastAsia" w:ascii="仿宋" w:hAnsi="仿宋" w:eastAsia="仿宋" w:cs="仿宋"/>
                <w:snapToGrid w:val="0"/>
                <w:color w:val="000000"/>
                <w:kern w:val="0"/>
                <w:szCs w:val="21"/>
                <w:lang w:eastAsia="en-US"/>
              </w:rPr>
            </w:pPr>
            <w:r>
              <w:rPr>
                <w:rFonts w:hint="eastAsia" w:ascii="仿宋" w:hAnsi="仿宋" w:eastAsia="仿宋" w:cs="仿宋"/>
                <w:snapToGrid w:val="0"/>
                <w:color w:val="000000"/>
                <w:kern w:val="0"/>
                <w:szCs w:val="21"/>
                <w:lang w:val="en-US" w:eastAsia="zh-CN"/>
              </w:rPr>
              <w:t>垃圾分类运输</w:t>
            </w:r>
            <w:r>
              <w:rPr>
                <w:rFonts w:hint="eastAsia" w:ascii="仿宋" w:hAnsi="仿宋" w:eastAsia="仿宋" w:cs="仿宋"/>
                <w:snapToGrid w:val="0"/>
                <w:color w:val="000000"/>
                <w:kern w:val="0"/>
                <w:szCs w:val="21"/>
                <w:lang w:eastAsia="zh-CN"/>
              </w:rPr>
              <w:t>（</w:t>
            </w:r>
            <w:r>
              <w:rPr>
                <w:rFonts w:hint="eastAsia" w:ascii="仿宋" w:hAnsi="仿宋" w:eastAsia="仿宋" w:cs="仿宋"/>
                <w:snapToGrid w:val="0"/>
                <w:color w:val="000000"/>
                <w:kern w:val="0"/>
                <w:szCs w:val="21"/>
                <w:lang w:val="en-US" w:eastAsia="zh-CN"/>
              </w:rPr>
              <w:t>5分）</w:t>
            </w:r>
          </w:p>
        </w:tc>
        <w:tc>
          <w:tcPr>
            <w:tcW w:w="611" w:type="dxa"/>
            <w:vAlign w:val="center"/>
          </w:tcPr>
          <w:p w14:paraId="BC90836C">
            <w:pPr>
              <w:widowControl/>
              <w:kinsoku w:val="0"/>
              <w:autoSpaceDE w:val="0"/>
              <w:autoSpaceDN w:val="0"/>
              <w:adjustRightInd w:val="0"/>
              <w:snapToGrid w:val="0"/>
              <w:jc w:val="center"/>
              <w:textAlignment w:val="baseline"/>
              <w:rPr>
                <w:rFonts w:hint="eastAsia" w:ascii="仿宋" w:hAnsi="仿宋" w:eastAsia="仿宋" w:cs="仿宋"/>
                <w:snapToGrid w:val="0"/>
                <w:color w:val="000000"/>
                <w:kern w:val="0"/>
                <w:szCs w:val="21"/>
                <w:lang w:val="en-US" w:eastAsia="zh-CN"/>
              </w:rPr>
            </w:pPr>
            <w:r>
              <w:rPr>
                <w:rFonts w:hint="eastAsia" w:ascii="仿宋" w:hAnsi="仿宋" w:eastAsia="仿宋" w:cs="仿宋"/>
                <w:snapToGrid w:val="0"/>
                <w:color w:val="000000"/>
                <w:kern w:val="0"/>
                <w:szCs w:val="21"/>
                <w:lang w:val="en-US" w:eastAsia="zh-CN"/>
              </w:rPr>
              <w:t>5</w:t>
            </w:r>
          </w:p>
        </w:tc>
        <w:tc>
          <w:tcPr>
            <w:tcW w:w="2631" w:type="dxa"/>
            <w:vAlign w:val="center"/>
          </w:tcPr>
          <w:p w14:paraId="9764F287">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Times New Roman"/>
                <w:snapToGrid w:val="0"/>
                <w:color w:val="000000"/>
                <w:kern w:val="0"/>
                <w:szCs w:val="21"/>
                <w:lang w:eastAsia="en-US"/>
              </w:rPr>
              <w:t>餐厨垃圾、中转站渗滤液、有害垃圾、生活垃圾</w:t>
            </w:r>
            <w:r>
              <w:rPr>
                <w:rFonts w:hint="eastAsia" w:ascii="仿宋" w:hAnsi="仿宋" w:eastAsia="仿宋" w:cs="Times New Roman"/>
                <w:snapToGrid w:val="0"/>
                <w:color w:val="000000"/>
                <w:kern w:val="0"/>
                <w:szCs w:val="21"/>
                <w:lang w:eastAsia="zh-CN"/>
              </w:rPr>
              <w:t>、</w:t>
            </w:r>
            <w:r>
              <w:rPr>
                <w:rFonts w:hint="eastAsia" w:ascii="仿宋" w:hAnsi="仿宋" w:eastAsia="仿宋" w:cs="Times New Roman"/>
                <w:snapToGrid w:val="0"/>
                <w:color w:val="000000"/>
                <w:kern w:val="0"/>
                <w:szCs w:val="21"/>
                <w:lang w:val="en-US" w:eastAsia="zh-CN"/>
              </w:rPr>
              <w:t>建筑垃圾</w:t>
            </w:r>
            <w:r>
              <w:rPr>
                <w:rFonts w:hint="eastAsia" w:ascii="仿宋" w:hAnsi="仿宋" w:eastAsia="仿宋" w:cs="Times New Roman"/>
                <w:snapToGrid w:val="0"/>
                <w:color w:val="000000"/>
                <w:kern w:val="0"/>
                <w:szCs w:val="21"/>
                <w:lang w:eastAsia="en-US"/>
              </w:rPr>
              <w:t>不能混运并按要求运输至指定位置进行及时处理</w:t>
            </w:r>
          </w:p>
        </w:tc>
        <w:tc>
          <w:tcPr>
            <w:tcW w:w="2435" w:type="dxa"/>
            <w:vAlign w:val="center"/>
          </w:tcPr>
          <w:p w14:paraId="C5CE8810">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val="en-US" w:eastAsia="zh-CN"/>
              </w:rPr>
              <w:t>发现一次混运扣2分，未及时清运扣2分，没有按要求运送到指定位置处理扣1分。</w:t>
            </w:r>
          </w:p>
        </w:tc>
        <w:tc>
          <w:tcPr>
            <w:tcW w:w="675" w:type="dxa"/>
            <w:vAlign w:val="center"/>
          </w:tcPr>
          <w:p w14:paraId="92229F38">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9E742F05">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9681A517">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33F71649">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r w14:paraId="0A421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987" w:type="dxa"/>
            <w:vAlign w:val="center"/>
          </w:tcPr>
          <w:p w14:paraId="B62811FA">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r>
              <w:rPr>
                <w:rFonts w:hint="eastAsia" w:ascii="仿宋" w:hAnsi="仿宋" w:eastAsia="仿宋" w:cs="仿宋"/>
                <w:snapToGrid w:val="0"/>
                <w:color w:val="000000"/>
                <w:kern w:val="0"/>
                <w:szCs w:val="21"/>
                <w:lang w:eastAsia="en-US"/>
              </w:rPr>
              <w:t>合计</w:t>
            </w:r>
          </w:p>
        </w:tc>
        <w:tc>
          <w:tcPr>
            <w:tcW w:w="611" w:type="dxa"/>
            <w:vAlign w:val="center"/>
          </w:tcPr>
          <w:p w14:paraId="B7D60D76">
            <w:pPr>
              <w:widowControl/>
              <w:kinsoku w:val="0"/>
              <w:autoSpaceDE w:val="0"/>
              <w:autoSpaceDN w:val="0"/>
              <w:adjustRightInd w:val="0"/>
              <w:snapToGrid w:val="0"/>
              <w:jc w:val="center"/>
              <w:textAlignment w:val="baseline"/>
              <w:rPr>
                <w:rFonts w:ascii="仿宋" w:hAnsi="仿宋" w:eastAsia="仿宋" w:cs="仿宋"/>
                <w:snapToGrid w:val="0"/>
                <w:color w:val="000000"/>
                <w:kern w:val="0"/>
                <w:szCs w:val="21"/>
                <w:lang w:eastAsia="en-US"/>
              </w:rPr>
            </w:pPr>
            <w:r>
              <w:rPr>
                <w:rFonts w:ascii="仿宋" w:hAnsi="仿宋" w:eastAsia="仿宋" w:cs="仿宋"/>
                <w:snapToGrid w:val="0"/>
                <w:color w:val="000000"/>
                <w:kern w:val="0"/>
                <w:szCs w:val="21"/>
                <w:lang w:eastAsia="en-US"/>
              </w:rPr>
              <w:t>100</w:t>
            </w:r>
          </w:p>
        </w:tc>
        <w:tc>
          <w:tcPr>
            <w:tcW w:w="2631" w:type="dxa"/>
            <w:vAlign w:val="center"/>
          </w:tcPr>
          <w:p w14:paraId="2F9F69EC">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p>
        </w:tc>
        <w:tc>
          <w:tcPr>
            <w:tcW w:w="2435" w:type="dxa"/>
            <w:vAlign w:val="center"/>
          </w:tcPr>
          <w:p w14:paraId="1120A303">
            <w:pPr>
              <w:widowControl/>
              <w:kinsoku w:val="0"/>
              <w:autoSpaceDE w:val="0"/>
              <w:autoSpaceDN w:val="0"/>
              <w:adjustRightInd w:val="0"/>
              <w:snapToGrid w:val="0"/>
              <w:jc w:val="left"/>
              <w:textAlignment w:val="baseline"/>
              <w:rPr>
                <w:rFonts w:ascii="仿宋" w:hAnsi="仿宋" w:eastAsia="仿宋" w:cs="Times New Roman"/>
                <w:snapToGrid w:val="0"/>
                <w:color w:val="000000"/>
                <w:kern w:val="0"/>
                <w:szCs w:val="21"/>
                <w:lang w:eastAsia="en-US"/>
              </w:rPr>
            </w:pPr>
          </w:p>
        </w:tc>
        <w:tc>
          <w:tcPr>
            <w:tcW w:w="675" w:type="dxa"/>
            <w:vAlign w:val="center"/>
          </w:tcPr>
          <w:p w14:paraId="1CCFD0F3">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5" w:type="dxa"/>
            <w:vAlign w:val="center"/>
          </w:tcPr>
          <w:p w14:paraId="78462F15">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42" w:type="dxa"/>
            <w:vAlign w:val="center"/>
          </w:tcPr>
          <w:p w14:paraId="9FF8D161">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c>
          <w:tcPr>
            <w:tcW w:w="681" w:type="dxa"/>
            <w:vAlign w:val="center"/>
          </w:tcPr>
          <w:p w14:paraId="B9CADAB5">
            <w:pPr>
              <w:widowControl/>
              <w:kinsoku w:val="0"/>
              <w:autoSpaceDE w:val="0"/>
              <w:autoSpaceDN w:val="0"/>
              <w:adjustRightInd w:val="0"/>
              <w:snapToGrid w:val="0"/>
              <w:jc w:val="center"/>
              <w:textAlignment w:val="baseline"/>
              <w:rPr>
                <w:rFonts w:ascii="仿宋" w:hAnsi="仿宋" w:eastAsia="仿宋" w:cs="Times New Roman"/>
                <w:snapToGrid w:val="0"/>
                <w:color w:val="000000"/>
                <w:kern w:val="0"/>
                <w:szCs w:val="21"/>
                <w:lang w:eastAsia="en-US"/>
              </w:rPr>
            </w:pPr>
          </w:p>
        </w:tc>
      </w:tr>
    </w:tbl>
    <w:p w14:paraId="2A381CF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283F8">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zh-CN" w:bidi="ar-SA"/>
      </w:rPr>
    </w:pPr>
    <w:r>
      <w:rPr>
        <w:rFonts w:ascii="Arial" w:hAnsi="Arial" w:eastAsia="Arial" w:cs="Arial"/>
        <w:snapToGrid w:val="0"/>
        <w:color w:val="000000"/>
        <w:sz w:val="18"/>
        <w:szCs w:val="21"/>
        <w:lang w:val="en-US" w:eastAsia="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E9990E">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57</w:t>
                          </w:r>
                          <w:r>
                            <w:rPr>
                              <w:rFonts w:ascii="Arial" w:hAnsi="Arial" w:eastAsia="Arial" w:cs="Arial"/>
                              <w:snapToGrid w:val="0"/>
                              <w:color w:val="000000"/>
                              <w:sz w:val="18"/>
                              <w:szCs w:val="21"/>
                              <w:lang w:val="en-US" w:eastAsia="en-US"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5CE9990E">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57</w:t>
                    </w:r>
                    <w:r>
                      <w:rPr>
                        <w:rFonts w:ascii="Arial" w:hAnsi="Arial" w:eastAsia="Arial" w:cs="Arial"/>
                        <w:snapToGrid w:val="0"/>
                        <w:color w:val="000000"/>
                        <w:sz w:val="18"/>
                        <w:szCs w:val="21"/>
                        <w:lang w:val="en-US" w:eastAsia="en-US"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8C7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2026-05-09T07:32:18Z</dcterms:created>
  <dc:creator>Administrator</dc:creator>
  <cp:lastModifiedBy>Administrator</cp:lastModifiedBy>
  <dcterms:modified xsi:type="dcterms:W3CDTF">2026-05-09T07:33:14Z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eyJoZGlkIjoiNWRmOWY3YjY0ZTc0ZmI0ZGQxNDljZmZlZjhiZTMzNzQiLCJ1c2VySWQiOiI1Nzc5NjY2ODQifQ==</vt:lpwstr>
  </property>
  <property fmtid="{D5CDD505-2E9C-101B-9397-08002B2CF9AE}" pid="4" name="ICV">
    <vt:lpwstr>819E3C590241474286FB1CB8D4C43DB0_12</vt:lpwstr>
  </property>
</Properties>
</file>