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3747FE"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color w:val="auto"/>
          <w:spacing w:val="-5"/>
          <w:sz w:val="28"/>
          <w:szCs w:val="28"/>
          <w:highlight w:val="none"/>
        </w:rPr>
        <w:t>（一）</w:t>
      </w:r>
      <w:r>
        <w:rPr>
          <w:rFonts w:hint="eastAsia" w:ascii="宋体" w:hAnsi="宋体" w:eastAsia="宋体" w:cs="宋体"/>
          <w:color w:val="auto"/>
          <w:spacing w:val="25"/>
          <w:sz w:val="28"/>
          <w:szCs w:val="28"/>
          <w:highlight w:val="none"/>
        </w:rPr>
        <w:t xml:space="preserve"> </w:t>
      </w:r>
      <w:r>
        <w:rPr>
          <w:rFonts w:hint="eastAsia" w:ascii="宋体" w:hAnsi="宋体" w:eastAsia="宋体" w:cs="宋体"/>
          <w:color w:val="auto"/>
          <w:spacing w:val="-5"/>
          <w:sz w:val="28"/>
          <w:szCs w:val="28"/>
          <w:highlight w:val="none"/>
          <w:lang w:val="en-US" w:eastAsia="zh-CN"/>
        </w:rPr>
        <w:t>服务</w:t>
      </w:r>
      <w:r>
        <w:rPr>
          <w:rFonts w:hint="eastAsia" w:ascii="宋体" w:hAnsi="宋体" w:eastAsia="宋体" w:cs="宋体"/>
          <w:color w:val="auto"/>
          <w:spacing w:val="-5"/>
          <w:sz w:val="28"/>
          <w:szCs w:val="28"/>
          <w:highlight w:val="none"/>
        </w:rPr>
        <w:t>需求</w:t>
      </w:r>
    </w:p>
    <w:p w14:paraId="4A134F56">
      <w:pPr>
        <w:pageBreakBefore w:val="0"/>
        <w:widowControl w:val="0"/>
        <w:wordWrap/>
        <w:overflowPunct/>
        <w:topLinePunct w:val="0"/>
        <w:bidi w:val="0"/>
        <w:spacing w:line="242" w:lineRule="auto"/>
        <w:rPr>
          <w:rFonts w:hint="eastAsia" w:ascii="宋体" w:hAnsi="宋体" w:eastAsia="宋体" w:cs="宋体"/>
          <w:color w:val="auto"/>
          <w:highlight w:val="none"/>
        </w:rPr>
      </w:pPr>
    </w:p>
    <w:p w14:paraId="5112A17D">
      <w:pPr>
        <w:keepNext w:val="0"/>
        <w:keepLines w:val="0"/>
        <w:pageBreakBefore w:val="0"/>
        <w:widowControl/>
        <w:wordWrap/>
        <w:overflowPunct/>
        <w:topLinePunct w:val="0"/>
        <w:bidi w:val="0"/>
        <w:snapToGrid w:val="0"/>
        <w:spacing w:before="85" w:line="360" w:lineRule="auto"/>
        <w:rPr>
          <w:rFonts w:hint="eastAsia" w:ascii="宋体" w:hAnsi="宋体" w:eastAsia="宋体" w:cs="宋体"/>
          <w:spacing w:val="8"/>
          <w:sz w:val="28"/>
          <w:szCs w:val="28"/>
        </w:rPr>
      </w:pPr>
      <w:r>
        <w:rPr>
          <w:rFonts w:hint="eastAsia" w:ascii="宋体" w:hAnsi="宋体" w:eastAsia="宋体" w:cs="宋体"/>
          <w:spacing w:val="8"/>
          <w:sz w:val="28"/>
          <w:szCs w:val="28"/>
          <w:lang w:val="en-US" w:eastAsia="zh-CN"/>
        </w:rPr>
        <w:t>1</w:t>
      </w:r>
      <w:r>
        <w:rPr>
          <w:rFonts w:hint="eastAsia" w:ascii="宋体" w:hAnsi="宋体" w:eastAsia="宋体" w:cs="宋体"/>
          <w:spacing w:val="8"/>
          <w:sz w:val="28"/>
          <w:szCs w:val="28"/>
        </w:rPr>
        <w:t>、</w:t>
      </w:r>
      <w:r>
        <w:rPr>
          <w:rFonts w:hint="eastAsia" w:ascii="宋体" w:hAnsi="宋体" w:eastAsia="宋体" w:cs="宋体"/>
          <w:spacing w:val="8"/>
          <w:sz w:val="28"/>
          <w:szCs w:val="28"/>
          <w:lang w:val="en-US" w:eastAsia="zh-CN"/>
        </w:rPr>
        <w:t>响应</w:t>
      </w:r>
      <w:r>
        <w:rPr>
          <w:rFonts w:hint="eastAsia" w:ascii="宋体" w:hAnsi="宋体" w:eastAsia="宋体" w:cs="宋体"/>
          <w:spacing w:val="8"/>
          <w:sz w:val="28"/>
          <w:szCs w:val="28"/>
        </w:rPr>
        <w:t>供应商须提供符合质量标准的完善的服务。</w:t>
      </w:r>
    </w:p>
    <w:p w14:paraId="3352B265">
      <w:pPr>
        <w:keepNext w:val="0"/>
        <w:keepLines w:val="0"/>
        <w:pageBreakBefore w:val="0"/>
        <w:widowControl/>
        <w:wordWrap/>
        <w:overflowPunct/>
        <w:topLinePunct w:val="0"/>
        <w:bidi w:val="0"/>
        <w:snapToGrid w:val="0"/>
        <w:spacing w:before="85" w:line="360" w:lineRule="auto"/>
        <w:rPr>
          <w:rFonts w:hint="eastAsia" w:ascii="宋体" w:hAnsi="宋体" w:eastAsia="宋体" w:cs="宋体"/>
          <w:spacing w:val="8"/>
          <w:sz w:val="28"/>
          <w:szCs w:val="28"/>
        </w:rPr>
      </w:pPr>
      <w:r>
        <w:rPr>
          <w:rFonts w:hint="eastAsia" w:ascii="宋体" w:hAnsi="宋体" w:eastAsia="宋体" w:cs="宋体"/>
          <w:spacing w:val="8"/>
          <w:sz w:val="28"/>
          <w:szCs w:val="28"/>
          <w:lang w:val="en-US" w:eastAsia="zh-CN"/>
        </w:rPr>
        <w:t>2</w:t>
      </w:r>
      <w:r>
        <w:rPr>
          <w:rFonts w:hint="eastAsia" w:ascii="宋体" w:hAnsi="宋体" w:eastAsia="宋体" w:cs="宋体"/>
          <w:spacing w:val="8"/>
          <w:sz w:val="28"/>
          <w:szCs w:val="28"/>
        </w:rPr>
        <w:t>、所有服务的知识产权问题，由各</w:t>
      </w:r>
      <w:r>
        <w:rPr>
          <w:rFonts w:hint="eastAsia" w:ascii="宋体" w:hAnsi="宋体" w:eastAsia="宋体" w:cs="宋体"/>
          <w:spacing w:val="8"/>
          <w:sz w:val="28"/>
          <w:szCs w:val="28"/>
          <w:lang w:val="en-US" w:eastAsia="zh-CN"/>
        </w:rPr>
        <w:t>响应</w:t>
      </w:r>
      <w:r>
        <w:rPr>
          <w:rFonts w:hint="eastAsia" w:ascii="宋体" w:hAnsi="宋体" w:eastAsia="宋体" w:cs="宋体"/>
          <w:spacing w:val="8"/>
          <w:sz w:val="28"/>
          <w:szCs w:val="28"/>
        </w:rPr>
        <w:t>供应商自行负责。</w:t>
      </w:r>
    </w:p>
    <w:p w14:paraId="07A8E618">
      <w:pPr>
        <w:keepNext w:val="0"/>
        <w:keepLines w:val="0"/>
        <w:pageBreakBefore w:val="0"/>
        <w:widowControl/>
        <w:wordWrap/>
        <w:overflowPunct/>
        <w:topLinePunct w:val="0"/>
        <w:bidi w:val="0"/>
        <w:snapToGrid w:val="0"/>
        <w:spacing w:before="85" w:line="360" w:lineRule="auto"/>
        <w:rPr>
          <w:rFonts w:hint="eastAsia" w:ascii="宋体" w:hAnsi="宋体" w:eastAsia="宋体" w:cs="宋体"/>
          <w:spacing w:val="8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spacing w:val="8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spacing w:val="8"/>
          <w:sz w:val="28"/>
          <w:szCs w:val="28"/>
        </w:rPr>
        <w:t>、本</w:t>
      </w:r>
      <w:r>
        <w:rPr>
          <w:rFonts w:hint="eastAsia" w:ascii="宋体" w:hAnsi="宋体" w:eastAsia="宋体" w:cs="宋体"/>
          <w:spacing w:val="8"/>
          <w:sz w:val="28"/>
          <w:szCs w:val="28"/>
          <w:lang w:val="en-US" w:eastAsia="zh-CN"/>
        </w:rPr>
        <w:t>磋商</w:t>
      </w:r>
      <w:r>
        <w:rPr>
          <w:rFonts w:hint="eastAsia" w:ascii="宋体" w:hAnsi="宋体" w:eastAsia="宋体" w:cs="宋体"/>
          <w:spacing w:val="8"/>
          <w:sz w:val="28"/>
          <w:szCs w:val="28"/>
        </w:rPr>
        <w:t>文件提</w:t>
      </w:r>
      <w:r>
        <w:rPr>
          <w:rFonts w:hint="eastAsia" w:ascii="宋体" w:hAnsi="宋体" w:eastAsia="宋体" w:cs="宋体"/>
          <w:spacing w:val="8"/>
          <w:sz w:val="28"/>
          <w:szCs w:val="28"/>
          <w:highlight w:val="none"/>
        </w:rPr>
        <w:t>出的是最低限度的要求，</w:t>
      </w:r>
      <w:r>
        <w:rPr>
          <w:rFonts w:hint="eastAsia" w:ascii="宋体" w:hAnsi="宋体" w:eastAsia="宋体" w:cs="宋体"/>
          <w:spacing w:val="8"/>
          <w:sz w:val="28"/>
          <w:szCs w:val="28"/>
          <w:highlight w:val="none"/>
          <w:lang w:val="en-US" w:eastAsia="zh-CN"/>
        </w:rPr>
        <w:t>响应</w:t>
      </w:r>
      <w:r>
        <w:rPr>
          <w:rFonts w:hint="eastAsia" w:ascii="宋体" w:hAnsi="宋体" w:eastAsia="宋体" w:cs="宋体"/>
          <w:spacing w:val="8"/>
          <w:sz w:val="28"/>
          <w:szCs w:val="28"/>
          <w:highlight w:val="none"/>
        </w:rPr>
        <w:t>供应商的服务及技术力量应达到或优于本采购文件要求，且符合国家有关标准和规范要求。本部分“采购</w:t>
      </w:r>
      <w:r>
        <w:rPr>
          <w:rFonts w:hint="eastAsia" w:ascii="宋体" w:hAnsi="宋体" w:eastAsia="宋体" w:cs="宋体"/>
          <w:spacing w:val="8"/>
          <w:sz w:val="28"/>
          <w:szCs w:val="28"/>
          <w:highlight w:val="none"/>
          <w:lang w:val="en-US" w:eastAsia="zh-CN"/>
        </w:rPr>
        <w:t>要求</w:t>
      </w:r>
      <w:r>
        <w:rPr>
          <w:rFonts w:hint="eastAsia" w:ascii="宋体" w:hAnsi="宋体" w:eastAsia="宋体" w:cs="宋体"/>
          <w:spacing w:val="8"/>
          <w:sz w:val="28"/>
          <w:szCs w:val="28"/>
          <w:highlight w:val="none"/>
        </w:rPr>
        <w:t>”均属于不允许负偏离的实质性要求和条件。</w:t>
      </w:r>
    </w:p>
    <w:p w14:paraId="0A425313">
      <w:pPr>
        <w:keepNext w:val="0"/>
        <w:keepLines w:val="0"/>
        <w:pageBreakBefore w:val="0"/>
        <w:widowControl/>
        <w:wordWrap/>
        <w:overflowPunct/>
        <w:topLinePunct w:val="0"/>
        <w:bidi w:val="0"/>
        <w:snapToGrid w:val="0"/>
        <w:spacing w:before="85" w:line="360" w:lineRule="auto"/>
        <w:rPr>
          <w:rFonts w:hint="eastAsia" w:ascii="宋体" w:hAnsi="宋体" w:eastAsia="宋体" w:cs="宋体"/>
          <w:spacing w:val="8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spacing w:val="8"/>
          <w:sz w:val="28"/>
          <w:szCs w:val="28"/>
          <w:highlight w:val="none"/>
          <w:lang w:val="en-US" w:eastAsia="zh-CN"/>
        </w:rPr>
        <w:t>4</w:t>
      </w:r>
      <w:r>
        <w:rPr>
          <w:rFonts w:hint="eastAsia" w:ascii="宋体" w:hAnsi="宋体" w:eastAsia="宋体" w:cs="宋体"/>
          <w:spacing w:val="8"/>
          <w:sz w:val="28"/>
          <w:szCs w:val="28"/>
          <w:highlight w:val="none"/>
        </w:rPr>
        <w:t>、主要服务内容及要求：</w:t>
      </w:r>
    </w:p>
    <w:p w14:paraId="4C502DD7">
      <w:pPr>
        <w:keepNext w:val="0"/>
        <w:keepLines w:val="0"/>
        <w:pageBreakBefore w:val="0"/>
        <w:widowControl/>
        <w:wordWrap/>
        <w:overflowPunct/>
        <w:topLinePunct w:val="0"/>
        <w:bidi w:val="0"/>
        <w:snapToGrid w:val="0"/>
        <w:spacing w:before="85" w:line="360" w:lineRule="auto"/>
        <w:rPr>
          <w:rFonts w:hint="eastAsia" w:ascii="宋体" w:hAnsi="宋体" w:eastAsia="宋体" w:cs="宋体"/>
          <w:spacing w:val="8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spacing w:val="8"/>
          <w:sz w:val="28"/>
          <w:szCs w:val="28"/>
          <w:highlight w:val="none"/>
          <w:lang w:val="en-US" w:eastAsia="zh-CN"/>
        </w:rPr>
        <w:t>4.1</w:t>
      </w:r>
      <w:r>
        <w:rPr>
          <w:rFonts w:hint="eastAsia" w:ascii="宋体" w:hAnsi="宋体" w:eastAsia="宋体" w:cs="宋体"/>
          <w:spacing w:val="8"/>
          <w:sz w:val="28"/>
          <w:szCs w:val="28"/>
          <w:highlight w:val="none"/>
        </w:rPr>
        <w:t>服务内容</w:t>
      </w:r>
    </w:p>
    <w:p w14:paraId="2A8A02CF">
      <w:pPr>
        <w:keepNext w:val="0"/>
        <w:keepLines w:val="0"/>
        <w:pageBreakBefore w:val="0"/>
        <w:widowControl/>
        <w:wordWrap/>
        <w:overflowPunct/>
        <w:topLinePunct w:val="0"/>
        <w:bidi w:val="0"/>
        <w:snapToGrid w:val="0"/>
        <w:spacing w:before="85" w:line="360" w:lineRule="auto"/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pacing w:val="8"/>
          <w:sz w:val="28"/>
          <w:szCs w:val="28"/>
          <w:highlight w:val="none"/>
          <w:lang w:val="en-US" w:eastAsia="zh-CN"/>
        </w:rPr>
        <w:t>4.</w:t>
      </w:r>
      <w:r>
        <w:rPr>
          <w:rFonts w:hint="eastAsia" w:ascii="宋体" w:hAnsi="宋体" w:eastAsia="宋体" w:cs="宋体"/>
          <w:spacing w:val="8"/>
          <w:sz w:val="28"/>
          <w:szCs w:val="28"/>
          <w:highlight w:val="none"/>
        </w:rPr>
        <w:t>1.1</w:t>
      </w:r>
      <w:r>
        <w:rPr>
          <w:rFonts w:hint="eastAsia" w:ascii="宋体" w:hAnsi="宋体" w:eastAsia="宋体" w:cs="宋体"/>
          <w:spacing w:val="8"/>
          <w:sz w:val="28"/>
          <w:szCs w:val="28"/>
          <w:highlight w:val="none"/>
          <w:lang w:val="en-US" w:eastAsia="zh-CN"/>
        </w:rPr>
        <w:t>响应供应商</w:t>
      </w:r>
      <w:r>
        <w:rPr>
          <w:rFonts w:hint="eastAsia" w:ascii="宋体" w:hAnsi="宋体" w:eastAsia="宋体" w:cs="宋体"/>
          <w:spacing w:val="8"/>
          <w:sz w:val="28"/>
          <w:szCs w:val="28"/>
          <w:highlight w:val="none"/>
        </w:rPr>
        <w:t>应具备处理船舶油污、生活污水所需的资质、条件和设施，并保证所持有许可证、营业执照等相关证件合法有效。</w:t>
      </w:r>
      <w:r>
        <w:rPr>
          <w:rFonts w:hint="eastAsia" w:ascii="宋体" w:hAnsi="宋体" w:eastAsia="宋体" w:cs="宋体"/>
          <w:spacing w:val="8"/>
          <w:sz w:val="28"/>
          <w:szCs w:val="28"/>
          <w:highlight w:val="none"/>
          <w:lang w:val="en-US" w:eastAsia="zh-CN"/>
        </w:rPr>
        <w:t>并在</w:t>
      </w:r>
      <w:r>
        <w:rPr>
          <w:rFonts w:hint="eastAsia" w:ascii="宋体" w:hAnsi="宋体" w:eastAsia="宋体" w:cs="宋体"/>
          <w:spacing w:val="8"/>
          <w:sz w:val="28"/>
          <w:szCs w:val="28"/>
          <w:highlight w:val="none"/>
        </w:rPr>
        <w:t>长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江干线船舶水污染物联合监管与服务信息系统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eastAsia="zh-CN"/>
        </w:rPr>
        <w:t>（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船e行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eastAsia="zh-CN"/>
        </w:rPr>
        <w:t>）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备案。</w:t>
      </w:r>
    </w:p>
    <w:p w14:paraId="1D786A7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spacing w:val="8"/>
          <w:sz w:val="28"/>
          <w:szCs w:val="28"/>
          <w:highlight w:val="none"/>
          <w:lang w:val="en-US" w:eastAsia="zh-CN"/>
        </w:rPr>
        <w:t>4.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1.2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响应供应商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自备运输车辆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eastAsia="zh-CN"/>
        </w:rPr>
        <w:t>（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危险品运输车九类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eastAsia="zh-CN"/>
        </w:rPr>
        <w:t>）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和装卸人员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eastAsia="zh-CN"/>
        </w:rPr>
        <w:t>、危废车驾驶员、押运员、安全员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等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，收取工业废物（液）。在接到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场站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收运通知后，若无法接受预约按计划处理工业废物（液）的，应及时告知。</w:t>
      </w:r>
    </w:p>
    <w:p w14:paraId="41888B8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spacing w:val="8"/>
          <w:sz w:val="28"/>
          <w:szCs w:val="28"/>
          <w:highlight w:val="none"/>
          <w:lang w:val="en-US" w:eastAsia="zh-CN"/>
        </w:rPr>
        <w:t>4.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1.3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响应供应商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收运车辆以及司机与装卸员工，应当在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场（站）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区内文明作业，作业完毕后将其作业范围清理干净，并遵守其相关环境以及安全管理规定。</w:t>
      </w:r>
    </w:p>
    <w:p w14:paraId="357F652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spacing w:val="8"/>
          <w:sz w:val="28"/>
          <w:szCs w:val="28"/>
          <w:highlight w:val="none"/>
          <w:lang w:val="en-US" w:eastAsia="zh-CN"/>
        </w:rPr>
        <w:t>4.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1.4协助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采购人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在环保机构的相关登记、造册。</w:t>
      </w:r>
    </w:p>
    <w:p w14:paraId="5E0BDFF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宋体" w:hAnsi="宋体" w:eastAsia="宋体" w:cs="宋体"/>
          <w:color w:val="auto"/>
          <w:highlight w:val="none"/>
        </w:rPr>
      </w:pPr>
      <w:r>
        <w:rPr>
          <w:rFonts w:hint="eastAsia" w:ascii="宋体" w:hAnsi="宋体" w:eastAsia="宋体" w:cs="宋体"/>
          <w:spacing w:val="8"/>
          <w:sz w:val="28"/>
          <w:szCs w:val="28"/>
          <w:highlight w:val="none"/>
          <w:lang w:val="en-US" w:eastAsia="zh-CN"/>
        </w:rPr>
        <w:t>4.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1.5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响应供应商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对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采购人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的船舶油污、生活污水依法集中处理。</w:t>
      </w:r>
    </w:p>
    <w:p w14:paraId="6AA40C4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宋体" w:hAnsi="宋体" w:eastAsia="宋体" w:cs="宋体"/>
          <w:highlight w:val="none"/>
        </w:rPr>
      </w:pPr>
      <w:r>
        <w:rPr>
          <w:rFonts w:hint="eastAsia" w:ascii="宋体" w:hAnsi="宋体" w:eastAsia="宋体" w:cs="宋体"/>
          <w:spacing w:val="8"/>
          <w:sz w:val="28"/>
          <w:szCs w:val="28"/>
          <w:highlight w:val="none"/>
          <w:lang w:val="en-US" w:eastAsia="zh-CN"/>
        </w:rPr>
        <w:t>4.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1.5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响应供应商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对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采购人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的船舶油污、生活污水依法集中处理。</w:t>
      </w:r>
    </w:p>
    <w:p w14:paraId="04A32FA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Fonts w:hint="eastAsia" w:ascii="宋体" w:hAnsi="宋体" w:eastAsia="宋体" w:cs="宋体"/>
          <w:color w:val="auto"/>
          <w:spacing w:val="8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pacing w:val="8"/>
          <w:sz w:val="28"/>
          <w:szCs w:val="28"/>
          <w:highlight w:val="none"/>
          <w:lang w:val="en-US" w:eastAsia="zh-CN"/>
        </w:rPr>
        <w:t>4.1.6危废转运处置应遵循就近处置、风险可控原则，降低环境污染潜在风险，全过程严格按照危险废物管理相关法律法规及标准规范执行。</w:t>
      </w:r>
    </w:p>
    <w:p w14:paraId="41BC450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pacing w:val="8"/>
          <w:sz w:val="28"/>
          <w:szCs w:val="28"/>
          <w:highlight w:val="none"/>
          <w:lang w:val="en-US" w:eastAsia="zh-CN"/>
        </w:rPr>
        <w:t>4.2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履行期限、地点</w:t>
      </w:r>
    </w:p>
    <w:p w14:paraId="27CFC1B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eastAsia="zh-CN"/>
        </w:rPr>
      </w:pP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4.2.1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履行期限：合同签订后服务期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3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年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eastAsia="zh-CN"/>
        </w:rPr>
        <w:t>。</w:t>
      </w:r>
    </w:p>
    <w:p w14:paraId="6557ADA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</w:pP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4.2.3地点：采购人指定指点。</w:t>
      </w:r>
    </w:p>
    <w:p w14:paraId="159E16E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360" w:lineRule="auto"/>
        <w:textAlignment w:val="auto"/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</w:pP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4.3</w:t>
      </w:r>
      <w:r>
        <w:rPr>
          <w:rStyle w:val="8"/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危险废物清单：废物种类及数量大约如下：</w:t>
      </w:r>
    </w:p>
    <w:tbl>
      <w:tblPr>
        <w:tblStyle w:val="6"/>
        <w:tblW w:w="857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53"/>
        <w:gridCol w:w="2217"/>
        <w:gridCol w:w="1517"/>
        <w:gridCol w:w="1218"/>
        <w:gridCol w:w="1373"/>
      </w:tblGrid>
      <w:tr w14:paraId="1CDCA2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2253" w:type="dxa"/>
            <w:noWrap/>
            <w:vAlign w:val="center"/>
          </w:tcPr>
          <w:p w14:paraId="1185A8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center"/>
              <w:textAlignment w:val="auto"/>
              <w:rPr>
                <w:rStyle w:val="8"/>
                <w:rFonts w:hint="eastAsia" w:ascii="宋体" w:hAnsi="宋体" w:eastAsia="宋体" w:cs="宋体"/>
                <w:b w:val="0"/>
                <w:bCs w:val="0"/>
                <w:sz w:val="28"/>
                <w:szCs w:val="28"/>
                <w:highlight w:val="none"/>
              </w:rPr>
            </w:pPr>
            <w:r>
              <w:rPr>
                <w:rStyle w:val="8"/>
                <w:rFonts w:hint="eastAsia" w:ascii="宋体" w:hAnsi="宋体" w:eastAsia="宋体" w:cs="宋体"/>
                <w:b w:val="0"/>
                <w:bCs w:val="0"/>
                <w:sz w:val="28"/>
                <w:szCs w:val="28"/>
                <w:highlight w:val="none"/>
              </w:rPr>
              <w:t>危废名称</w:t>
            </w:r>
          </w:p>
        </w:tc>
        <w:tc>
          <w:tcPr>
            <w:tcW w:w="2217" w:type="dxa"/>
            <w:noWrap/>
            <w:vAlign w:val="center"/>
          </w:tcPr>
          <w:p w14:paraId="6991A4B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center"/>
              <w:textAlignment w:val="auto"/>
              <w:rPr>
                <w:rStyle w:val="8"/>
                <w:rFonts w:hint="eastAsia" w:ascii="宋体" w:hAnsi="宋体" w:eastAsia="宋体" w:cs="宋体"/>
                <w:b w:val="0"/>
                <w:bCs w:val="0"/>
                <w:sz w:val="28"/>
                <w:szCs w:val="28"/>
                <w:highlight w:val="none"/>
              </w:rPr>
            </w:pPr>
            <w:r>
              <w:rPr>
                <w:rStyle w:val="8"/>
                <w:rFonts w:hint="eastAsia" w:ascii="宋体" w:hAnsi="宋体" w:eastAsia="宋体" w:cs="宋体"/>
                <w:b w:val="0"/>
                <w:bCs w:val="0"/>
                <w:sz w:val="28"/>
                <w:szCs w:val="28"/>
                <w:highlight w:val="none"/>
              </w:rPr>
              <w:t>危废类别</w:t>
            </w:r>
          </w:p>
        </w:tc>
        <w:tc>
          <w:tcPr>
            <w:tcW w:w="1517" w:type="dxa"/>
            <w:noWrap/>
            <w:vAlign w:val="center"/>
          </w:tcPr>
          <w:p w14:paraId="187D0F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center"/>
              <w:textAlignment w:val="auto"/>
              <w:rPr>
                <w:rStyle w:val="8"/>
                <w:rFonts w:hint="eastAsia" w:ascii="宋体" w:hAnsi="宋体" w:eastAsia="宋体" w:cs="宋体"/>
                <w:b w:val="0"/>
                <w:bCs w:val="0"/>
                <w:sz w:val="28"/>
                <w:szCs w:val="28"/>
                <w:highlight w:val="none"/>
              </w:rPr>
            </w:pPr>
            <w:r>
              <w:rPr>
                <w:rStyle w:val="8"/>
                <w:rFonts w:hint="eastAsia" w:ascii="宋体" w:hAnsi="宋体" w:eastAsia="宋体" w:cs="宋体"/>
                <w:b w:val="0"/>
                <w:bCs w:val="0"/>
                <w:sz w:val="28"/>
                <w:szCs w:val="28"/>
                <w:highlight w:val="none"/>
              </w:rPr>
              <w:t>年预计量（吨）</w:t>
            </w:r>
          </w:p>
        </w:tc>
        <w:tc>
          <w:tcPr>
            <w:tcW w:w="1218" w:type="dxa"/>
            <w:noWrap/>
            <w:vAlign w:val="center"/>
          </w:tcPr>
          <w:p w14:paraId="555342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center"/>
              <w:textAlignment w:val="auto"/>
              <w:rPr>
                <w:rStyle w:val="8"/>
                <w:rFonts w:hint="eastAsia" w:ascii="宋体" w:hAnsi="宋体" w:eastAsia="宋体" w:cs="宋体"/>
                <w:b w:val="0"/>
                <w:bCs w:val="0"/>
                <w:sz w:val="28"/>
                <w:szCs w:val="28"/>
                <w:highlight w:val="none"/>
              </w:rPr>
            </w:pPr>
            <w:r>
              <w:rPr>
                <w:rStyle w:val="8"/>
                <w:rFonts w:hint="eastAsia" w:ascii="宋体" w:hAnsi="宋体" w:eastAsia="宋体" w:cs="宋体"/>
                <w:b w:val="0"/>
                <w:bCs w:val="0"/>
                <w:sz w:val="28"/>
                <w:szCs w:val="28"/>
                <w:highlight w:val="none"/>
              </w:rPr>
              <w:t>包装方式</w:t>
            </w:r>
          </w:p>
        </w:tc>
        <w:tc>
          <w:tcPr>
            <w:tcW w:w="1373" w:type="dxa"/>
            <w:noWrap/>
            <w:vAlign w:val="center"/>
          </w:tcPr>
          <w:p w14:paraId="72A990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center"/>
              <w:textAlignment w:val="auto"/>
              <w:rPr>
                <w:rStyle w:val="8"/>
                <w:rFonts w:hint="eastAsia" w:ascii="宋体" w:hAnsi="宋体" w:eastAsia="宋体" w:cs="宋体"/>
                <w:b w:val="0"/>
                <w:bCs w:val="0"/>
                <w:sz w:val="28"/>
                <w:szCs w:val="28"/>
                <w:highlight w:val="none"/>
              </w:rPr>
            </w:pPr>
            <w:r>
              <w:rPr>
                <w:rStyle w:val="8"/>
                <w:rFonts w:hint="eastAsia" w:ascii="宋体" w:hAnsi="宋体" w:eastAsia="宋体" w:cs="宋体"/>
                <w:b w:val="0"/>
                <w:bCs w:val="0"/>
                <w:sz w:val="28"/>
                <w:szCs w:val="28"/>
                <w:highlight w:val="none"/>
              </w:rPr>
              <w:t>处理方式</w:t>
            </w:r>
          </w:p>
        </w:tc>
      </w:tr>
      <w:tr w14:paraId="7FF747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1" w:hRule="atLeast"/>
          <w:jc w:val="center"/>
        </w:trPr>
        <w:tc>
          <w:tcPr>
            <w:tcW w:w="2253" w:type="dxa"/>
            <w:noWrap/>
            <w:vAlign w:val="center"/>
          </w:tcPr>
          <w:p w14:paraId="7E9E02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center"/>
              <w:textAlignment w:val="auto"/>
              <w:rPr>
                <w:rStyle w:val="8"/>
                <w:rFonts w:hint="eastAsia" w:ascii="宋体" w:hAnsi="宋体" w:eastAsia="宋体" w:cs="宋体"/>
                <w:b w:val="0"/>
                <w:bCs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Style w:val="8"/>
                <w:rFonts w:hint="eastAsia" w:ascii="宋体" w:hAnsi="宋体" w:eastAsia="宋体" w:cs="宋体"/>
                <w:b w:val="0"/>
                <w:bCs w:val="0"/>
                <w:sz w:val="28"/>
                <w:szCs w:val="28"/>
                <w:highlight w:val="none"/>
                <w:lang w:val="en-US" w:eastAsia="zh-CN"/>
              </w:rPr>
              <w:t>船舶油污、生活污水</w:t>
            </w:r>
          </w:p>
        </w:tc>
        <w:tc>
          <w:tcPr>
            <w:tcW w:w="2217" w:type="dxa"/>
            <w:noWrap/>
            <w:vAlign w:val="center"/>
          </w:tcPr>
          <w:p w14:paraId="597C27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center"/>
              <w:textAlignment w:val="auto"/>
              <w:rPr>
                <w:rStyle w:val="8"/>
                <w:rFonts w:hint="eastAsia" w:ascii="宋体" w:hAnsi="宋体" w:eastAsia="宋体" w:cs="宋体"/>
                <w:b w:val="0"/>
                <w:bCs w:val="0"/>
                <w:sz w:val="28"/>
                <w:szCs w:val="28"/>
                <w:highlight w:val="none"/>
              </w:rPr>
            </w:pPr>
            <w:r>
              <w:rPr>
                <w:rStyle w:val="8"/>
                <w:rFonts w:hint="eastAsia" w:ascii="宋体" w:hAnsi="宋体" w:eastAsia="宋体" w:cs="宋体"/>
                <w:b w:val="0"/>
                <w:bCs w:val="0"/>
                <w:sz w:val="28"/>
                <w:szCs w:val="28"/>
                <w:highlight w:val="none"/>
              </w:rPr>
              <w:t>HW08（900-2</w:t>
            </w:r>
            <w:r>
              <w:rPr>
                <w:rStyle w:val="8"/>
                <w:rFonts w:hint="eastAsia" w:ascii="宋体" w:hAnsi="宋体" w:eastAsia="宋体" w:cs="宋体"/>
                <w:b w:val="0"/>
                <w:bCs w:val="0"/>
                <w:sz w:val="28"/>
                <w:szCs w:val="28"/>
                <w:highlight w:val="none"/>
                <w:lang w:val="en-US" w:eastAsia="zh-CN"/>
              </w:rPr>
              <w:t>49</w:t>
            </w:r>
            <w:r>
              <w:rPr>
                <w:rStyle w:val="8"/>
                <w:rFonts w:hint="eastAsia" w:ascii="宋体" w:hAnsi="宋体" w:eastAsia="宋体" w:cs="宋体"/>
                <w:b w:val="0"/>
                <w:bCs w:val="0"/>
                <w:sz w:val="28"/>
                <w:szCs w:val="28"/>
                <w:highlight w:val="none"/>
              </w:rPr>
              <w:t>-08）</w:t>
            </w:r>
          </w:p>
        </w:tc>
        <w:tc>
          <w:tcPr>
            <w:tcW w:w="1517" w:type="dxa"/>
            <w:noWrap/>
            <w:vAlign w:val="center"/>
          </w:tcPr>
          <w:p w14:paraId="065D5B3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firstLine="560" w:firstLineChars="200"/>
              <w:textAlignment w:val="auto"/>
              <w:rPr>
                <w:rStyle w:val="8"/>
                <w:rFonts w:hint="eastAsia" w:ascii="宋体" w:hAnsi="宋体" w:eastAsia="宋体" w:cs="宋体"/>
                <w:b w:val="0"/>
                <w:bCs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Style w:val="8"/>
                <w:rFonts w:hint="eastAsia" w:ascii="宋体" w:hAnsi="宋体" w:eastAsia="宋体" w:cs="宋体"/>
                <w:b w:val="0"/>
                <w:bCs w:val="0"/>
                <w:sz w:val="28"/>
                <w:szCs w:val="28"/>
                <w:highlight w:val="none"/>
                <w:lang w:val="en-US" w:eastAsia="zh-CN"/>
              </w:rPr>
              <w:t>150</w:t>
            </w:r>
          </w:p>
        </w:tc>
        <w:tc>
          <w:tcPr>
            <w:tcW w:w="1218" w:type="dxa"/>
            <w:noWrap/>
            <w:vAlign w:val="center"/>
          </w:tcPr>
          <w:p w14:paraId="0F80041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center"/>
              <w:textAlignment w:val="auto"/>
              <w:rPr>
                <w:rStyle w:val="8"/>
                <w:rFonts w:hint="eastAsia" w:ascii="宋体" w:hAnsi="宋体" w:eastAsia="宋体" w:cs="宋体"/>
                <w:b w:val="0"/>
                <w:bCs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Style w:val="8"/>
                <w:rFonts w:hint="eastAsia" w:ascii="宋体" w:hAnsi="宋体" w:eastAsia="宋体" w:cs="宋体"/>
                <w:b w:val="0"/>
                <w:bCs w:val="0"/>
                <w:sz w:val="28"/>
                <w:szCs w:val="28"/>
                <w:highlight w:val="none"/>
                <w:lang w:val="en-US" w:eastAsia="zh-CN"/>
              </w:rPr>
              <w:t>桶装</w:t>
            </w:r>
          </w:p>
        </w:tc>
        <w:tc>
          <w:tcPr>
            <w:tcW w:w="1373" w:type="dxa"/>
            <w:noWrap/>
            <w:vAlign w:val="center"/>
          </w:tcPr>
          <w:p w14:paraId="0B1E3F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jc w:val="center"/>
              <w:textAlignment w:val="auto"/>
              <w:rPr>
                <w:rStyle w:val="8"/>
                <w:rFonts w:hint="eastAsia" w:ascii="宋体" w:hAnsi="宋体" w:eastAsia="宋体" w:cs="宋体"/>
                <w:b w:val="0"/>
                <w:bCs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Style w:val="8"/>
                <w:rFonts w:hint="eastAsia" w:ascii="宋体" w:hAnsi="宋体" w:eastAsia="宋体" w:cs="宋体"/>
                <w:b w:val="0"/>
                <w:bCs w:val="0"/>
                <w:sz w:val="28"/>
                <w:szCs w:val="28"/>
                <w:highlight w:val="none"/>
                <w:lang w:val="en-US" w:eastAsia="zh-CN"/>
              </w:rPr>
              <w:t>利用</w:t>
            </w:r>
          </w:p>
        </w:tc>
      </w:tr>
    </w:tbl>
    <w:p w14:paraId="6AE5426C">
      <w:pPr>
        <w:keepNext w:val="0"/>
        <w:keepLines w:val="0"/>
        <w:pageBreakBefore w:val="0"/>
        <w:widowControl/>
        <w:numPr>
          <w:ilvl w:val="0"/>
          <w:numId w:val="0"/>
        </w:numPr>
        <w:wordWrap/>
        <w:overflowPunct/>
        <w:topLinePunct w:val="0"/>
        <w:bidi w:val="0"/>
        <w:snapToGrid w:val="0"/>
        <w:spacing w:before="179" w:line="360" w:lineRule="auto"/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5、其他要求</w:t>
      </w:r>
    </w:p>
    <w:p w14:paraId="50A9D029">
      <w:pPr>
        <w:keepNext w:val="0"/>
        <w:keepLines w:val="0"/>
        <w:pageBreakBefore w:val="0"/>
        <w:widowControl/>
        <w:numPr>
          <w:ilvl w:val="0"/>
          <w:numId w:val="0"/>
        </w:numPr>
        <w:wordWrap/>
        <w:overflowPunct/>
        <w:topLinePunct w:val="0"/>
        <w:bidi w:val="0"/>
        <w:snapToGrid w:val="0"/>
        <w:spacing w:before="179" w:line="360" w:lineRule="auto"/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5.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1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成交供应商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对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采购人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的危险废物存放进行指导。</w:t>
      </w:r>
    </w:p>
    <w:p w14:paraId="1237C916">
      <w:pPr>
        <w:keepNext w:val="0"/>
        <w:keepLines w:val="0"/>
        <w:pageBreakBefore w:val="0"/>
        <w:widowControl/>
        <w:wordWrap/>
        <w:overflowPunct/>
        <w:topLinePunct w:val="0"/>
        <w:bidi w:val="0"/>
        <w:snapToGrid w:val="0"/>
        <w:spacing w:before="179" w:line="360" w:lineRule="auto"/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5.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2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eastAsia="zh-CN"/>
        </w:rPr>
        <w:t>.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采购人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将约定下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的船舶油污、生活污水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交予处理。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成交供应商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向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采购人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提供预约式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船舶油污、生活污水处理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处置服务，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采购人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应在每次有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船舶油污、生活污水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处理需要前，通过书面形式通知</w:t>
      </w:r>
      <w:r>
        <w:rPr>
          <w:rFonts w:hint="eastAsia" w:ascii="宋体" w:hAnsi="宋体" w:eastAsia="宋体" w:cs="宋体"/>
          <w:snapToGrid w:val="0"/>
          <w:color w:val="000000"/>
          <w:spacing w:val="6"/>
          <w:kern w:val="0"/>
          <w:sz w:val="28"/>
          <w:szCs w:val="28"/>
          <w:highlight w:val="none"/>
          <w:lang w:val="en-US" w:eastAsia="zh-CN" w:bidi="ar-SA"/>
        </w:rPr>
        <w:t>成交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供应商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具体的收运时间、地点及收运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船舶油污、生活污水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的具体数量和包装方式等，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成交供应商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应在收到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采购人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书面通知后3日内告知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采购人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是否可以提供相应的处理处置服务。</w:t>
      </w:r>
    </w:p>
    <w:p w14:paraId="1A5CAC6E">
      <w:pPr>
        <w:keepNext w:val="0"/>
        <w:keepLines w:val="0"/>
        <w:pageBreakBefore w:val="0"/>
        <w:widowControl/>
        <w:wordWrap/>
        <w:overflowPunct/>
        <w:topLinePunct w:val="0"/>
        <w:bidi w:val="0"/>
        <w:snapToGrid w:val="0"/>
        <w:spacing w:before="179" w:line="360" w:lineRule="auto"/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5.3成交供应商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上门收运时现场称重。</w:t>
      </w:r>
    </w:p>
    <w:p w14:paraId="6ED45ECC">
      <w:pPr>
        <w:keepNext w:val="0"/>
        <w:keepLines w:val="0"/>
        <w:pageBreakBefore w:val="0"/>
        <w:widowControl/>
        <w:wordWrap/>
        <w:overflowPunct/>
        <w:topLinePunct w:val="0"/>
        <w:bidi w:val="0"/>
        <w:snapToGrid w:val="0"/>
        <w:spacing w:before="179" w:line="360" w:lineRule="auto"/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5.4成交供应商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指导并协助</w:t>
      </w:r>
      <w:r>
        <w:rPr>
          <w:rFonts w:hint="eastAsia" w:ascii="宋体" w:hAnsi="宋体" w:eastAsia="宋体" w:cs="宋体"/>
          <w:snapToGrid w:val="0"/>
          <w:color w:val="000000"/>
          <w:spacing w:val="6"/>
          <w:kern w:val="0"/>
          <w:sz w:val="28"/>
          <w:szCs w:val="28"/>
          <w:highlight w:val="none"/>
          <w:lang w:val="en-US" w:eastAsia="zh-CN" w:bidi="ar-SA"/>
        </w:rPr>
        <w:t>采购人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完成“江西省危险废物监管平台”注册工作。提供危险废物管理台帐电子模版，可远程协助规范填写。</w:t>
      </w:r>
    </w:p>
    <w:p w14:paraId="0963ADBE">
      <w:pPr>
        <w:keepNext w:val="0"/>
        <w:keepLines w:val="0"/>
        <w:pageBreakBefore w:val="0"/>
        <w:widowControl/>
        <w:wordWrap/>
        <w:overflowPunct/>
        <w:topLinePunct w:val="0"/>
        <w:bidi w:val="0"/>
        <w:snapToGrid w:val="0"/>
        <w:spacing w:before="179" w:line="360" w:lineRule="auto"/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6、船舶油污、生活污水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种类、数量以及收费凭证及转接责任</w:t>
      </w:r>
    </w:p>
    <w:p w14:paraId="333245E2">
      <w:pPr>
        <w:keepNext w:val="0"/>
        <w:keepLines w:val="0"/>
        <w:pageBreakBefore w:val="0"/>
        <w:widowControl/>
        <w:wordWrap/>
        <w:overflowPunct/>
        <w:topLinePunct w:val="0"/>
        <w:bidi w:val="0"/>
        <w:snapToGrid w:val="0"/>
        <w:spacing w:before="179" w:line="360" w:lineRule="auto"/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6.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1交接待处理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船舶油污、生活污水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时，必须认真填写《危险废物转移联单》的各项内容，该联单作为合同双方核对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船舶油污、生活污水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种类、数量以及收费的凭证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。</w:t>
      </w:r>
    </w:p>
    <w:p w14:paraId="7D2EA34E">
      <w:pPr>
        <w:keepNext w:val="0"/>
        <w:keepLines w:val="0"/>
        <w:pageBreakBefore w:val="0"/>
        <w:widowControl/>
        <w:wordWrap/>
        <w:overflowPunct/>
        <w:topLinePunct w:val="0"/>
        <w:bidi w:val="0"/>
        <w:snapToGrid w:val="0"/>
        <w:spacing w:before="179" w:line="360" w:lineRule="auto"/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6.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2若发生意外或者事故，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采购人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将待处理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船舶油污、生活污水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交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成交供应商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签收之前，责任由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采购人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自行承担；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采购人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将待处理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船舶油污、生活污水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交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成交供应商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签收之后，责任由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成交供应商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自行承担。</w:t>
      </w:r>
    </w:p>
    <w:p w14:paraId="2CBB2C78">
      <w:pPr>
        <w:keepNext w:val="0"/>
        <w:keepLines w:val="0"/>
        <w:pageBreakBefore w:val="0"/>
        <w:widowControl/>
        <w:wordWrap/>
        <w:overflowPunct/>
        <w:topLinePunct w:val="0"/>
        <w:bidi w:val="0"/>
        <w:snapToGrid w:val="0"/>
        <w:spacing w:before="179" w:line="360" w:lineRule="auto"/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6.3成交供应商工作人员可随时对其船舶油污、生活污水处理行为和出厂船舶油污、生活污水运输车辆等进行现场监督检查，以达到共同促进和规范船舶油污、生活污水的处理处置行为，杜绝环境污染事故或引发环境恐慌事件之目的。</w:t>
      </w:r>
    </w:p>
    <w:p w14:paraId="4C7234F5">
      <w:pPr>
        <w:keepNext w:val="0"/>
        <w:keepLines w:val="0"/>
        <w:pageBreakBefore w:val="0"/>
        <w:widowControl/>
        <w:wordWrap/>
        <w:overflowPunct/>
        <w:topLinePunct w:val="0"/>
        <w:bidi w:val="0"/>
        <w:snapToGrid w:val="0"/>
        <w:spacing w:before="179" w:line="360" w:lineRule="auto"/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6.4成交供应商不得擅自将本合同约定范围内的船舶油污、生活污水全部或者部分转交给第三方进行处理/运输，一经发现，采购人有权解除与成交供应商签订的本合同，并要求成交供应商向采购人支付1万元的违约金，如成交供应商支付的违约金不足以补足给采购人造成的损失，成交供应商还需要补足给采购人造成的损失。</w:t>
      </w:r>
    </w:p>
    <w:p w14:paraId="40C229A4">
      <w:pPr>
        <w:keepNext w:val="0"/>
        <w:keepLines w:val="0"/>
        <w:pageBreakBefore w:val="0"/>
        <w:widowControl/>
        <w:wordWrap/>
        <w:overflowPunct/>
        <w:topLinePunct w:val="0"/>
        <w:bidi w:val="0"/>
        <w:snapToGrid w:val="0"/>
        <w:spacing w:before="179" w:line="360" w:lineRule="auto"/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6.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5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成交供应商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若未在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采购人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规定的时间内完成收集、运输工作，每逾期一日按总额 5‰支付滞纳金给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  <w:lang w:val="en-US" w:eastAsia="zh-CN"/>
        </w:rPr>
        <w:t>采购人</w:t>
      </w:r>
      <w:r>
        <w:rPr>
          <w:rFonts w:hint="eastAsia" w:ascii="宋体" w:hAnsi="宋体" w:eastAsia="宋体" w:cs="宋体"/>
          <w:spacing w:val="6"/>
          <w:sz w:val="28"/>
          <w:szCs w:val="28"/>
          <w:highlight w:val="none"/>
        </w:rPr>
        <w:t>。</w:t>
      </w:r>
    </w:p>
    <w:p w14:paraId="21BE4A9C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2"/>
    <w:multiLevelType w:val="multilevel"/>
    <w:tmpl w:val="00000002"/>
    <w:lvl w:ilvl="0" w:tentative="0">
      <w:start w:val="1"/>
      <w:numFmt w:val="decimal"/>
      <w:lvlText w:val="%1"/>
      <w:lvlJc w:val="left"/>
      <w:pPr>
        <w:tabs>
          <w:tab w:val="left" w:pos="113"/>
        </w:tabs>
        <w:ind w:left="425" w:hanging="425"/>
      </w:pPr>
      <w:rPr>
        <w:rFonts w:hint="eastAsia"/>
      </w:rPr>
    </w:lvl>
    <w:lvl w:ilvl="1" w:tentative="0">
      <w:start w:val="1"/>
      <w:numFmt w:val="decimal"/>
      <w:pStyle w:val="2"/>
      <w:lvlText w:val="%1.%2"/>
      <w:lvlJc w:val="left"/>
      <w:pPr>
        <w:tabs>
          <w:tab w:val="left" w:pos="227"/>
        </w:tabs>
        <w:ind w:left="567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tabs>
          <w:tab w:val="left" w:pos="340"/>
        </w:tabs>
        <w:ind w:left="709" w:hanging="709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454"/>
        </w:tabs>
        <w:ind w:left="851" w:hanging="851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567"/>
        </w:tabs>
        <w:ind w:left="992" w:hanging="992"/>
      </w:pPr>
      <w:rPr>
        <w:rFonts w:hint="eastAsia"/>
      </w:rPr>
    </w:lvl>
    <w:lvl w:ilvl="5" w:tentative="0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  <w:rPr>
        <w:rFonts w:hint="eastAsia"/>
      </w:rPr>
    </w:lvl>
    <w:lvl w:ilvl="6" w:tentative="0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  <w:rPr>
        <w:rFonts w:hint="eastAsia"/>
      </w:rPr>
    </w:lvl>
    <w:lvl w:ilvl="7" w:tentative="0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  <w:rPr>
        <w:rFonts w:hint="eastAsia"/>
      </w:rPr>
    </w:lvl>
    <w:lvl w:ilvl="8" w:tentative="0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F773F0"/>
    <w:rsid w:val="52F77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3">
    <w:name w:val="heading 4"/>
    <w:basedOn w:val="1"/>
    <w:next w:val="4"/>
    <w:semiHidden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标书2-二级标题"/>
    <w:basedOn w:val="3"/>
    <w:next w:val="5"/>
    <w:autoRedefine/>
    <w:qFormat/>
    <w:uiPriority w:val="0"/>
    <w:pPr>
      <w:numPr>
        <w:ilvl w:val="1"/>
        <w:numId w:val="1"/>
      </w:numPr>
      <w:outlineLvl w:val="1"/>
    </w:pPr>
    <w:rPr>
      <w:color w:val="000000"/>
      <w:szCs w:val="24"/>
    </w:rPr>
  </w:style>
  <w:style w:type="paragraph" w:customStyle="1" w:styleId="4">
    <w:name w:val="样式6 正文"/>
    <w:autoRedefine/>
    <w:qFormat/>
    <w:uiPriority w:val="0"/>
    <w:pPr>
      <w:widowControl w:val="0"/>
      <w:spacing w:line="360" w:lineRule="auto"/>
      <w:ind w:firstLine="482"/>
      <w:jc w:val="both"/>
    </w:pPr>
    <w:rPr>
      <w:rFonts w:ascii="Times New Roman" w:hAnsi="Times New Roman" w:eastAsia="Times New Roman" w:cs="Times New Roman"/>
      <w:kern w:val="2"/>
      <w:sz w:val="22"/>
      <w:lang w:val="en-US" w:eastAsia="zh-CN" w:bidi="ar-SA"/>
    </w:rPr>
  </w:style>
  <w:style w:type="paragraph" w:customStyle="1" w:styleId="5">
    <w:name w:val="标书6-正文"/>
    <w:basedOn w:val="1"/>
    <w:autoRedefine/>
    <w:qFormat/>
    <w:uiPriority w:val="0"/>
    <w:pPr>
      <w:spacing w:line="360" w:lineRule="auto"/>
      <w:ind w:firstLine="482"/>
    </w:pPr>
    <w:rPr>
      <w:sz w:val="22"/>
      <w:szCs w:val="22"/>
    </w:rPr>
  </w:style>
  <w:style w:type="character" w:styleId="8">
    <w:name w:val="Strong"/>
    <w:basedOn w:val="7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Office_12.1.0.25835_F1E327BC-269C-435d-A152-05C5408002CA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2026-04-08T08:06:00Z</dcterms:created>
  <dc:creator>PC</dc:creator>
  <cp:lastModifiedBy>PC</cp:lastModifiedBy>
  <dcterms:modified xsi:type="dcterms:W3CDTF">2026-04-08T08:06:43Z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2052-12.1.0.25835</vt:lpwstr>
  </property>
  <property fmtid="{D5CDD505-2E9C-101B-9397-08002B2CF9AE}" pid="3" name="ICV">
    <vt:lpwstr>5CE4E69536B54344BA76DC0AE6217A2B_11</vt:lpwstr>
  </property>
  <property fmtid="{D5CDD505-2E9C-101B-9397-08002B2CF9AE}" pid="4" name="KSOTemplateDocerSaveRecord">
    <vt:lpwstr>eyJoZGlkIjoiMjgyNmZkZDZiZmQ2NDRhMDE2ZjliYmNhYThjZDkwMDMiLCJ1c2VySWQiOiIxMDUxMDY1MDM1In0=</vt:lpwstr>
  </property>
</Properties>
</file>