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73FC1F6">
      <w:pPr>
        <w:pStyle w:val="2"/>
        <w:spacing w:before="0" w:after="0" w:line="460" w:lineRule="exact"/>
        <w:jc w:val="center"/>
        <w:rPr>
          <w:rFonts w:hint="eastAsia" w:asciiTheme="minorEastAsia" w:hAnsiTheme="minorEastAsia" w:eastAsiaTheme="minorEastAsia" w:cstheme="minorEastAsia"/>
          <w:b w:val="0"/>
          <w:color w:val="auto"/>
          <w:sz w:val="36"/>
          <w:szCs w:val="36"/>
          <w:highlight w:val="none"/>
        </w:rPr>
      </w:pPr>
      <w:bookmarkStart w:id="0" w:name="_Toc67737578"/>
      <w:r>
        <w:rPr>
          <w:rFonts w:hint="eastAsia" w:asciiTheme="minorEastAsia" w:hAnsiTheme="minorEastAsia" w:eastAsiaTheme="minorEastAsia" w:cstheme="minorEastAsia"/>
          <w:color w:val="auto"/>
          <w:sz w:val="36"/>
          <w:szCs w:val="36"/>
          <w:highlight w:val="none"/>
        </w:rPr>
        <w:t>二、服务内容</w:t>
      </w:r>
      <w:bookmarkEnd w:id="0"/>
      <w:r>
        <w:rPr>
          <w:rFonts w:hint="eastAsia" w:asciiTheme="minorEastAsia" w:hAnsiTheme="minorEastAsia" w:eastAsiaTheme="minorEastAsia" w:cstheme="minorEastAsia"/>
          <w:color w:val="auto"/>
          <w:sz w:val="36"/>
          <w:szCs w:val="36"/>
          <w:highlight w:val="none"/>
        </w:rPr>
        <w:t>及要求</w:t>
      </w:r>
    </w:p>
    <w:p w14:paraId="383DAE83">
      <w:pPr>
        <w:pStyle w:val="3"/>
        <w:spacing w:before="0" w:after="0" w:line="600" w:lineRule="auto"/>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lang w:eastAsia="zh-CN"/>
        </w:rPr>
        <w:t>（</w:t>
      </w:r>
      <w:r>
        <w:rPr>
          <w:rFonts w:hint="eastAsia" w:asciiTheme="minorEastAsia" w:hAnsiTheme="minorEastAsia" w:eastAsiaTheme="minorEastAsia" w:cstheme="minorEastAsia"/>
          <w:sz w:val="24"/>
          <w:szCs w:val="24"/>
          <w:highlight w:val="none"/>
          <w:lang w:val="en-US" w:eastAsia="zh-CN"/>
        </w:rPr>
        <w:t>一</w:t>
      </w:r>
      <w:r>
        <w:rPr>
          <w:rFonts w:hint="eastAsia" w:asciiTheme="minorEastAsia" w:hAnsiTheme="minorEastAsia" w:eastAsiaTheme="minorEastAsia" w:cstheme="minorEastAsia"/>
          <w:sz w:val="24"/>
          <w:szCs w:val="24"/>
          <w:highlight w:val="none"/>
          <w:lang w:eastAsia="zh-CN"/>
        </w:rPr>
        <w:t>）</w:t>
      </w:r>
      <w:r>
        <w:rPr>
          <w:rFonts w:hint="eastAsia" w:asciiTheme="minorEastAsia" w:hAnsiTheme="minorEastAsia" w:eastAsiaTheme="minorEastAsia" w:cstheme="minorEastAsia"/>
          <w:sz w:val="24"/>
          <w:szCs w:val="24"/>
          <w:highlight w:val="none"/>
        </w:rPr>
        <w:t>采购需求</w:t>
      </w:r>
    </w:p>
    <w:p w14:paraId="47ADAC06">
      <w:pPr>
        <w:spacing w:line="360" w:lineRule="auto"/>
        <w:rPr>
          <w:rFonts w:hint="eastAsia" w:ascii="宋体" w:hAnsi="宋体" w:cs="宋体"/>
          <w:color w:val="auto"/>
          <w:sz w:val="24"/>
          <w:szCs w:val="24"/>
          <w:highlight w:val="none"/>
          <w:lang w:val="en-US" w:eastAsia="zh-CN"/>
        </w:rPr>
      </w:pPr>
      <w:r>
        <w:rPr>
          <w:rFonts w:hint="eastAsia" w:ascii="宋体" w:hAnsi="宋体" w:cs="宋体"/>
          <w:color w:val="auto"/>
          <w:sz w:val="24"/>
          <w:szCs w:val="24"/>
          <w:highlight w:val="none"/>
          <w:lang w:val="en-US" w:eastAsia="zh-CN"/>
        </w:rPr>
        <w:t>一）持证矿山</w:t>
      </w:r>
    </w:p>
    <w:p w14:paraId="1120438D">
      <w:pPr>
        <w:spacing w:line="360" w:lineRule="auto"/>
        <w:rPr>
          <w:rFonts w:hint="eastAsia" w:ascii="宋体" w:hAnsi="宋体" w:cs="宋体"/>
          <w:color w:val="auto"/>
          <w:sz w:val="24"/>
          <w:szCs w:val="24"/>
          <w:highlight w:val="none"/>
          <w:lang w:val="en-US" w:eastAsia="zh-CN"/>
        </w:rPr>
      </w:pPr>
      <w:r>
        <w:rPr>
          <w:rFonts w:hint="eastAsia" w:ascii="宋体" w:hAnsi="宋体" w:cs="宋体"/>
          <w:color w:val="auto"/>
          <w:sz w:val="24"/>
          <w:szCs w:val="24"/>
          <w:highlight w:val="none"/>
          <w:lang w:val="en-US" w:eastAsia="zh-CN"/>
        </w:rPr>
        <w:t>1.矿界测量报告</w:t>
      </w:r>
    </w:p>
    <w:p w14:paraId="61B12FAE">
      <w:pPr>
        <w:spacing w:line="360" w:lineRule="auto"/>
        <w:rPr>
          <w:rFonts w:hint="eastAsia" w:ascii="宋体" w:hAnsi="宋体" w:cs="宋体"/>
          <w:color w:val="auto"/>
          <w:sz w:val="24"/>
          <w:szCs w:val="24"/>
          <w:highlight w:val="none"/>
          <w:lang w:val="en-US" w:eastAsia="zh-CN"/>
        </w:rPr>
      </w:pPr>
      <w:r>
        <w:rPr>
          <w:rFonts w:hint="eastAsia" w:ascii="宋体" w:hAnsi="宋体" w:cs="宋体"/>
          <w:color w:val="auto"/>
          <w:sz w:val="24"/>
          <w:szCs w:val="24"/>
          <w:highlight w:val="none"/>
          <w:lang w:val="en-US" w:eastAsia="zh-CN"/>
        </w:rPr>
        <w:t>包括套合图(露天矿山的正射影像图、地下矿山的井上井下对照图等)；</w:t>
      </w:r>
    </w:p>
    <w:p w14:paraId="3A1A453A">
      <w:pPr>
        <w:spacing w:line="360" w:lineRule="auto"/>
        <w:rPr>
          <w:rFonts w:hint="eastAsia" w:ascii="宋体" w:hAnsi="宋体" w:cs="宋体"/>
          <w:color w:val="auto"/>
          <w:sz w:val="24"/>
          <w:szCs w:val="24"/>
          <w:highlight w:val="none"/>
          <w:lang w:val="en-US" w:eastAsia="zh-CN"/>
        </w:rPr>
      </w:pPr>
      <w:r>
        <w:rPr>
          <w:rFonts w:hint="eastAsia" w:ascii="宋体" w:hAnsi="宋体" w:cs="宋体"/>
          <w:color w:val="auto"/>
          <w:sz w:val="24"/>
          <w:szCs w:val="24"/>
          <w:highlight w:val="none"/>
          <w:lang w:val="en-US" w:eastAsia="zh-CN"/>
        </w:rPr>
        <w:t>2.如有越界出具计算矿产资源的地质报告。</w:t>
      </w:r>
    </w:p>
    <w:p w14:paraId="578BEF1C">
      <w:pPr>
        <w:spacing w:line="360" w:lineRule="auto"/>
        <w:rPr>
          <w:rFonts w:hint="eastAsia" w:ascii="宋体" w:hAnsi="宋体" w:cs="宋体"/>
          <w:color w:val="auto"/>
          <w:sz w:val="24"/>
          <w:szCs w:val="24"/>
          <w:highlight w:val="none"/>
          <w:lang w:val="en-US" w:eastAsia="zh-CN"/>
        </w:rPr>
      </w:pPr>
      <w:r>
        <w:rPr>
          <w:rFonts w:hint="eastAsia" w:ascii="宋体" w:hAnsi="宋体" w:cs="宋体"/>
          <w:color w:val="auto"/>
          <w:sz w:val="24"/>
          <w:szCs w:val="24"/>
          <w:highlight w:val="none"/>
          <w:lang w:val="en-US" w:eastAsia="zh-CN"/>
        </w:rPr>
        <w:t>3.露天矿权测量预计36个；地下矿权数量预计10个。越界的地质报告预计露天2个，地下1个。</w:t>
      </w:r>
    </w:p>
    <w:p w14:paraId="54CE830F">
      <w:pPr>
        <w:spacing w:line="360" w:lineRule="auto"/>
        <w:rPr>
          <w:rFonts w:hint="eastAsia" w:ascii="宋体" w:hAnsi="宋体" w:cs="宋体"/>
          <w:color w:val="auto"/>
          <w:sz w:val="24"/>
          <w:szCs w:val="24"/>
          <w:highlight w:val="none"/>
          <w:lang w:val="en-US" w:eastAsia="zh-CN"/>
        </w:rPr>
      </w:pPr>
      <w:r>
        <w:rPr>
          <w:rFonts w:hint="eastAsia" w:ascii="宋体" w:hAnsi="宋体" w:cs="宋体"/>
          <w:color w:val="auto"/>
          <w:sz w:val="24"/>
          <w:szCs w:val="24"/>
          <w:highlight w:val="none"/>
          <w:lang w:val="en-US" w:eastAsia="zh-CN"/>
        </w:rPr>
        <w:t>二）非法盗采</w:t>
      </w:r>
    </w:p>
    <w:p w14:paraId="4412A9CC">
      <w:pPr>
        <w:spacing w:line="360" w:lineRule="auto"/>
        <w:rPr>
          <w:rFonts w:hint="eastAsia" w:ascii="宋体" w:hAnsi="宋体" w:cs="宋体"/>
          <w:color w:val="auto"/>
          <w:sz w:val="24"/>
          <w:szCs w:val="24"/>
          <w:highlight w:val="none"/>
          <w:lang w:val="en-US" w:eastAsia="zh-CN"/>
        </w:rPr>
      </w:pPr>
      <w:r>
        <w:rPr>
          <w:rFonts w:hint="eastAsia" w:ascii="宋体" w:hAnsi="宋体" w:cs="宋体"/>
          <w:color w:val="auto"/>
          <w:sz w:val="24"/>
          <w:szCs w:val="24"/>
          <w:highlight w:val="none"/>
          <w:lang w:val="en-US" w:eastAsia="zh-CN"/>
        </w:rPr>
        <w:t>1.对疑似无证盗采点进行测量；</w:t>
      </w:r>
    </w:p>
    <w:p w14:paraId="6FD96FBE">
      <w:pPr>
        <w:spacing w:line="360" w:lineRule="auto"/>
        <w:rPr>
          <w:rFonts w:hint="eastAsia" w:ascii="宋体" w:hAnsi="宋体" w:cs="宋体"/>
          <w:color w:val="auto"/>
          <w:sz w:val="24"/>
          <w:szCs w:val="24"/>
          <w:highlight w:val="none"/>
          <w:lang w:val="en-US" w:eastAsia="zh-CN"/>
        </w:rPr>
      </w:pPr>
      <w:r>
        <w:rPr>
          <w:rFonts w:hint="eastAsia" w:ascii="宋体" w:hAnsi="宋体" w:cs="宋体"/>
          <w:color w:val="auto"/>
          <w:sz w:val="24"/>
          <w:szCs w:val="24"/>
          <w:highlight w:val="none"/>
          <w:lang w:val="en-US" w:eastAsia="zh-CN"/>
        </w:rPr>
        <w:t>2.对疑似违法矿山或指定非法开采点进行资源储量核查并出具报告(结合1:10000原始地质地形图）。</w:t>
      </w:r>
    </w:p>
    <w:p w14:paraId="29516998">
      <w:pPr>
        <w:spacing w:line="360" w:lineRule="auto"/>
        <w:rPr>
          <w:rFonts w:hint="eastAsia" w:ascii="宋体" w:hAnsi="宋体" w:cs="宋体"/>
          <w:color w:val="auto"/>
          <w:sz w:val="24"/>
          <w:szCs w:val="24"/>
          <w:highlight w:val="none"/>
          <w:lang w:val="en-US" w:eastAsia="zh-CN"/>
        </w:rPr>
      </w:pPr>
      <w:r>
        <w:rPr>
          <w:rFonts w:hint="eastAsia" w:ascii="宋体" w:hAnsi="宋体" w:cs="宋体"/>
          <w:color w:val="auto"/>
          <w:sz w:val="24"/>
          <w:szCs w:val="24"/>
          <w:highlight w:val="none"/>
          <w:lang w:val="en-US" w:eastAsia="zh-CN"/>
        </w:rPr>
        <w:t>3.无证露天盗采点预计数量6个。无证地下盗采点预计数量1个。</w:t>
      </w:r>
    </w:p>
    <w:p w14:paraId="1BCC0457">
      <w:pPr>
        <w:spacing w:line="360" w:lineRule="auto"/>
        <w:rPr>
          <w:rFonts w:hint="eastAsia" w:ascii="宋体" w:hAnsi="宋体" w:cs="宋体"/>
          <w:b/>
          <w:bCs/>
          <w:color w:val="auto"/>
          <w:sz w:val="24"/>
          <w:szCs w:val="24"/>
          <w:highlight w:val="none"/>
          <w:lang w:val="en-US" w:eastAsia="zh-CN"/>
        </w:rPr>
      </w:pPr>
      <w:r>
        <w:rPr>
          <w:rFonts w:hint="eastAsia" w:ascii="宋体" w:hAnsi="宋体" w:cs="宋体"/>
          <w:b/>
          <w:bCs/>
          <w:color w:val="auto"/>
          <w:sz w:val="24"/>
          <w:szCs w:val="24"/>
          <w:highlight w:val="none"/>
          <w:lang w:val="en-US" w:eastAsia="zh-CN"/>
        </w:rPr>
        <w:t>（二）技术要求</w:t>
      </w:r>
    </w:p>
    <w:p w14:paraId="638B2929">
      <w:pPr>
        <w:spacing w:line="360" w:lineRule="auto"/>
        <w:rPr>
          <w:rFonts w:hint="eastAsia" w:ascii="宋体" w:hAnsi="宋体" w:cs="宋体"/>
          <w:color w:val="auto"/>
          <w:sz w:val="24"/>
          <w:szCs w:val="24"/>
          <w:highlight w:val="none"/>
          <w:lang w:val="en-US" w:eastAsia="zh-CN"/>
        </w:rPr>
      </w:pPr>
      <w:r>
        <w:rPr>
          <w:rFonts w:hint="eastAsia" w:ascii="宋体" w:hAnsi="宋体" w:cs="宋体"/>
          <w:color w:val="auto"/>
          <w:sz w:val="24"/>
          <w:szCs w:val="24"/>
          <w:highlight w:val="none"/>
          <w:lang w:val="en-US" w:eastAsia="zh-CN"/>
        </w:rPr>
        <w:t>一）持证矿山矿界测量</w:t>
      </w:r>
    </w:p>
    <w:p w14:paraId="21B64A16">
      <w:pPr>
        <w:spacing w:line="360" w:lineRule="auto"/>
        <w:rPr>
          <w:rFonts w:hint="eastAsia" w:ascii="宋体" w:hAnsi="宋体" w:cs="宋体"/>
          <w:color w:val="auto"/>
          <w:sz w:val="24"/>
          <w:szCs w:val="24"/>
          <w:highlight w:val="none"/>
          <w:lang w:val="en-US" w:eastAsia="zh-CN"/>
        </w:rPr>
      </w:pPr>
      <w:r>
        <w:rPr>
          <w:rFonts w:hint="eastAsia" w:ascii="宋体" w:hAnsi="宋体" w:cs="宋体"/>
          <w:color w:val="auto"/>
          <w:sz w:val="24"/>
          <w:szCs w:val="24"/>
          <w:highlight w:val="none"/>
          <w:lang w:val="en-US" w:eastAsia="zh-CN"/>
        </w:rPr>
        <w:t>1. 收集采矿许可证、矿区范围坐标、地形地质图、开采现状等法定资料，开展实地控制测量、界桩复测、开采范围实测。</w:t>
      </w:r>
    </w:p>
    <w:p w14:paraId="0B5D91BE">
      <w:pPr>
        <w:spacing w:line="360" w:lineRule="auto"/>
        <w:rPr>
          <w:rFonts w:hint="eastAsia" w:ascii="宋体" w:hAnsi="宋体" w:cs="宋体"/>
          <w:color w:val="auto"/>
          <w:sz w:val="24"/>
          <w:szCs w:val="24"/>
          <w:highlight w:val="none"/>
          <w:lang w:val="en-US" w:eastAsia="zh-CN"/>
        </w:rPr>
      </w:pPr>
      <w:r>
        <w:rPr>
          <w:rFonts w:hint="eastAsia" w:ascii="宋体" w:hAnsi="宋体" w:cs="宋体"/>
          <w:color w:val="auto"/>
          <w:sz w:val="24"/>
          <w:szCs w:val="24"/>
          <w:highlight w:val="none"/>
          <w:lang w:val="en-US" w:eastAsia="zh-CN"/>
        </w:rPr>
        <w:t>2. 编制矿界测量报告，内容含：测量说明、控制点成果、界址点坐标表、开采现状与矿界对比分析。</w:t>
      </w:r>
    </w:p>
    <w:p w14:paraId="7E3D5437">
      <w:pPr>
        <w:spacing w:line="360" w:lineRule="auto"/>
        <w:rPr>
          <w:rFonts w:hint="eastAsia" w:ascii="宋体" w:hAnsi="宋体" w:cs="宋体"/>
          <w:color w:val="auto"/>
          <w:sz w:val="24"/>
          <w:szCs w:val="24"/>
          <w:highlight w:val="none"/>
          <w:lang w:val="en-US" w:eastAsia="zh-CN"/>
        </w:rPr>
      </w:pPr>
      <w:r>
        <w:rPr>
          <w:rFonts w:hint="eastAsia" w:ascii="宋体" w:hAnsi="宋体" w:cs="宋体"/>
          <w:color w:val="auto"/>
          <w:sz w:val="24"/>
          <w:szCs w:val="24"/>
          <w:highlight w:val="none"/>
          <w:lang w:val="en-US" w:eastAsia="zh-CN"/>
        </w:rPr>
        <w:t>3. 成果图件：</w:t>
      </w:r>
    </w:p>
    <w:p w14:paraId="07797161">
      <w:pPr>
        <w:spacing w:line="360" w:lineRule="auto"/>
        <w:rPr>
          <w:rFonts w:hint="eastAsia" w:ascii="宋体" w:hAnsi="宋体" w:cs="宋体"/>
          <w:color w:val="auto"/>
          <w:sz w:val="24"/>
          <w:szCs w:val="24"/>
          <w:highlight w:val="none"/>
          <w:lang w:val="en-US" w:eastAsia="zh-CN"/>
        </w:rPr>
      </w:pPr>
      <w:r>
        <w:rPr>
          <w:rFonts w:hint="eastAsia" w:ascii="宋体" w:hAnsi="宋体" w:cs="宋体"/>
          <w:color w:val="auto"/>
          <w:sz w:val="24"/>
          <w:szCs w:val="24"/>
          <w:highlight w:val="none"/>
          <w:lang w:val="en-US" w:eastAsia="zh-CN"/>
        </w:rPr>
        <w:t>- 露天矿山：正射影像图、矿界套合图、开采现状图（比例尺不小于1:2000）。</w:t>
      </w:r>
    </w:p>
    <w:p w14:paraId="0E0B144A">
      <w:pPr>
        <w:spacing w:line="360" w:lineRule="auto"/>
        <w:rPr>
          <w:rFonts w:hint="eastAsia" w:ascii="宋体" w:hAnsi="宋体" w:cs="宋体"/>
          <w:color w:val="auto"/>
          <w:sz w:val="24"/>
          <w:szCs w:val="24"/>
          <w:highlight w:val="none"/>
          <w:lang w:val="en-US" w:eastAsia="zh-CN"/>
        </w:rPr>
      </w:pPr>
      <w:r>
        <w:rPr>
          <w:rFonts w:hint="eastAsia" w:ascii="宋体" w:hAnsi="宋体" w:cs="宋体"/>
          <w:color w:val="auto"/>
          <w:sz w:val="24"/>
          <w:szCs w:val="24"/>
          <w:highlight w:val="none"/>
          <w:lang w:val="en-US" w:eastAsia="zh-CN"/>
        </w:rPr>
        <w:t>- 地下矿山：井上井下对照图、开拓系统图、矿权范围套合图。</w:t>
      </w:r>
    </w:p>
    <w:p w14:paraId="652E5C89">
      <w:pPr>
        <w:spacing w:line="360" w:lineRule="auto"/>
        <w:rPr>
          <w:rFonts w:hint="eastAsia" w:ascii="宋体" w:hAnsi="宋体" w:cs="宋体"/>
          <w:color w:val="auto"/>
          <w:sz w:val="24"/>
          <w:szCs w:val="24"/>
          <w:highlight w:val="none"/>
          <w:lang w:val="en-US" w:eastAsia="zh-CN"/>
        </w:rPr>
      </w:pPr>
      <w:r>
        <w:rPr>
          <w:rFonts w:hint="eastAsia" w:ascii="宋体" w:hAnsi="宋体" w:cs="宋体"/>
          <w:color w:val="auto"/>
          <w:sz w:val="24"/>
          <w:szCs w:val="24"/>
          <w:highlight w:val="none"/>
          <w:lang w:val="en-US" w:eastAsia="zh-CN"/>
        </w:rPr>
        <w:t>4. 坐标与高程采用2000国家大地坐标系、1985国家高程基准，精度符合《采矿权勘测定界技术规程》（DZ/T 0427-2023）。</w:t>
      </w:r>
    </w:p>
    <w:p w14:paraId="6BEE3635">
      <w:pPr>
        <w:spacing w:line="360" w:lineRule="auto"/>
        <w:rPr>
          <w:rFonts w:hint="eastAsia" w:ascii="宋体" w:hAnsi="宋体" w:cs="宋体"/>
          <w:color w:val="auto"/>
          <w:sz w:val="24"/>
          <w:szCs w:val="24"/>
          <w:highlight w:val="none"/>
          <w:lang w:val="en-US" w:eastAsia="zh-CN"/>
        </w:rPr>
      </w:pPr>
      <w:r>
        <w:rPr>
          <w:rFonts w:hint="eastAsia" w:ascii="宋体" w:hAnsi="宋体" w:cs="宋体"/>
          <w:color w:val="auto"/>
          <w:sz w:val="24"/>
          <w:szCs w:val="24"/>
          <w:highlight w:val="none"/>
          <w:lang w:val="en-US" w:eastAsia="zh-CN"/>
        </w:rPr>
        <w:t>二）越界开采矿产资源地质报告</w:t>
      </w:r>
    </w:p>
    <w:p w14:paraId="3CD71C66">
      <w:pPr>
        <w:spacing w:line="360" w:lineRule="auto"/>
        <w:rPr>
          <w:rFonts w:hint="eastAsia" w:ascii="宋体" w:hAnsi="宋体" w:cs="宋体"/>
          <w:color w:val="auto"/>
          <w:sz w:val="24"/>
          <w:szCs w:val="24"/>
          <w:highlight w:val="none"/>
          <w:lang w:val="en-US" w:eastAsia="zh-CN"/>
        </w:rPr>
      </w:pPr>
      <w:r>
        <w:rPr>
          <w:rFonts w:hint="eastAsia" w:ascii="宋体" w:hAnsi="宋体" w:cs="宋体"/>
          <w:color w:val="auto"/>
          <w:sz w:val="24"/>
          <w:szCs w:val="24"/>
          <w:highlight w:val="none"/>
          <w:lang w:val="en-US" w:eastAsia="zh-CN"/>
        </w:rPr>
        <w:t>1. 对实测确认越界的矿山，开展越界范围实测、地质填图、矿体圈定、资源储量估算。</w:t>
      </w:r>
    </w:p>
    <w:p w14:paraId="0CD79C91">
      <w:pPr>
        <w:spacing w:line="360" w:lineRule="auto"/>
        <w:rPr>
          <w:rFonts w:hint="eastAsia" w:ascii="宋体" w:hAnsi="宋体" w:cs="宋体"/>
          <w:color w:val="auto"/>
          <w:sz w:val="24"/>
          <w:szCs w:val="24"/>
          <w:highlight w:val="none"/>
          <w:lang w:val="en-US" w:eastAsia="zh-CN"/>
        </w:rPr>
      </w:pPr>
      <w:r>
        <w:rPr>
          <w:rFonts w:hint="eastAsia" w:ascii="宋体" w:hAnsi="宋体" w:cs="宋体"/>
          <w:color w:val="auto"/>
          <w:sz w:val="24"/>
          <w:szCs w:val="24"/>
          <w:highlight w:val="none"/>
          <w:lang w:val="en-US" w:eastAsia="zh-CN"/>
        </w:rPr>
        <w:t>2. 报告需明确：越界位置与坐标、越界面积、开采厚度、矿体特征、动用资源储量（矿石量/资源量）、计算方法与参数。</w:t>
      </w:r>
    </w:p>
    <w:p w14:paraId="7FE426BB">
      <w:pPr>
        <w:spacing w:line="360" w:lineRule="auto"/>
        <w:rPr>
          <w:rFonts w:hint="eastAsia" w:ascii="宋体" w:hAnsi="宋体" w:cs="宋体"/>
          <w:color w:val="auto"/>
          <w:sz w:val="24"/>
          <w:szCs w:val="24"/>
          <w:highlight w:val="none"/>
          <w:lang w:val="en-US" w:eastAsia="zh-CN"/>
        </w:rPr>
      </w:pPr>
      <w:r>
        <w:rPr>
          <w:rFonts w:hint="eastAsia" w:ascii="宋体" w:hAnsi="宋体" w:cs="宋体"/>
          <w:color w:val="auto"/>
          <w:sz w:val="24"/>
          <w:szCs w:val="24"/>
          <w:highlight w:val="none"/>
          <w:lang w:val="en-US" w:eastAsia="zh-CN"/>
        </w:rPr>
        <w:t>3. 成果满足自然资源主管部门执法查处、储量认定、备案审查要求。</w:t>
      </w:r>
    </w:p>
    <w:p w14:paraId="154A31BC">
      <w:pPr>
        <w:spacing w:line="360" w:lineRule="auto"/>
        <w:rPr>
          <w:rFonts w:hint="eastAsia" w:ascii="宋体" w:hAnsi="宋体" w:cs="宋体"/>
          <w:color w:val="auto"/>
          <w:sz w:val="24"/>
          <w:szCs w:val="24"/>
          <w:highlight w:val="none"/>
          <w:lang w:val="en-US" w:eastAsia="zh-CN"/>
        </w:rPr>
      </w:pPr>
      <w:r>
        <w:rPr>
          <w:rFonts w:hint="eastAsia" w:ascii="宋体" w:hAnsi="宋体" w:cs="宋体"/>
          <w:color w:val="auto"/>
          <w:sz w:val="24"/>
          <w:szCs w:val="24"/>
          <w:highlight w:val="none"/>
          <w:lang w:val="en-US" w:eastAsia="zh-CN"/>
        </w:rPr>
        <w:t>三）非法盗采点测量与资源储量核查</w:t>
      </w:r>
    </w:p>
    <w:p w14:paraId="1F80520D">
      <w:pPr>
        <w:spacing w:line="360" w:lineRule="auto"/>
        <w:rPr>
          <w:rFonts w:hint="eastAsia" w:ascii="宋体" w:hAnsi="宋体" w:cs="宋体"/>
          <w:color w:val="auto"/>
          <w:sz w:val="24"/>
          <w:szCs w:val="24"/>
          <w:highlight w:val="none"/>
          <w:lang w:val="en-US" w:eastAsia="zh-CN"/>
        </w:rPr>
      </w:pPr>
      <w:r>
        <w:rPr>
          <w:rFonts w:hint="eastAsia" w:ascii="宋体" w:hAnsi="宋体" w:cs="宋体"/>
          <w:color w:val="auto"/>
          <w:sz w:val="24"/>
          <w:szCs w:val="24"/>
          <w:highlight w:val="none"/>
          <w:lang w:val="en-US" w:eastAsia="zh-CN"/>
        </w:rPr>
        <w:t>1. 对疑似无证盗采点开展现场定位、范围测量、采空区/开挖面实测，固定违法现场证据。</w:t>
      </w:r>
    </w:p>
    <w:p w14:paraId="512987FE">
      <w:pPr>
        <w:spacing w:line="360" w:lineRule="auto"/>
        <w:rPr>
          <w:rFonts w:hint="eastAsia" w:ascii="宋体" w:hAnsi="宋体" w:cs="宋体"/>
          <w:color w:val="auto"/>
          <w:sz w:val="24"/>
          <w:szCs w:val="24"/>
          <w:highlight w:val="none"/>
          <w:lang w:val="en-US" w:eastAsia="zh-CN"/>
        </w:rPr>
      </w:pPr>
      <w:r>
        <w:rPr>
          <w:rFonts w:hint="eastAsia" w:ascii="宋体" w:hAnsi="宋体" w:cs="宋体"/>
          <w:color w:val="auto"/>
          <w:sz w:val="24"/>
          <w:szCs w:val="24"/>
          <w:highlight w:val="none"/>
          <w:lang w:val="en-US" w:eastAsia="zh-CN"/>
        </w:rPr>
        <w:t>2. 结合1:10000原始地质地形图，开展地质调查与资源储量估算，出具非法开采资源储量核查报告。</w:t>
      </w:r>
    </w:p>
    <w:p w14:paraId="24A9D47B">
      <w:pPr>
        <w:spacing w:line="360" w:lineRule="auto"/>
        <w:rPr>
          <w:rFonts w:hint="eastAsia" w:ascii="宋体" w:hAnsi="宋体" w:cs="宋体"/>
          <w:color w:val="auto"/>
          <w:sz w:val="24"/>
          <w:szCs w:val="24"/>
          <w:highlight w:val="none"/>
          <w:lang w:val="en-US" w:eastAsia="zh-CN"/>
        </w:rPr>
      </w:pPr>
      <w:r>
        <w:rPr>
          <w:rFonts w:hint="eastAsia" w:ascii="宋体" w:hAnsi="宋体" w:cs="宋体"/>
          <w:color w:val="auto"/>
          <w:sz w:val="24"/>
          <w:szCs w:val="24"/>
          <w:highlight w:val="none"/>
          <w:lang w:val="en-US" w:eastAsia="zh-CN"/>
        </w:rPr>
        <w:t>3. 报告内容：盗采点位置与范围、矿种、开采方式、破坏地形地貌情况、采出矿量/破坏资源量、计算依据、结论与建议。</w:t>
      </w:r>
    </w:p>
    <w:p w14:paraId="13FB67C8">
      <w:pPr>
        <w:spacing w:line="360" w:lineRule="auto"/>
        <w:rPr>
          <w:rFonts w:hint="eastAsia" w:ascii="宋体" w:hAnsi="宋体" w:cs="宋体"/>
          <w:color w:val="auto"/>
          <w:sz w:val="24"/>
          <w:szCs w:val="24"/>
          <w:highlight w:val="none"/>
          <w:lang w:val="en-US" w:eastAsia="zh-CN"/>
        </w:rPr>
      </w:pPr>
      <w:r>
        <w:rPr>
          <w:rFonts w:hint="eastAsia" w:ascii="宋体" w:hAnsi="宋体" w:cs="宋体"/>
          <w:color w:val="auto"/>
          <w:sz w:val="24"/>
          <w:szCs w:val="24"/>
          <w:highlight w:val="none"/>
          <w:lang w:val="en-US" w:eastAsia="zh-CN"/>
        </w:rPr>
        <w:t>4. 成果符合《非法采矿采出矿产品价值认定技术指南》（自然资规〔2024〕5号），可作为行政执法与司法认定依据。</w:t>
      </w:r>
    </w:p>
    <w:p w14:paraId="3E1A1DEF">
      <w:pPr>
        <w:spacing w:line="360" w:lineRule="auto"/>
        <w:rPr>
          <w:rFonts w:hint="eastAsia" w:ascii="宋体" w:hAnsi="宋体" w:cs="宋体"/>
          <w:color w:val="auto"/>
          <w:sz w:val="24"/>
          <w:szCs w:val="24"/>
          <w:highlight w:val="none"/>
          <w:lang w:val="en-US" w:eastAsia="zh-CN"/>
        </w:rPr>
      </w:pPr>
      <w:r>
        <w:rPr>
          <w:rFonts w:hint="eastAsia" w:ascii="宋体" w:hAnsi="宋体" w:cs="宋体"/>
          <w:color w:val="auto"/>
          <w:sz w:val="24"/>
          <w:szCs w:val="24"/>
          <w:highlight w:val="none"/>
          <w:lang w:val="en-US" w:eastAsia="zh-CN"/>
        </w:rPr>
        <w:t>四）成果要求</w:t>
      </w:r>
    </w:p>
    <w:p w14:paraId="498989A5">
      <w:pPr>
        <w:spacing w:line="360" w:lineRule="auto"/>
        <w:rPr>
          <w:rFonts w:hint="eastAsia" w:ascii="宋体" w:hAnsi="宋体" w:cs="宋体"/>
          <w:color w:val="auto"/>
          <w:sz w:val="24"/>
          <w:szCs w:val="24"/>
          <w:highlight w:val="none"/>
          <w:lang w:val="en-US" w:eastAsia="zh-CN"/>
        </w:rPr>
      </w:pPr>
      <w:r>
        <w:rPr>
          <w:rFonts w:hint="eastAsia" w:ascii="宋体" w:hAnsi="宋体" w:cs="宋体"/>
          <w:color w:val="auto"/>
          <w:sz w:val="24"/>
          <w:szCs w:val="24"/>
          <w:highlight w:val="none"/>
          <w:lang w:val="en-US" w:eastAsia="zh-CN"/>
        </w:rPr>
        <w:t>1. 所有报告逻辑严谨、数据真实、来源可溯，加盖单位公章与资质章，项目负责人签字。</w:t>
      </w:r>
    </w:p>
    <w:p w14:paraId="6525590C">
      <w:pPr>
        <w:spacing w:line="360" w:lineRule="auto"/>
        <w:rPr>
          <w:rFonts w:hint="eastAsia" w:ascii="宋体" w:hAnsi="宋体" w:cs="宋体"/>
          <w:color w:val="auto"/>
          <w:sz w:val="24"/>
          <w:szCs w:val="24"/>
          <w:highlight w:val="none"/>
          <w:lang w:val="en-US" w:eastAsia="zh-CN"/>
        </w:rPr>
      </w:pPr>
      <w:r>
        <w:rPr>
          <w:rFonts w:hint="eastAsia" w:ascii="宋体" w:hAnsi="宋体" w:cs="宋体"/>
          <w:color w:val="auto"/>
          <w:sz w:val="24"/>
          <w:szCs w:val="24"/>
          <w:highlight w:val="none"/>
          <w:lang w:val="en-US" w:eastAsia="zh-CN"/>
        </w:rPr>
        <w:t>2. 图件规范清晰，要素齐全，附CAD源文件、PDF、影像底图。</w:t>
      </w:r>
    </w:p>
    <w:p w14:paraId="361D14EE">
      <w:pPr>
        <w:spacing w:line="360" w:lineRule="auto"/>
        <w:rPr>
          <w:rFonts w:hint="eastAsia" w:ascii="宋体" w:hAnsi="宋体" w:cs="宋体"/>
          <w:color w:val="auto"/>
          <w:sz w:val="24"/>
          <w:szCs w:val="24"/>
          <w:highlight w:val="none"/>
          <w:lang w:val="en-US" w:eastAsia="zh-CN"/>
        </w:rPr>
      </w:pPr>
      <w:r>
        <w:rPr>
          <w:rFonts w:hint="eastAsia" w:ascii="宋体" w:hAnsi="宋体" w:cs="宋体"/>
          <w:color w:val="auto"/>
          <w:sz w:val="24"/>
          <w:szCs w:val="24"/>
          <w:highlight w:val="none"/>
          <w:lang w:val="en-US" w:eastAsia="zh-CN"/>
        </w:rPr>
        <w:t>3. 成果交付：纸质报告一式6份，电子成果（文档、表格、图件、坐标）全套U盘归档。</w:t>
      </w:r>
    </w:p>
    <w:p w14:paraId="66611AF0">
      <w:pPr>
        <w:spacing w:line="360" w:lineRule="auto"/>
        <w:rPr>
          <w:rFonts w:hint="eastAsia" w:ascii="宋体" w:hAnsi="宋体" w:cs="宋体"/>
          <w:color w:val="auto"/>
          <w:sz w:val="24"/>
          <w:szCs w:val="24"/>
          <w:highlight w:val="none"/>
          <w:lang w:val="en-US" w:eastAsia="zh-CN"/>
        </w:rPr>
      </w:pPr>
      <w:r>
        <w:rPr>
          <w:rFonts w:hint="eastAsia" w:ascii="宋体" w:hAnsi="宋体" w:cs="宋体"/>
          <w:color w:val="auto"/>
          <w:sz w:val="24"/>
          <w:szCs w:val="24"/>
          <w:highlight w:val="none"/>
          <w:lang w:val="en-US" w:eastAsia="zh-CN"/>
        </w:rPr>
        <w:t>4. 配合采购人完成成果审查、备案、答疑、现场核查。</w:t>
      </w:r>
    </w:p>
    <w:p w14:paraId="5301691D">
      <w:pPr>
        <w:spacing w:line="360" w:lineRule="auto"/>
        <w:rPr>
          <w:rFonts w:hint="default" w:ascii="宋体" w:hAnsi="宋体" w:cs="宋体"/>
          <w:color w:val="auto"/>
          <w:sz w:val="24"/>
          <w:szCs w:val="24"/>
          <w:highlight w:val="none"/>
          <w:lang w:val="en-US" w:eastAsia="zh-CN"/>
        </w:rPr>
      </w:pPr>
      <w:r>
        <w:rPr>
          <w:rFonts w:hint="eastAsia" w:ascii="宋体" w:hAnsi="宋体" w:cs="宋体"/>
          <w:color w:val="auto"/>
          <w:sz w:val="24"/>
          <w:szCs w:val="24"/>
          <w:highlight w:val="none"/>
          <w:lang w:val="en-US" w:eastAsia="zh-CN"/>
        </w:rPr>
        <w:t>五）人员要求</w:t>
      </w:r>
      <w:r>
        <w:rPr>
          <w:rFonts w:hint="eastAsia" w:ascii="宋体" w:hAnsi="宋体" w:eastAsia="宋体" w:cs="宋体"/>
          <w:spacing w:val="-1"/>
          <w:sz w:val="24"/>
          <w:szCs w:val="24"/>
          <w:highlight w:val="none"/>
          <w:lang w:val="en-US" w:eastAsia="zh-CN"/>
        </w:rPr>
        <w:t>及设备保障</w:t>
      </w:r>
    </w:p>
    <w:p w14:paraId="318E4401">
      <w:pPr>
        <w:spacing w:before="180" w:line="359" w:lineRule="auto"/>
        <w:ind w:right="174" w:firstLine="238" w:firstLineChars="100"/>
        <w:jc w:val="both"/>
        <w:rPr>
          <w:rFonts w:hint="default" w:ascii="宋体" w:hAnsi="宋体" w:eastAsia="宋体" w:cs="宋体"/>
          <w:spacing w:val="-1"/>
          <w:sz w:val="24"/>
          <w:szCs w:val="24"/>
          <w:highlight w:val="none"/>
          <w:lang w:val="en-US" w:eastAsia="zh-CN"/>
        </w:rPr>
      </w:pPr>
      <w:r>
        <w:rPr>
          <w:rFonts w:hint="eastAsia" w:ascii="宋体" w:hAnsi="宋体" w:eastAsia="宋体" w:cs="宋体"/>
          <w:spacing w:val="-1"/>
          <w:sz w:val="24"/>
          <w:szCs w:val="24"/>
          <w:highlight w:val="none"/>
          <w:lang w:val="en-US" w:eastAsia="zh-CN"/>
        </w:rPr>
        <w:t>1.供应商</w:t>
      </w:r>
      <w:r>
        <w:rPr>
          <w:rFonts w:hint="eastAsia" w:ascii="宋体" w:hAnsi="宋体" w:cs="宋体"/>
          <w:spacing w:val="-1"/>
          <w:sz w:val="24"/>
          <w:szCs w:val="24"/>
          <w:highlight w:val="none"/>
          <w:lang w:val="en-US" w:eastAsia="zh-CN"/>
        </w:rPr>
        <w:t>须</w:t>
      </w:r>
      <w:r>
        <w:rPr>
          <w:rFonts w:hint="eastAsia" w:ascii="宋体" w:hAnsi="宋体" w:eastAsia="宋体" w:cs="宋体"/>
          <w:spacing w:val="-1"/>
          <w:sz w:val="24"/>
          <w:szCs w:val="24"/>
          <w:highlight w:val="none"/>
          <w:lang w:val="en-US" w:eastAsia="zh-CN"/>
        </w:rPr>
        <w:t>具有项目基础人员：</w:t>
      </w:r>
      <w:r>
        <w:rPr>
          <w:rFonts w:hint="default" w:ascii="宋体" w:hAnsi="宋体" w:eastAsia="宋体" w:cs="宋体"/>
          <w:spacing w:val="-1"/>
          <w:sz w:val="24"/>
          <w:szCs w:val="24"/>
          <w:highlight w:val="none"/>
          <w:lang w:val="en-US" w:eastAsia="zh-CN"/>
        </w:rPr>
        <w:t>项目负责人</w:t>
      </w:r>
      <w:r>
        <w:rPr>
          <w:rFonts w:hint="eastAsia" w:ascii="宋体" w:hAnsi="宋体" w:eastAsia="宋体" w:cs="宋体"/>
          <w:spacing w:val="-1"/>
          <w:sz w:val="24"/>
          <w:szCs w:val="24"/>
          <w:highlight w:val="none"/>
          <w:lang w:val="en-US" w:eastAsia="zh-CN"/>
        </w:rPr>
        <w:t>1人、</w:t>
      </w:r>
      <w:r>
        <w:rPr>
          <w:rFonts w:hint="default" w:ascii="宋体" w:hAnsi="宋体" w:eastAsia="宋体" w:cs="宋体"/>
          <w:spacing w:val="-1"/>
          <w:sz w:val="24"/>
          <w:szCs w:val="24"/>
          <w:highlight w:val="none"/>
          <w:lang w:val="en-US" w:eastAsia="zh-CN"/>
        </w:rPr>
        <w:t>技术负责人</w:t>
      </w:r>
      <w:r>
        <w:rPr>
          <w:rFonts w:hint="eastAsia" w:ascii="宋体" w:hAnsi="宋体" w:eastAsia="宋体" w:cs="宋体"/>
          <w:spacing w:val="-1"/>
          <w:sz w:val="24"/>
          <w:szCs w:val="24"/>
          <w:highlight w:val="none"/>
          <w:lang w:val="en-US" w:eastAsia="zh-CN"/>
        </w:rPr>
        <w:t>1人、安全</w:t>
      </w:r>
      <w:r>
        <w:rPr>
          <w:rFonts w:hint="default" w:ascii="宋体" w:hAnsi="宋体" w:eastAsia="宋体" w:cs="宋体"/>
          <w:spacing w:val="-1"/>
          <w:sz w:val="24"/>
          <w:szCs w:val="24"/>
          <w:highlight w:val="none"/>
          <w:lang w:val="en-US" w:eastAsia="zh-CN"/>
        </w:rPr>
        <w:t>负责人</w:t>
      </w:r>
      <w:r>
        <w:rPr>
          <w:rFonts w:hint="eastAsia" w:ascii="宋体" w:hAnsi="宋体" w:eastAsia="宋体" w:cs="宋体"/>
          <w:spacing w:val="-1"/>
          <w:sz w:val="24"/>
          <w:szCs w:val="24"/>
          <w:highlight w:val="none"/>
          <w:lang w:val="en-US" w:eastAsia="zh-CN"/>
        </w:rPr>
        <w:t>1人、其他人员4人；以上拟派人员</w:t>
      </w:r>
      <w:r>
        <w:rPr>
          <w:rFonts w:hint="eastAsia" w:ascii="宋体" w:hAnsi="宋体" w:cs="宋体"/>
          <w:spacing w:val="-1"/>
          <w:sz w:val="24"/>
          <w:szCs w:val="24"/>
          <w:highlight w:val="none"/>
          <w:lang w:val="en-US" w:eastAsia="zh-CN"/>
        </w:rPr>
        <w:t>须</w:t>
      </w:r>
      <w:r>
        <w:rPr>
          <w:rFonts w:hint="eastAsia" w:ascii="宋体" w:hAnsi="宋体" w:eastAsia="宋体" w:cs="宋体"/>
          <w:spacing w:val="-1"/>
          <w:sz w:val="24"/>
          <w:szCs w:val="24"/>
          <w:highlight w:val="none"/>
          <w:lang w:val="en-US" w:eastAsia="zh-CN"/>
        </w:rPr>
        <w:t>含有至少一名注册测绘师。</w:t>
      </w:r>
    </w:p>
    <w:p w14:paraId="0EDB5D11">
      <w:pPr>
        <w:spacing w:before="180" w:line="359" w:lineRule="auto"/>
        <w:ind w:right="174" w:firstLine="238" w:firstLineChars="100"/>
        <w:jc w:val="both"/>
        <w:rPr>
          <w:rFonts w:hint="eastAsia" w:cs="宋体"/>
          <w:color w:val="auto"/>
          <w:kern w:val="0"/>
          <w:sz w:val="24"/>
          <w:szCs w:val="24"/>
          <w:highlight w:val="none"/>
          <w:lang w:val="en-US" w:eastAsia="zh-CN" w:bidi="ar-SA"/>
        </w:rPr>
      </w:pPr>
      <w:r>
        <w:rPr>
          <w:rFonts w:hint="eastAsia" w:ascii="宋体" w:hAnsi="宋体" w:eastAsia="宋体" w:cs="宋体"/>
          <w:spacing w:val="-1"/>
          <w:sz w:val="24"/>
          <w:szCs w:val="24"/>
          <w:highlight w:val="none"/>
          <w:lang w:val="en-US" w:eastAsia="zh-CN"/>
        </w:rPr>
        <w:t>2.供应商</w:t>
      </w:r>
      <w:r>
        <w:rPr>
          <w:rFonts w:hint="eastAsia" w:ascii="宋体" w:hAnsi="宋体" w:cs="宋体"/>
          <w:spacing w:val="-1"/>
          <w:sz w:val="24"/>
          <w:szCs w:val="24"/>
          <w:highlight w:val="none"/>
          <w:lang w:val="en-US" w:eastAsia="zh-CN"/>
        </w:rPr>
        <w:t>须</w:t>
      </w:r>
      <w:r>
        <w:rPr>
          <w:rFonts w:hint="eastAsia" w:ascii="宋体" w:hAnsi="宋体" w:eastAsia="宋体" w:cs="宋体"/>
          <w:spacing w:val="-1"/>
          <w:sz w:val="24"/>
          <w:szCs w:val="24"/>
          <w:highlight w:val="none"/>
          <w:lang w:val="en-US" w:eastAsia="zh-CN"/>
        </w:rPr>
        <w:t>具有完成本项目基础仪器设备：</w:t>
      </w:r>
      <w:r>
        <w:rPr>
          <w:rFonts w:ascii="宋体" w:hAnsi="宋体" w:eastAsia="宋体" w:cs="宋体"/>
          <w:sz w:val="24"/>
          <w:szCs w:val="24"/>
          <w:highlight w:val="none"/>
        </w:rPr>
        <w:t>接收</w:t>
      </w:r>
      <w:r>
        <w:rPr>
          <w:rFonts w:hint="eastAsia" w:cs="宋体"/>
          <w:color w:val="auto"/>
          <w:kern w:val="0"/>
          <w:sz w:val="24"/>
          <w:szCs w:val="24"/>
          <w:highlight w:val="none"/>
          <w:lang w:val="en-US" w:eastAsia="zh-CN" w:bidi="ar-SA"/>
        </w:rPr>
        <w:t>机一台、全站仪一台、无人机一架。</w:t>
      </w:r>
    </w:p>
    <w:p w14:paraId="5F941BE0">
      <w:pPr>
        <w:spacing w:before="180" w:line="359" w:lineRule="auto"/>
        <w:ind w:right="174" w:firstLine="238" w:firstLineChars="100"/>
        <w:jc w:val="both"/>
        <w:rPr>
          <w:rFonts w:hint="eastAsia" w:ascii="宋体" w:hAnsi="宋体" w:eastAsia="宋体" w:cs="宋体"/>
          <w:spacing w:val="-1"/>
          <w:sz w:val="24"/>
          <w:szCs w:val="24"/>
          <w:highlight w:val="none"/>
          <w:lang w:val="en-US" w:eastAsia="zh-CN"/>
        </w:rPr>
      </w:pPr>
      <w:r>
        <w:rPr>
          <w:rFonts w:hint="eastAsia" w:ascii="宋体" w:hAnsi="宋体" w:eastAsia="宋体" w:cs="宋体"/>
          <w:spacing w:val="-1"/>
          <w:sz w:val="24"/>
          <w:szCs w:val="24"/>
          <w:highlight w:val="none"/>
          <w:lang w:val="en-US" w:eastAsia="zh-CN"/>
        </w:rPr>
        <w:t>3.为保证项目数据稳定，投标人应配有相应功能程序软件系统对测绘数据进行必要的采集传输和处理。</w:t>
      </w:r>
    </w:p>
    <w:p w14:paraId="253BA7B2">
      <w:pPr>
        <w:spacing w:line="360" w:lineRule="auto"/>
        <w:rPr>
          <w:rFonts w:hint="eastAsia" w:ascii="宋体" w:hAnsi="宋体" w:cs="宋体"/>
          <w:color w:val="auto"/>
          <w:sz w:val="24"/>
          <w:szCs w:val="24"/>
          <w:highlight w:val="none"/>
          <w:lang w:val="en-US" w:eastAsia="zh-CN"/>
        </w:rPr>
      </w:pPr>
      <w:r>
        <w:rPr>
          <w:rFonts w:hint="eastAsia" w:ascii="宋体" w:hAnsi="宋体" w:cs="宋体"/>
          <w:color w:val="auto"/>
          <w:sz w:val="24"/>
          <w:szCs w:val="24"/>
          <w:highlight w:val="none"/>
          <w:lang w:val="en-US" w:eastAsia="zh-CN"/>
        </w:rPr>
        <w:t>六）工期与服务</w:t>
      </w:r>
    </w:p>
    <w:p w14:paraId="2D97F5BC">
      <w:pPr>
        <w:spacing w:line="360" w:lineRule="auto"/>
        <w:rPr>
          <w:rFonts w:hint="eastAsia" w:ascii="宋体" w:hAnsi="宋体" w:cs="宋体"/>
          <w:color w:val="auto"/>
          <w:sz w:val="24"/>
          <w:szCs w:val="24"/>
          <w:highlight w:val="none"/>
          <w:lang w:val="en-US" w:eastAsia="zh-CN"/>
        </w:rPr>
      </w:pPr>
      <w:r>
        <w:rPr>
          <w:rFonts w:hint="eastAsia" w:ascii="宋体" w:hAnsi="宋体" w:cs="宋体"/>
          <w:color w:val="auto"/>
          <w:sz w:val="24"/>
          <w:szCs w:val="24"/>
          <w:highlight w:val="none"/>
          <w:lang w:val="en-US" w:eastAsia="zh-CN"/>
        </w:rPr>
        <w:t>1. 按采购人要求分批次进场，按期提交成果，确保监管与执法时效。</w:t>
      </w:r>
    </w:p>
    <w:p w14:paraId="038BA0BA">
      <w:pPr>
        <w:spacing w:line="360" w:lineRule="auto"/>
        <w:rPr>
          <w:rFonts w:hint="eastAsia" w:ascii="宋体" w:hAnsi="宋体" w:cs="宋体"/>
          <w:color w:val="auto"/>
          <w:sz w:val="24"/>
          <w:szCs w:val="24"/>
          <w:highlight w:val="none"/>
          <w:lang w:val="en-US" w:eastAsia="zh-CN"/>
        </w:rPr>
      </w:pPr>
      <w:r>
        <w:rPr>
          <w:rFonts w:hint="eastAsia" w:ascii="宋体" w:hAnsi="宋体" w:cs="宋体"/>
          <w:color w:val="auto"/>
          <w:sz w:val="24"/>
          <w:szCs w:val="24"/>
          <w:highlight w:val="none"/>
          <w:lang w:val="en-US" w:eastAsia="zh-CN"/>
        </w:rPr>
        <w:t>2. 提供成果终身质量负责，配合整改、补测与复查。</w:t>
      </w:r>
    </w:p>
    <w:p w14:paraId="1AB2956C">
      <w:pPr>
        <w:spacing w:line="360" w:lineRule="auto"/>
        <w:rPr>
          <w:rFonts w:hint="eastAsia" w:ascii="宋体" w:hAnsi="宋体" w:cs="宋体"/>
          <w:color w:val="auto"/>
          <w:sz w:val="24"/>
          <w:szCs w:val="24"/>
          <w:highlight w:val="none"/>
          <w:lang w:val="en-US" w:eastAsia="zh-CN"/>
        </w:rPr>
      </w:pPr>
      <w:r>
        <w:rPr>
          <w:rFonts w:hint="eastAsia" w:ascii="宋体" w:hAnsi="宋体" w:cs="宋体"/>
          <w:color w:val="auto"/>
          <w:sz w:val="24"/>
          <w:szCs w:val="24"/>
          <w:highlight w:val="none"/>
          <w:lang w:val="en-US" w:eastAsia="zh-CN"/>
        </w:rPr>
        <w:t>3.提供本项目相关配套日常服务。</w:t>
      </w:r>
    </w:p>
    <w:p w14:paraId="24F55A8D">
      <w:pPr>
        <w:spacing w:line="360" w:lineRule="auto"/>
        <w:rPr>
          <w:rFonts w:hint="eastAsia" w:ascii="宋体" w:hAnsi="宋体" w:cs="宋体"/>
          <w:color w:val="auto"/>
          <w:sz w:val="24"/>
          <w:szCs w:val="24"/>
          <w:highlight w:val="none"/>
          <w:lang w:val="en-US" w:eastAsia="zh-CN"/>
        </w:rPr>
      </w:pPr>
      <w:r>
        <w:rPr>
          <w:rFonts w:hint="eastAsia" w:ascii="宋体" w:hAnsi="宋体" w:cs="宋体"/>
          <w:color w:val="auto"/>
          <w:sz w:val="24"/>
          <w:szCs w:val="24"/>
          <w:highlight w:val="none"/>
          <w:lang w:val="en-US" w:eastAsia="zh-CN"/>
        </w:rPr>
        <w:t>七）验收标准</w:t>
      </w:r>
    </w:p>
    <w:p w14:paraId="5D9EBB62">
      <w:pPr>
        <w:spacing w:line="360" w:lineRule="auto"/>
        <w:rPr>
          <w:rFonts w:hint="eastAsia" w:ascii="宋体" w:hAnsi="宋体" w:cs="宋体"/>
          <w:color w:val="auto"/>
          <w:sz w:val="24"/>
          <w:szCs w:val="24"/>
          <w:highlight w:val="none"/>
          <w:lang w:val="en-US" w:eastAsia="zh-CN"/>
        </w:rPr>
      </w:pPr>
      <w:r>
        <w:rPr>
          <w:rFonts w:hint="eastAsia" w:ascii="宋体" w:hAnsi="宋体" w:cs="宋体"/>
          <w:color w:val="auto"/>
          <w:sz w:val="24"/>
          <w:szCs w:val="24"/>
          <w:highlight w:val="none"/>
          <w:lang w:val="en-US" w:eastAsia="zh-CN"/>
        </w:rPr>
        <w:t>1. 成果符合国家、行业现行规范及本技术需求书要求。</w:t>
      </w:r>
    </w:p>
    <w:p w14:paraId="647A9430">
      <w:pPr>
        <w:spacing w:line="360" w:lineRule="auto"/>
        <w:rPr>
          <w:rFonts w:hint="eastAsia" w:ascii="宋体" w:hAnsi="宋体" w:cs="宋体"/>
          <w:color w:val="auto"/>
          <w:sz w:val="24"/>
          <w:szCs w:val="24"/>
          <w:highlight w:val="none"/>
          <w:lang w:val="en-US" w:eastAsia="zh-CN"/>
        </w:rPr>
      </w:pPr>
      <w:r>
        <w:rPr>
          <w:rFonts w:hint="eastAsia" w:ascii="宋体" w:hAnsi="宋体" w:cs="宋体"/>
          <w:color w:val="auto"/>
          <w:sz w:val="24"/>
          <w:szCs w:val="24"/>
          <w:highlight w:val="none"/>
          <w:lang w:val="en-US" w:eastAsia="zh-CN"/>
        </w:rPr>
        <w:t>2. 通过采购人及上级主管部门审查、备案、验收。</w:t>
      </w:r>
    </w:p>
    <w:p w14:paraId="51329849">
      <w:pPr>
        <w:spacing w:line="360" w:lineRule="auto"/>
        <w:rPr>
          <w:rFonts w:hint="eastAsia" w:cs="宋体" w:asciiTheme="minorEastAsia" w:hAnsiTheme="minorEastAsia" w:eastAsiaTheme="minorEastAsia"/>
          <w:color w:val="auto"/>
          <w:sz w:val="24"/>
          <w:szCs w:val="24"/>
          <w:highlight w:val="none"/>
          <w:lang w:val="en-US" w:eastAsia="zh-CN"/>
        </w:rPr>
      </w:pPr>
      <w:r>
        <w:rPr>
          <w:rFonts w:hint="eastAsia" w:ascii="宋体" w:hAnsi="宋体" w:cs="宋体"/>
          <w:color w:val="auto"/>
          <w:sz w:val="24"/>
          <w:szCs w:val="24"/>
          <w:highlight w:val="none"/>
          <w:lang w:val="en-US" w:eastAsia="zh-CN"/>
        </w:rPr>
        <w:t>3. 数据准确、图件清晰、报告合规，满足执法与管理使用。</w:t>
      </w:r>
    </w:p>
    <w:p w14:paraId="1E42D3B3">
      <w:pPr>
        <w:keepNext w:val="0"/>
        <w:keepLines w:val="0"/>
        <w:pageBreakBefore w:val="0"/>
        <w:widowControl/>
        <w:numPr>
          <w:ilvl w:val="0"/>
          <w:numId w:val="0"/>
        </w:numPr>
        <w:kinsoku w:val="0"/>
        <w:wordWrap/>
        <w:overflowPunct/>
        <w:topLinePunct w:val="0"/>
        <w:autoSpaceDE w:val="0"/>
        <w:autoSpaceDN w:val="0"/>
        <w:bidi w:val="0"/>
        <w:adjustRightInd w:val="0"/>
        <w:snapToGrid w:val="0"/>
        <w:spacing w:line="440" w:lineRule="exact"/>
        <w:jc w:val="center"/>
        <w:textAlignment w:val="baseline"/>
        <w:rPr>
          <w:rFonts w:hint="eastAsia" w:ascii="宋体" w:hAnsi="宋体" w:eastAsia="宋体" w:cs="宋体"/>
          <w:b/>
          <w:bCs/>
          <w:color w:val="auto"/>
          <w:sz w:val="28"/>
          <w:szCs w:val="28"/>
          <w:highlight w:val="none"/>
          <w:lang w:val="en-US" w:eastAsia="zh-CN"/>
        </w:rPr>
      </w:pPr>
      <w:bookmarkStart w:id="1" w:name="_Toc67737579"/>
      <w:r>
        <w:rPr>
          <w:rFonts w:hint="eastAsia" w:ascii="宋体" w:hAnsi="宋体" w:cs="宋体"/>
          <w:b/>
          <w:bCs/>
          <w:color w:val="auto"/>
          <w:sz w:val="28"/>
          <w:szCs w:val="28"/>
          <w:highlight w:val="none"/>
          <w:lang w:val="en-US" w:eastAsia="zh-CN"/>
        </w:rPr>
        <w:t>三</w:t>
      </w:r>
      <w:r>
        <w:rPr>
          <w:rFonts w:hint="eastAsia" w:ascii="宋体" w:hAnsi="宋体" w:eastAsia="宋体" w:cs="宋体"/>
          <w:b/>
          <w:bCs/>
          <w:color w:val="auto"/>
          <w:sz w:val="28"/>
          <w:szCs w:val="28"/>
          <w:highlight w:val="none"/>
          <w:lang w:val="en-US" w:eastAsia="zh-CN"/>
        </w:rPr>
        <w:t>、商务条款</w:t>
      </w:r>
      <w:bookmarkEnd w:id="1"/>
    </w:p>
    <w:p w14:paraId="0CD58B21">
      <w:pPr>
        <w:spacing w:line="360"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1.项目踏勘：项目所在地交通运输情况及自然地理条件等由投标人自行前往踏勘，对本项目现有情况和影响服务的因素以及困难条件进行踏勘和充分研究，</w:t>
      </w:r>
      <w:r>
        <w:rPr>
          <w:rFonts w:hint="eastAsia" w:ascii="宋体" w:hAnsi="宋体" w:cs="宋体"/>
          <w:color w:val="auto"/>
          <w:sz w:val="24"/>
          <w:szCs w:val="24"/>
          <w:highlight w:val="none"/>
          <w:lang w:val="en-US" w:eastAsia="zh-CN"/>
        </w:rPr>
        <w:t>作出</w:t>
      </w:r>
      <w:r>
        <w:rPr>
          <w:rFonts w:hint="eastAsia" w:ascii="宋体" w:hAnsi="宋体" w:eastAsia="宋体" w:cs="宋体"/>
          <w:color w:val="auto"/>
          <w:sz w:val="24"/>
          <w:szCs w:val="24"/>
          <w:highlight w:val="none"/>
          <w:lang w:val="en-US" w:eastAsia="zh-CN"/>
        </w:rPr>
        <w:t>判断结论和估价，报价时应充分考虑上述因素。供应商参加投标，即表明供应商对标的的情况和特别规定的认可，投标成功后不得以未咨询或对标的不了解而提出异议或反悔，中标人不得提出增加项目报价或索赔的要求，投标人一旦中标，服务期内中标价不予调整。</w:t>
      </w:r>
    </w:p>
    <w:p w14:paraId="26DDC386">
      <w:pPr>
        <w:spacing w:line="360"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2.服务地点：广信区内</w:t>
      </w:r>
    </w:p>
    <w:p w14:paraId="0412C023">
      <w:pPr>
        <w:spacing w:line="360"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3.合同履行期限：一年（具体以合同约定为准）。</w:t>
      </w:r>
    </w:p>
    <w:p w14:paraId="6B9DB338">
      <w:pPr>
        <w:spacing w:line="360"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4.付款方式：最终成果经甲方验收通过后，根据实际发生工程量结算项目款项，且在收到供应商发票后10日内一次性付清。</w:t>
      </w:r>
    </w:p>
    <w:p w14:paraId="6F98B128">
      <w:pPr>
        <w:spacing w:line="360"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售后服务：投标人应承担深化成果及因上级有关主管部门审查而出现的修改工作，以及其他相关部门专家、领导进行评审的意见修改、补充和完善工作，并提交政府及相关部门审查，根据审查意见修改完善形成最终成果。</w:t>
      </w:r>
    </w:p>
    <w:p w14:paraId="1D51CBB2">
      <w:pPr>
        <w:spacing w:line="360"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6.验收要求：按照编制要求，完成技术要求规定的所有工作内容，按采购需求提交所有成果资料，实施进度符合采购要求，最终项目通过相关部门审批并经采购人组织验收通过并出具书面验收意见。</w:t>
      </w:r>
    </w:p>
    <w:p w14:paraId="3FB21F29">
      <w:pPr>
        <w:spacing w:line="360"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7.违约责任：</w:t>
      </w:r>
    </w:p>
    <w:p w14:paraId="53163E67">
      <w:pPr>
        <w:spacing w:line="360"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（1）成交供应商逾期交付时，应比照中国人民银行有关延期付款的规定，每逾1日成交供应商向采购人偿付合同价款总额万分之五的违约金，涉及不可抗力因素有所延误的，由供应商和采购人协商解决。</w:t>
      </w:r>
    </w:p>
    <w:p w14:paraId="51322C44">
      <w:pPr>
        <w:spacing w:line="360"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（2）因无法通过专家评审的，按逾期交付处理。</w:t>
      </w:r>
    </w:p>
    <w:p w14:paraId="680C6CBF">
      <w:pPr>
        <w:spacing w:line="360"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（3）成交供应商不能履行签订的采购合同，采购人可取消其中标资格，所造成的一切经济损失由成交供应商赔偿。</w:t>
      </w:r>
    </w:p>
    <w:p w14:paraId="4F08660C">
      <w:pPr>
        <w:spacing w:line="360"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（4）其它未尽事宜，双方签订合同时另行约定。</w:t>
      </w:r>
    </w:p>
    <w:p w14:paraId="4DFA69A9">
      <w:pPr>
        <w:spacing w:line="360"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8.服务响应能力：项目服务过程中，项目负责人在接到采购人电话后，</w:t>
      </w:r>
      <w:r>
        <w:rPr>
          <w:rFonts w:hint="eastAsia" w:ascii="宋体" w:hAnsi="宋体" w:cs="宋体"/>
          <w:color w:val="auto"/>
          <w:sz w:val="24"/>
          <w:szCs w:val="24"/>
          <w:highlight w:val="none"/>
          <w:lang w:val="en-US" w:eastAsia="zh-CN"/>
        </w:rPr>
        <w:t>6</w:t>
      </w:r>
      <w:r>
        <w:rPr>
          <w:rFonts w:hint="eastAsia" w:ascii="宋体" w:hAnsi="宋体" w:eastAsia="宋体" w:cs="宋体"/>
          <w:color w:val="auto"/>
          <w:sz w:val="24"/>
          <w:szCs w:val="24"/>
          <w:highlight w:val="none"/>
          <w:lang w:val="en-US" w:eastAsia="zh-CN"/>
        </w:rPr>
        <w:t>小时内赶到现场</w:t>
      </w:r>
      <w:r>
        <w:rPr>
          <w:rFonts w:hint="eastAsia" w:ascii="宋体" w:hAnsi="宋体" w:cs="宋体"/>
          <w:color w:val="auto"/>
          <w:sz w:val="24"/>
          <w:szCs w:val="24"/>
          <w:highlight w:val="none"/>
          <w:lang w:val="en-US" w:eastAsia="zh-CN"/>
        </w:rPr>
        <w:t>服务</w:t>
      </w:r>
      <w:r>
        <w:rPr>
          <w:rFonts w:hint="eastAsia" w:ascii="宋体" w:hAnsi="宋体" w:eastAsia="宋体" w:cs="宋体"/>
          <w:color w:val="auto"/>
          <w:sz w:val="24"/>
          <w:szCs w:val="24"/>
          <w:highlight w:val="none"/>
          <w:lang w:val="en-US" w:eastAsia="zh-CN"/>
        </w:rPr>
        <w:t>。</w:t>
      </w:r>
    </w:p>
    <w:p w14:paraId="7682D6DA">
      <w:pPr>
        <w:spacing w:line="360" w:lineRule="auto"/>
        <w:rPr>
          <w:rFonts w:hint="eastAsia" w:ascii="宋体" w:hAnsi="宋体" w:eastAsia="宋体" w:cs="宋体"/>
          <w:color w:val="auto"/>
          <w:sz w:val="24"/>
          <w:szCs w:val="24"/>
          <w:highlight w:val="none"/>
          <w:lang w:val="en-US" w:eastAsia="zh-CN"/>
        </w:rPr>
      </w:pPr>
      <w:r>
        <w:rPr>
          <w:rFonts w:hint="eastAsia" w:ascii="宋体" w:hAnsi="宋体" w:cs="宋体"/>
          <w:color w:val="auto"/>
          <w:sz w:val="24"/>
          <w:szCs w:val="24"/>
          <w:highlight w:val="none"/>
          <w:lang w:val="en-US" w:eastAsia="zh-CN"/>
        </w:rPr>
        <w:t>9.</w:t>
      </w:r>
      <w:r>
        <w:rPr>
          <w:rFonts w:hint="eastAsia" w:ascii="宋体" w:hAnsi="宋体" w:eastAsia="宋体" w:cs="宋体"/>
          <w:color w:val="auto"/>
          <w:sz w:val="24"/>
          <w:szCs w:val="24"/>
          <w:highlight w:val="none"/>
          <w:lang w:val="en-US" w:eastAsia="zh-CN"/>
        </w:rPr>
        <w:t>其他</w:t>
      </w:r>
    </w:p>
    <w:p w14:paraId="75151DC8">
      <w:pPr>
        <w:spacing w:line="360"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中标人应保证在本项目使用的任何产品和服务（包括部分使用）时，不会产生因第三方提出侵犯其专利权、商标权或其它知识产权而引起的法律和经济纠纷，如因专利权、商标权或其它知识产权而引起法律和经济纠纷，由中标人承担一切与之有关的责任。</w:t>
      </w:r>
    </w:p>
    <w:p w14:paraId="12100842">
      <w:pPr>
        <w:spacing w:line="360"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(2)因本合同引起的或与本合同有关的一切争议，甲、乙双方友好协商解决；协商不成，可向项目所在地的人民法院提起诉讼。发生争议期间，除非法院等有权机构要求停止合同履行，双方都应继续履行合同。</w:t>
      </w:r>
    </w:p>
    <w:p w14:paraId="3DA393D4">
      <w:r>
        <w:rPr>
          <w:rFonts w:hint="eastAsia" w:ascii="宋体" w:hAnsi="宋体" w:eastAsia="宋体" w:cs="宋体"/>
          <w:color w:val="auto"/>
          <w:sz w:val="24"/>
          <w:szCs w:val="24"/>
          <w:highlight w:val="none"/>
          <w:lang w:val="en-US" w:eastAsia="zh-CN"/>
        </w:rPr>
        <w:t>(3)其他未尽事宜可在合同中约定。</w:t>
      </w:r>
      <w:bookmarkStart w:id="2" w:name="_GoBack"/>
      <w:bookmarkEnd w:id="2"/>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24731FD"/>
    <w:rsid w:val="024731F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lang w:val="en-US" w:eastAsia="zh-CN" w:bidi="ar-SA"/>
    </w:rPr>
  </w:style>
  <w:style w:type="paragraph" w:styleId="2">
    <w:name w:val="heading 2"/>
    <w:basedOn w:val="1"/>
    <w:next w:val="1"/>
    <w:qFormat/>
    <w:uiPriority w:val="0"/>
    <w:pPr>
      <w:keepNext/>
      <w:keepLines/>
      <w:spacing w:before="260" w:after="260" w:line="416" w:lineRule="auto"/>
      <w:outlineLvl w:val="1"/>
    </w:pPr>
    <w:rPr>
      <w:rFonts w:ascii="Arial" w:hAnsi="Arial" w:eastAsia="黑体"/>
      <w:b/>
      <w:bCs/>
      <w:sz w:val="32"/>
      <w:szCs w:val="32"/>
    </w:rPr>
  </w:style>
  <w:style w:type="paragraph" w:styleId="3">
    <w:name w:val="heading 3"/>
    <w:basedOn w:val="1"/>
    <w:next w:val="1"/>
    <w:qFormat/>
    <w:uiPriority w:val="0"/>
    <w:pPr>
      <w:keepNext/>
      <w:keepLines/>
      <w:spacing w:before="260" w:after="260" w:line="416" w:lineRule="auto"/>
      <w:outlineLvl w:val="2"/>
    </w:pPr>
    <w:rPr>
      <w:b/>
      <w:bCs/>
      <w:sz w:val="32"/>
      <w:szCs w:val="32"/>
    </w:rPr>
  </w:style>
  <w:style w:type="character" w:default="1" w:styleId="6">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4">
    <w:name w:val="footer"/>
    <w:basedOn w:val="1"/>
    <w:qFormat/>
    <w:uiPriority w:val="99"/>
    <w:pPr>
      <w:tabs>
        <w:tab w:val="center" w:pos="4153"/>
        <w:tab w:val="right" w:pos="8306"/>
      </w:tabs>
      <w:snapToGrid w:val="0"/>
      <w:jc w:val="left"/>
    </w:pPr>
    <w:rPr>
      <w:sz w:val="18"/>
    </w:rPr>
  </w:style>
  <w:style w:type="character" w:styleId="7">
    <w:name w:val="page number"/>
    <w:basedOn w:val="6"/>
    <w:qFormat/>
    <w:uiPriority w:val="0"/>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0</TotalTime>
  <ScaleCrop>false</ScaleCrop>
  <LinksUpToDate>false</LinksUpToDate>
  <CharactersWithSpaces>0</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2026-05-09T06:42:00Z</dcterms:created>
  <dc:creator>Administrator</dc:creator>
  <cp:lastModifiedBy>Administrator</cp:lastModifiedBy>
  <dcterms:modified xsi:type="dcterms:W3CDTF">2026-05-09T06:43:01Z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2522F59A7C894C3490B56B235BD7882A_11</vt:lpwstr>
  </property>
  <property fmtid="{D5CDD505-2E9C-101B-9397-08002B2CF9AE}" pid="4" name="KSOTemplateDocerSaveRecord">
    <vt:lpwstr>eyJoZGlkIjoiOTQzNmI3MWMxNGI3M2VhMDJiMDZmYTZhZGI3MTJiNmUiLCJ1c2VySWQiOiIyMTcxNDM2NTYifQ==</vt:lpwstr>
  </property>
</Properties>
</file>