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hint="eastAsia" w:ascii="黑体" w:hAnsi="黑体" w:eastAsia="黑体" w:cs="黑体"/>
          <w:color w:val="auto"/>
          <w:sz w:val="24"/>
          <w:szCs w:val="24"/>
          <w:highlight w:val="none"/>
        </w:rPr>
      </w:pPr>
      <w:r>
        <w:rPr>
          <w:rFonts w:hint="eastAsia" w:ascii="黑体" w:hAnsi="黑体" w:eastAsia="黑体" w:cs="黑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黑体" w:hAnsi="黑体" w:eastAsia="黑体" w:cs="黑体"/>
          <w:color w:val="auto"/>
          <w:spacing w:val="-2"/>
          <w:sz w:val="24"/>
          <w:szCs w:val="24"/>
          <w:highlight w:val="none"/>
          <w14:textOutline w14:w="4356" w14:cap="sq" w14:cmpd="sng" w14:algn="ctr">
            <w14:solidFill>
              <w14:srgbClr w14:val="000000"/>
            </w14:solidFill>
            <w14:prstDash w14:val="solid"/>
            <w14:bevel/>
          </w14:textOutline>
        </w:rPr>
        <w:t>、</w:t>
      </w:r>
      <w:r>
        <w:rPr>
          <w:rFonts w:hint="eastAsia" w:ascii="黑体" w:hAnsi="黑体" w:eastAsia="黑体" w:cs="黑体"/>
          <w:color w:val="auto"/>
          <w:spacing w:val="-2"/>
          <w:sz w:val="24"/>
          <w:szCs w:val="24"/>
          <w:highlight w:val="none"/>
          <w:lang w:val="en-US" w:eastAsia="zh-CN"/>
          <w14:textOutline w14:w="4356" w14:cap="sq" w14:cmpd="sng" w14:algn="ctr">
            <w14:solidFill>
              <w14:srgbClr w14:val="000000"/>
            </w14:solidFill>
            <w14:prstDash w14:val="solid"/>
            <w14:bevel/>
          </w14:textOutline>
        </w:rPr>
        <w:t>技术要</w:t>
      </w:r>
      <w:r>
        <w:rPr>
          <w:rFonts w:hint="eastAsia" w:ascii="黑体" w:hAnsi="黑体" w:eastAsia="黑体" w:cs="黑体"/>
          <w:color w:val="auto"/>
          <w:spacing w:val="-2"/>
          <w:sz w:val="24"/>
          <w:szCs w:val="24"/>
          <w:highlight w:val="none"/>
          <w14:textOutline w14:w="4356" w14:cap="sq" w14:cmpd="sng" w14:algn="ctr">
            <w14:solidFill>
              <w14:srgbClr w14:val="000000"/>
            </w14:solidFill>
            <w14:prstDash w14:val="solid"/>
            <w14:bevel/>
          </w14:textOutline>
        </w:rPr>
        <w:t>求</w:t>
      </w:r>
    </w:p>
    <w:p w14:paraId="1B0FCB2B">
      <w:pPr>
        <w:pageBreakBefore w:val="0"/>
        <w:widowControl w:val="0"/>
        <w:wordWrap/>
        <w:overflowPunct/>
        <w:topLinePunct w:val="0"/>
        <w:bidi w:val="0"/>
        <w:spacing w:line="242" w:lineRule="auto"/>
        <w:rPr>
          <w:rFonts w:hint="eastAsia" w:ascii="黑体" w:hAnsi="黑体" w:eastAsia="黑体" w:cs="黑体"/>
          <w:color w:val="auto"/>
          <w:highlight w:val="none"/>
        </w:rPr>
      </w:pPr>
    </w:p>
    <w:p w14:paraId="50544940">
      <w:pPr>
        <w:pageBreakBefore w:val="0"/>
        <w:widowControl w:val="0"/>
        <w:wordWrap/>
        <w:overflowPunct/>
        <w:topLinePunct w:val="0"/>
        <w:bidi w:val="0"/>
        <w:spacing w:line="242" w:lineRule="auto"/>
        <w:rPr>
          <w:rFonts w:hint="eastAsia" w:ascii="黑体" w:hAnsi="黑体" w:eastAsia="黑体" w:cs="黑体"/>
          <w:color w:val="auto"/>
          <w:highlight w:val="none"/>
        </w:rPr>
      </w:pPr>
    </w:p>
    <w:p w14:paraId="5F358471">
      <w:pPr>
        <w:spacing w:line="360" w:lineRule="auto"/>
        <w:ind w:firstLine="458" w:firstLineChars="200"/>
        <w:rPr>
          <w:rFonts w:hint="eastAsia" w:ascii="黑体" w:hAnsi="黑体" w:eastAsia="黑体" w:cs="黑体"/>
          <w:b/>
          <w:color w:val="auto"/>
          <w:spacing w:val="-6"/>
          <w:sz w:val="24"/>
          <w:szCs w:val="24"/>
          <w:highlight w:val="none"/>
        </w:rPr>
      </w:pPr>
      <w:r>
        <w:rPr>
          <w:rFonts w:hint="eastAsia" w:ascii="黑体" w:hAnsi="黑体" w:eastAsia="黑体" w:cs="黑体"/>
          <w:b/>
          <w:color w:val="auto"/>
          <w:spacing w:val="-6"/>
          <w:sz w:val="24"/>
          <w:szCs w:val="24"/>
          <w:highlight w:val="none"/>
          <w:lang w:val="en-US" w:eastAsia="zh-CN"/>
        </w:rPr>
        <w:t>一）</w:t>
      </w:r>
      <w:r>
        <w:rPr>
          <w:rFonts w:hint="eastAsia" w:ascii="黑体" w:hAnsi="黑体" w:eastAsia="黑体" w:cs="黑体"/>
          <w:b/>
          <w:color w:val="auto"/>
          <w:spacing w:val="-6"/>
          <w:sz w:val="24"/>
          <w:szCs w:val="24"/>
          <w:highlight w:val="none"/>
        </w:rPr>
        <w:t>项目背景</w:t>
      </w:r>
    </w:p>
    <w:p w14:paraId="3AC3DA29">
      <w:pPr>
        <w:spacing w:line="360" w:lineRule="auto"/>
        <w:ind w:firstLine="456" w:firstLineChars="200"/>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2023年5月，自然资源部在市县级国土空间总体规划编制专题会上要求，各地市需通过编制近期规划，明确实施重点区域、建设用地安排。2025年4月，江西省自然资源厅出台《江西省自然资源厅办公室关于开展市县国土空间近期实施规划编制的通知》（赣自然资办函〔2025〕62号），通知提出为贯彻落实党的二十届三中全会精神，主动衔接落实“十五五”规划编制实施，强化国土空间规划基础作用，要求各地开展市县国土空间近期实施规划编制，提高规划成果的规范性、科学性和有效性。</w:t>
      </w:r>
      <w:r>
        <w:rPr>
          <w:rFonts w:hint="eastAsia" w:ascii="黑体" w:hAnsi="黑体" w:eastAsia="黑体" w:cs="黑体"/>
          <w:color w:val="auto"/>
          <w:spacing w:val="-6"/>
          <w:sz w:val="24"/>
          <w:szCs w:val="24"/>
          <w:highlight w:val="none"/>
          <w:lang w:val="en-US" w:eastAsia="zh-CN"/>
        </w:rPr>
        <w:t>九江市</w:t>
      </w:r>
      <w:r>
        <w:rPr>
          <w:rFonts w:hint="eastAsia" w:ascii="黑体" w:hAnsi="黑体" w:eastAsia="黑体" w:cs="黑体"/>
          <w:color w:val="auto"/>
          <w:spacing w:val="-6"/>
          <w:sz w:val="24"/>
          <w:szCs w:val="24"/>
          <w:highlight w:val="none"/>
          <w:lang w:eastAsia="zh-CN"/>
        </w:rPr>
        <w:t>积极把握“十五五”规划编制的窗口期，同步开展国土空间近期实施规划编制，为“十五五”规划确定的重大战略、重大任务、重大项目落地提供空间保障和</w:t>
      </w:r>
      <w:r>
        <w:rPr>
          <w:rFonts w:hint="eastAsia" w:ascii="黑体" w:hAnsi="黑体" w:eastAsia="黑体" w:cs="黑体"/>
          <w:color w:val="auto"/>
          <w:spacing w:val="-6"/>
          <w:sz w:val="24"/>
          <w:szCs w:val="24"/>
          <w:highlight w:val="none"/>
          <w:lang w:val="en-US" w:eastAsia="zh-CN"/>
        </w:rPr>
        <w:t>空间引导</w:t>
      </w:r>
      <w:r>
        <w:rPr>
          <w:rFonts w:hint="eastAsia" w:ascii="黑体" w:hAnsi="黑体" w:eastAsia="黑体" w:cs="黑体"/>
          <w:color w:val="auto"/>
          <w:spacing w:val="-6"/>
          <w:sz w:val="24"/>
          <w:szCs w:val="24"/>
          <w:highlight w:val="none"/>
          <w:lang w:eastAsia="zh-CN"/>
        </w:rPr>
        <w:t>，为相关专项规划提供空间引导。</w:t>
      </w:r>
    </w:p>
    <w:p w14:paraId="6F29F88A">
      <w:pPr>
        <w:spacing w:line="360" w:lineRule="auto"/>
        <w:ind w:firstLine="458" w:firstLineChars="200"/>
        <w:rPr>
          <w:rFonts w:hint="eastAsia" w:ascii="黑体" w:hAnsi="黑体" w:eastAsia="黑体" w:cs="黑体"/>
          <w:b/>
          <w:color w:val="auto"/>
          <w:spacing w:val="-6"/>
          <w:sz w:val="24"/>
          <w:szCs w:val="24"/>
          <w:highlight w:val="none"/>
          <w:u w:val="none"/>
          <w:lang w:eastAsia="zh-CN"/>
        </w:rPr>
      </w:pPr>
      <w:r>
        <w:rPr>
          <w:rFonts w:hint="eastAsia" w:ascii="黑体" w:hAnsi="黑体" w:eastAsia="黑体" w:cs="黑体"/>
          <w:b/>
          <w:color w:val="auto"/>
          <w:spacing w:val="-6"/>
          <w:sz w:val="24"/>
          <w:szCs w:val="24"/>
          <w:highlight w:val="none"/>
          <w:lang w:val="en-US" w:eastAsia="zh-CN"/>
        </w:rPr>
        <w:t>二）</w:t>
      </w:r>
      <w:r>
        <w:rPr>
          <w:rFonts w:hint="eastAsia" w:ascii="黑体" w:hAnsi="黑体" w:eastAsia="黑体" w:cs="黑体"/>
          <w:b/>
          <w:color w:val="auto"/>
          <w:spacing w:val="-6"/>
          <w:sz w:val="24"/>
          <w:szCs w:val="24"/>
          <w:highlight w:val="none"/>
          <w:lang w:eastAsia="zh-CN"/>
        </w:rPr>
        <w:t>规划</w:t>
      </w:r>
      <w:r>
        <w:rPr>
          <w:rFonts w:hint="eastAsia" w:ascii="黑体" w:hAnsi="黑体" w:eastAsia="黑体" w:cs="黑体"/>
          <w:b/>
          <w:color w:val="auto"/>
          <w:spacing w:val="-6"/>
          <w:sz w:val="24"/>
          <w:szCs w:val="24"/>
          <w:highlight w:val="none"/>
          <w:u w:val="none"/>
          <w:lang w:eastAsia="zh-CN"/>
        </w:rPr>
        <w:t>范围与规划层次</w:t>
      </w:r>
    </w:p>
    <w:p w14:paraId="3830B7F3">
      <w:pPr>
        <w:spacing w:line="360" w:lineRule="auto"/>
        <w:ind w:firstLine="456" w:firstLineChars="200"/>
        <w:rPr>
          <w:rFonts w:hint="eastAsia" w:ascii="黑体" w:hAnsi="黑体" w:eastAsia="黑体" w:cs="黑体"/>
          <w:color w:val="auto"/>
          <w:spacing w:val="-6"/>
          <w:sz w:val="24"/>
          <w:szCs w:val="24"/>
          <w:highlight w:val="none"/>
          <w:u w:val="none"/>
          <w:lang w:eastAsia="zh-CN"/>
        </w:rPr>
      </w:pPr>
      <w:r>
        <w:rPr>
          <w:rFonts w:hint="eastAsia" w:ascii="黑体" w:hAnsi="黑体" w:eastAsia="黑体" w:cs="黑体"/>
          <w:color w:val="auto"/>
          <w:spacing w:val="-6"/>
          <w:sz w:val="24"/>
          <w:szCs w:val="24"/>
          <w:highlight w:val="none"/>
          <w:u w:val="none"/>
          <w:lang w:eastAsia="zh-CN"/>
        </w:rPr>
        <w:t>1、规划范围：近期实施规划的范围为</w:t>
      </w:r>
      <w:r>
        <w:rPr>
          <w:rFonts w:hint="eastAsia" w:ascii="黑体" w:hAnsi="黑体" w:eastAsia="黑体" w:cs="黑体"/>
          <w:color w:val="auto"/>
          <w:spacing w:val="-6"/>
          <w:sz w:val="24"/>
          <w:szCs w:val="24"/>
          <w:highlight w:val="none"/>
          <w:u w:val="none"/>
          <w:lang w:val="en-US" w:eastAsia="zh-CN"/>
        </w:rPr>
        <w:t>九江市</w:t>
      </w:r>
      <w:r>
        <w:rPr>
          <w:rFonts w:hint="eastAsia" w:ascii="黑体" w:hAnsi="黑体" w:eastAsia="黑体" w:cs="黑体"/>
          <w:color w:val="auto"/>
          <w:spacing w:val="-6"/>
          <w:sz w:val="24"/>
          <w:szCs w:val="24"/>
          <w:highlight w:val="none"/>
          <w:u w:val="none"/>
          <w:lang w:eastAsia="zh-CN"/>
        </w:rPr>
        <w:t>行政辖区范围内的全部国土空间。</w:t>
      </w:r>
    </w:p>
    <w:p w14:paraId="400DBBD2">
      <w:pPr>
        <w:spacing w:line="360" w:lineRule="auto"/>
        <w:ind w:firstLine="456" w:firstLineChars="200"/>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u w:val="none"/>
          <w:lang w:eastAsia="zh-CN"/>
        </w:rPr>
        <w:t>2、规划层次：近期实施规划包括</w:t>
      </w:r>
      <w:r>
        <w:rPr>
          <w:rFonts w:hint="eastAsia" w:ascii="黑体" w:hAnsi="黑体" w:eastAsia="黑体" w:cs="黑体"/>
          <w:color w:val="auto"/>
          <w:spacing w:val="-6"/>
          <w:sz w:val="24"/>
          <w:szCs w:val="24"/>
          <w:highlight w:val="none"/>
          <w:u w:val="none"/>
          <w:lang w:val="en-US" w:eastAsia="zh-CN"/>
        </w:rPr>
        <w:t>九江市</w:t>
      </w:r>
      <w:r>
        <w:rPr>
          <w:rFonts w:hint="eastAsia" w:ascii="黑体" w:hAnsi="黑体" w:eastAsia="黑体" w:cs="黑体"/>
          <w:color w:val="auto"/>
          <w:spacing w:val="-6"/>
          <w:sz w:val="24"/>
          <w:szCs w:val="24"/>
          <w:highlight w:val="none"/>
          <w:u w:val="none"/>
          <w:lang w:eastAsia="zh-CN"/>
        </w:rPr>
        <w:t>全域和中心城区两</w:t>
      </w:r>
      <w:r>
        <w:rPr>
          <w:rFonts w:hint="eastAsia" w:ascii="黑体" w:hAnsi="黑体" w:eastAsia="黑体" w:cs="黑体"/>
          <w:color w:val="auto"/>
          <w:spacing w:val="-6"/>
          <w:sz w:val="24"/>
          <w:szCs w:val="24"/>
          <w:highlight w:val="none"/>
          <w:lang w:eastAsia="zh-CN"/>
        </w:rPr>
        <w:t>个空间层次。</w:t>
      </w:r>
    </w:p>
    <w:p w14:paraId="69EB3942">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三</w:t>
      </w:r>
      <w:r>
        <w:rPr>
          <w:rFonts w:hint="eastAsia" w:ascii="黑体" w:hAnsi="黑体" w:eastAsia="黑体" w:cs="黑体"/>
          <w:b/>
          <w:color w:val="auto"/>
          <w:spacing w:val="-6"/>
          <w:sz w:val="24"/>
          <w:szCs w:val="24"/>
          <w:highlight w:val="none"/>
          <w:lang w:eastAsia="zh-CN"/>
        </w:rPr>
        <w:t>）编制内容</w:t>
      </w:r>
    </w:p>
    <w:p w14:paraId="00008E3E">
      <w:pPr>
        <w:spacing w:line="360" w:lineRule="auto"/>
        <w:ind w:firstLine="456" w:firstLineChars="200"/>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编制成果主要内容应符合《江西省市县国土空间近期实施规划编制技术规程（试行）》要求，并综合考虑</w:t>
      </w:r>
      <w:r>
        <w:rPr>
          <w:rFonts w:hint="eastAsia" w:ascii="黑体" w:hAnsi="黑体" w:eastAsia="黑体" w:cs="黑体"/>
          <w:color w:val="auto"/>
          <w:spacing w:val="-6"/>
          <w:sz w:val="24"/>
          <w:szCs w:val="24"/>
          <w:highlight w:val="none"/>
          <w:lang w:val="en-US" w:eastAsia="zh-CN"/>
        </w:rPr>
        <w:t>九江市</w:t>
      </w:r>
      <w:r>
        <w:rPr>
          <w:rFonts w:hint="eastAsia" w:ascii="黑体" w:hAnsi="黑体" w:eastAsia="黑体" w:cs="黑体"/>
          <w:color w:val="auto"/>
          <w:spacing w:val="-6"/>
          <w:sz w:val="24"/>
          <w:szCs w:val="24"/>
          <w:highlight w:val="none"/>
          <w:lang w:eastAsia="zh-CN"/>
        </w:rPr>
        <w:t>本地实际情况（包括</w:t>
      </w:r>
      <w:r>
        <w:rPr>
          <w:rFonts w:hint="eastAsia" w:ascii="黑体" w:hAnsi="黑体" w:eastAsia="黑体" w:cs="黑体"/>
          <w:color w:val="auto"/>
          <w:spacing w:val="-6"/>
          <w:sz w:val="24"/>
          <w:szCs w:val="24"/>
          <w:highlight w:val="none"/>
          <w:lang w:val="en-US" w:eastAsia="zh-CN"/>
        </w:rPr>
        <w:t>以下内容</w:t>
      </w:r>
      <w:r>
        <w:rPr>
          <w:rFonts w:hint="eastAsia" w:ascii="黑体" w:hAnsi="黑体" w:eastAsia="黑体" w:cs="黑体"/>
          <w:color w:val="auto"/>
          <w:spacing w:val="-6"/>
          <w:sz w:val="24"/>
          <w:szCs w:val="24"/>
          <w:highlight w:val="none"/>
          <w:lang w:eastAsia="zh-CN"/>
        </w:rPr>
        <w:t>但不限于）。</w:t>
      </w:r>
    </w:p>
    <w:p w14:paraId="554079AE">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1、</w:t>
      </w:r>
      <w:r>
        <w:rPr>
          <w:rFonts w:hint="eastAsia" w:ascii="黑体" w:hAnsi="黑体" w:eastAsia="黑体" w:cs="黑体"/>
          <w:b/>
          <w:color w:val="auto"/>
          <w:spacing w:val="-6"/>
          <w:sz w:val="24"/>
          <w:szCs w:val="24"/>
          <w:highlight w:val="none"/>
          <w:lang w:eastAsia="zh-CN"/>
        </w:rPr>
        <w:t>现状情况分析</w:t>
      </w:r>
    </w:p>
    <w:p w14:paraId="2588F396">
      <w:pPr>
        <w:spacing w:line="360" w:lineRule="auto"/>
        <w:ind w:firstLine="456" w:firstLineChars="200"/>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结合历年</w:t>
      </w:r>
      <w:r>
        <w:rPr>
          <w:rFonts w:hint="eastAsia" w:ascii="黑体" w:hAnsi="黑体" w:eastAsia="黑体" w:cs="黑体"/>
          <w:color w:val="auto"/>
          <w:spacing w:val="-6"/>
          <w:sz w:val="24"/>
          <w:szCs w:val="24"/>
          <w:highlight w:val="none"/>
          <w:lang w:val="en-US" w:eastAsia="zh-CN"/>
        </w:rPr>
        <w:t>九江</w:t>
      </w:r>
      <w:r>
        <w:rPr>
          <w:rFonts w:hint="eastAsia" w:ascii="黑体" w:hAnsi="黑体" w:eastAsia="黑体" w:cs="黑体"/>
          <w:color w:val="auto"/>
          <w:spacing w:val="-6"/>
          <w:sz w:val="24"/>
          <w:szCs w:val="24"/>
          <w:highlight w:val="none"/>
          <w:lang w:eastAsia="zh-CN"/>
        </w:rPr>
        <w:t>市国土空间规划城市体检和五年规划实施评估成果，识别规划实施过程中面临的新情况、新问题，研判未来五年发展形势。</w:t>
      </w:r>
    </w:p>
    <w:p w14:paraId="11F58023">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2、</w:t>
      </w:r>
      <w:r>
        <w:rPr>
          <w:rFonts w:hint="eastAsia" w:ascii="黑体" w:hAnsi="黑体" w:eastAsia="黑体" w:cs="黑体"/>
          <w:b/>
          <w:color w:val="auto"/>
          <w:spacing w:val="-6"/>
          <w:sz w:val="24"/>
          <w:szCs w:val="24"/>
          <w:highlight w:val="none"/>
          <w:lang w:eastAsia="zh-CN"/>
        </w:rPr>
        <w:t>战略和目标</w:t>
      </w:r>
    </w:p>
    <w:p w14:paraId="12416C80">
      <w:pPr>
        <w:spacing w:line="360" w:lineRule="auto"/>
        <w:ind w:firstLine="456" w:firstLineChars="200"/>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细化落实国土空间总体规划目标定位，统筹国土空间开发与保护，提出近期全域国土空间开发保护目标。从底线管控、结构效率和空间品质等方面提出规划近期年国土空间开发保护的约束性、预期性指标。</w:t>
      </w:r>
    </w:p>
    <w:p w14:paraId="72EC1D4C">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3、</w:t>
      </w:r>
      <w:r>
        <w:rPr>
          <w:rFonts w:hint="eastAsia" w:ascii="黑体" w:hAnsi="黑体" w:eastAsia="黑体" w:cs="黑体"/>
          <w:b/>
          <w:color w:val="auto"/>
          <w:spacing w:val="-6"/>
          <w:sz w:val="24"/>
          <w:szCs w:val="24"/>
          <w:highlight w:val="none"/>
          <w:lang w:eastAsia="zh-CN"/>
        </w:rPr>
        <w:t>全域近期实施规划</w:t>
      </w:r>
    </w:p>
    <w:p w14:paraId="672CF2A7">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（1）“三区三线”管控。统筹最新永久基本农田和城镇开发边界优化、城镇开发边界更新维护成果，更新国土空间总体规划确定的“三区三线”划定成果，明确下级行政单元各类控制线的面积和管控要求。</w:t>
      </w:r>
    </w:p>
    <w:p w14:paraId="4265EF39">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2）国土空间规划分区。在国土空间总体规划确定的国土空间规划分区基础上，按照“总体稳定、底线约束、布局优化、局部调整”的思路，优化国土空间规划分区。制定分区准入、清单管理和指标控制等用途准入原则和管控要求。</w:t>
      </w:r>
    </w:p>
    <w:p w14:paraId="5B972F87">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3）重点建设项目布局。结合《纲要》和交通、水利、住房建设、农业农村、生态环境等各部门专项规划，梳理各类重点建设项目的类型、重要性等级，明确重点建设项目的优先序，合理安排重点建设项目用地。</w:t>
      </w:r>
    </w:p>
    <w:p w14:paraId="5207355E">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4、</w:t>
      </w:r>
      <w:r>
        <w:rPr>
          <w:rFonts w:hint="eastAsia" w:ascii="黑体" w:hAnsi="黑体" w:eastAsia="黑体" w:cs="黑体"/>
          <w:b/>
          <w:color w:val="auto"/>
          <w:spacing w:val="-6"/>
          <w:sz w:val="24"/>
          <w:szCs w:val="24"/>
          <w:highlight w:val="none"/>
          <w:lang w:eastAsia="zh-CN"/>
        </w:rPr>
        <w:t>中心城区近期实施规划</w:t>
      </w:r>
    </w:p>
    <w:p w14:paraId="7997437E">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（1）人口规模。根据人口与城镇化发展规律，科学预测中心城区近期人口规模。</w:t>
      </w:r>
    </w:p>
    <w:p w14:paraId="3B052BA4">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（2）用地规模。结合国土空间总体规划实施期间已报批的城镇批次用地，以及城镇开发边界增量空间，测算城镇开发边界增量空间剩余规模。</w:t>
      </w:r>
    </w:p>
    <w:p w14:paraId="5067F796">
      <w:pPr>
        <w:spacing w:line="360" w:lineRule="auto"/>
        <w:ind w:firstLine="456" w:firstLineChars="200"/>
        <w:jc w:val="both"/>
        <w:rPr>
          <w:rFonts w:hint="eastAsia" w:ascii="黑体" w:hAnsi="黑体" w:eastAsia="黑体" w:cs="黑体"/>
          <w:color w:val="auto"/>
          <w:spacing w:val="-6"/>
          <w:sz w:val="24"/>
          <w:szCs w:val="24"/>
          <w:highlight w:val="none"/>
          <w:u w:val="none"/>
          <w:lang w:eastAsia="zh-CN"/>
        </w:rPr>
      </w:pPr>
      <w:r>
        <w:rPr>
          <w:rFonts w:hint="eastAsia" w:ascii="黑体" w:hAnsi="黑体" w:eastAsia="黑体" w:cs="黑体"/>
          <w:color w:val="auto"/>
          <w:spacing w:val="-6"/>
          <w:sz w:val="24"/>
          <w:szCs w:val="24"/>
          <w:highlight w:val="none"/>
          <w:lang w:eastAsia="zh-CN"/>
        </w:rPr>
        <w:t>（3）近期新增建设用地投放。衔接《纲要》，结合国土空间总体规划实施评估，对规划近期项目做出统筹安排，编制城市更新、土地综合整治、生态修复、基础设施、公共服务设施和防洪排涝工程等重大项目清单，结合城镇开发边界内剩余增量空间规模，提出近期土地</w:t>
      </w:r>
      <w:r>
        <w:rPr>
          <w:rFonts w:hint="eastAsia" w:ascii="黑体" w:hAnsi="黑体" w:eastAsia="黑体" w:cs="黑体"/>
          <w:color w:val="auto"/>
          <w:spacing w:val="-6"/>
          <w:sz w:val="24"/>
          <w:szCs w:val="24"/>
          <w:highlight w:val="none"/>
          <w:u w:val="none"/>
          <w:lang w:eastAsia="zh-CN"/>
        </w:rPr>
        <w:t>增量空间的投放分布。</w:t>
      </w:r>
    </w:p>
    <w:p w14:paraId="6E55E2B8">
      <w:pPr>
        <w:spacing w:line="360" w:lineRule="auto"/>
        <w:ind w:firstLine="456" w:firstLineChars="200"/>
        <w:jc w:val="both"/>
        <w:rPr>
          <w:rFonts w:hint="eastAsia" w:ascii="黑体" w:hAnsi="黑体" w:eastAsia="黑体" w:cs="黑体"/>
          <w:color w:val="auto"/>
          <w:spacing w:val="-6"/>
          <w:sz w:val="24"/>
          <w:szCs w:val="24"/>
          <w:highlight w:val="none"/>
          <w:u w:val="none"/>
          <w:lang w:eastAsia="zh-CN"/>
        </w:rPr>
      </w:pPr>
      <w:r>
        <w:rPr>
          <w:rFonts w:hint="eastAsia" w:ascii="黑体" w:hAnsi="黑体" w:eastAsia="黑体" w:cs="黑体"/>
          <w:color w:val="auto"/>
          <w:spacing w:val="-6"/>
          <w:sz w:val="24"/>
          <w:szCs w:val="24"/>
          <w:highlight w:val="none"/>
          <w:u w:val="none"/>
          <w:lang w:val="en-US" w:eastAsia="zh-CN"/>
        </w:rPr>
        <w:t>（4）近期存量建设用地盘活。结合国土空间总体规划实施评估，梳理中心城区批而未用、批而未供土地及低效用地、闲置土地情况，充分挖潜各类存量用地并测算近期可盘活利用规模，明确近期任务、重点区域与实施策略。</w:t>
      </w:r>
    </w:p>
    <w:p w14:paraId="630F4E48">
      <w:pPr>
        <w:spacing w:line="360" w:lineRule="auto"/>
        <w:ind w:firstLine="456" w:firstLineChars="200"/>
        <w:jc w:val="both"/>
        <w:rPr>
          <w:rFonts w:hint="eastAsia" w:ascii="黑体" w:hAnsi="黑体" w:eastAsia="黑体" w:cs="黑体"/>
          <w:color w:val="auto"/>
          <w:spacing w:val="-6"/>
          <w:sz w:val="24"/>
          <w:szCs w:val="24"/>
          <w:highlight w:val="none"/>
          <w:u w:val="none"/>
          <w:lang w:eastAsia="zh-CN"/>
        </w:rPr>
      </w:pPr>
      <w:r>
        <w:rPr>
          <w:rFonts w:hint="eastAsia" w:ascii="黑体" w:hAnsi="黑体" w:eastAsia="黑体" w:cs="黑体"/>
          <w:color w:val="auto"/>
          <w:spacing w:val="-6"/>
          <w:sz w:val="24"/>
          <w:szCs w:val="24"/>
          <w:highlight w:val="none"/>
          <w:u w:val="none"/>
          <w:lang w:eastAsia="zh-CN"/>
        </w:rPr>
        <w:t>（</w:t>
      </w:r>
      <w:r>
        <w:rPr>
          <w:rFonts w:hint="eastAsia" w:ascii="黑体" w:hAnsi="黑体" w:eastAsia="黑体" w:cs="黑体"/>
          <w:color w:val="auto"/>
          <w:spacing w:val="-6"/>
          <w:sz w:val="24"/>
          <w:szCs w:val="24"/>
          <w:highlight w:val="none"/>
          <w:u w:val="none"/>
          <w:lang w:val="en-US" w:eastAsia="zh-CN"/>
        </w:rPr>
        <w:t>5</w:t>
      </w:r>
      <w:r>
        <w:rPr>
          <w:rFonts w:hint="eastAsia" w:ascii="黑体" w:hAnsi="黑体" w:eastAsia="黑体" w:cs="黑体"/>
          <w:color w:val="auto"/>
          <w:spacing w:val="-6"/>
          <w:sz w:val="24"/>
          <w:szCs w:val="24"/>
          <w:highlight w:val="none"/>
          <w:u w:val="none"/>
          <w:lang w:eastAsia="zh-CN"/>
        </w:rPr>
        <w:t>）近期用地规划布局。结合人口变化趋势，优化公共服务与基础设施配置，合理安排各类用地布局，保障城市各要素有效配置，具体内容包括中心城区建设用地布局、综合交通体系、居住用地布局、公共服务和市政基础设施、城市安全韧性、绿地与开敞空间、城市“四线”等。</w:t>
      </w:r>
    </w:p>
    <w:p w14:paraId="5D3AF952">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u w:val="none"/>
          <w:lang w:eastAsia="zh-CN"/>
        </w:rPr>
        <w:t>（</w:t>
      </w:r>
      <w:r>
        <w:rPr>
          <w:rFonts w:hint="eastAsia" w:ascii="黑体" w:hAnsi="黑体" w:eastAsia="黑体" w:cs="黑体"/>
          <w:color w:val="auto"/>
          <w:spacing w:val="-6"/>
          <w:sz w:val="24"/>
          <w:szCs w:val="24"/>
          <w:highlight w:val="none"/>
          <w:u w:val="none"/>
          <w:lang w:val="en-US" w:eastAsia="zh-CN"/>
        </w:rPr>
        <w:t>6</w:t>
      </w:r>
      <w:r>
        <w:rPr>
          <w:rFonts w:hint="eastAsia" w:ascii="黑体" w:hAnsi="黑体" w:eastAsia="黑体" w:cs="黑体"/>
          <w:color w:val="auto"/>
          <w:spacing w:val="-6"/>
          <w:sz w:val="24"/>
          <w:szCs w:val="24"/>
          <w:highlight w:val="none"/>
          <w:u w:val="none"/>
          <w:lang w:eastAsia="zh-CN"/>
        </w:rPr>
        <w:t>）近期重点发展区建设指引。明确中心城区重点发展区域，并提出建设控制要求和用地保障措施。根据城镇开发边界增量规模分期管控要求</w:t>
      </w:r>
      <w:r>
        <w:rPr>
          <w:rFonts w:hint="eastAsia" w:ascii="黑体" w:hAnsi="黑体" w:eastAsia="黑体" w:cs="黑体"/>
          <w:color w:val="auto"/>
          <w:spacing w:val="-6"/>
          <w:sz w:val="24"/>
          <w:szCs w:val="24"/>
          <w:highlight w:val="none"/>
          <w:lang w:eastAsia="zh-CN"/>
        </w:rPr>
        <w:t>，明确近期增量空间使用及存量空间盘活的重点方向，优先保障民生工程与新质生产力布局，从项目级别、项目类型等，合理安排近期城镇开发边界内重点项目；结合各类项目建设时序，拟定土地收储、成片开发时序安排，科学预测近期各类型土地供应比例。</w:t>
      </w:r>
    </w:p>
    <w:p w14:paraId="3A7B9E79">
      <w:pPr>
        <w:spacing w:line="360" w:lineRule="auto"/>
        <w:ind w:firstLine="458" w:firstLineChars="200"/>
        <w:rPr>
          <w:rFonts w:hint="eastAsia" w:ascii="黑体" w:hAnsi="黑体" w:eastAsia="黑体" w:cs="黑体"/>
          <w:b/>
          <w:color w:val="auto"/>
          <w:spacing w:val="-6"/>
          <w:sz w:val="24"/>
          <w:szCs w:val="24"/>
          <w:highlight w:val="none"/>
          <w:lang w:eastAsia="zh-CN"/>
        </w:rPr>
      </w:pPr>
      <w:r>
        <w:rPr>
          <w:rFonts w:hint="eastAsia" w:ascii="黑体" w:hAnsi="黑体" w:eastAsia="黑体" w:cs="黑体"/>
          <w:b/>
          <w:color w:val="auto"/>
          <w:spacing w:val="-6"/>
          <w:sz w:val="24"/>
          <w:szCs w:val="24"/>
          <w:highlight w:val="none"/>
          <w:lang w:val="en-US" w:eastAsia="zh-CN"/>
        </w:rPr>
        <w:t>5、</w:t>
      </w:r>
      <w:r>
        <w:rPr>
          <w:rFonts w:hint="eastAsia" w:ascii="黑体" w:hAnsi="黑体" w:eastAsia="黑体" w:cs="黑体"/>
          <w:b/>
          <w:color w:val="auto"/>
          <w:spacing w:val="-6"/>
          <w:sz w:val="24"/>
          <w:szCs w:val="24"/>
          <w:highlight w:val="none"/>
          <w:lang w:eastAsia="zh-CN"/>
        </w:rPr>
        <w:t>近期专项行动计划</w:t>
      </w:r>
    </w:p>
    <w:p w14:paraId="427411B1">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结合国土空间总体规划目标定位、《纲要》，交通、水利、城市更新、林业保护、生态环境保护、城市公共设施、给排水等基础设施等专项规划，针对国土空间总体规划实施评估发现的问题以及面临的形势，制定近期专项行动计划。</w:t>
      </w:r>
    </w:p>
    <w:p w14:paraId="24FF7184">
      <w:pPr>
        <w:spacing w:line="360" w:lineRule="auto"/>
        <w:ind w:firstLine="458" w:firstLineChars="200"/>
        <w:rPr>
          <w:rFonts w:hint="eastAsia" w:ascii="黑体" w:hAnsi="黑体" w:eastAsia="黑体" w:cs="黑体"/>
          <w:b/>
          <w:color w:val="auto"/>
          <w:spacing w:val="-6"/>
          <w:sz w:val="24"/>
          <w:szCs w:val="24"/>
          <w:highlight w:val="none"/>
          <w:lang w:val="en-US" w:eastAsia="zh-CN"/>
        </w:rPr>
      </w:pPr>
      <w:r>
        <w:rPr>
          <w:rFonts w:hint="eastAsia" w:ascii="黑体" w:hAnsi="黑体" w:eastAsia="黑体" w:cs="黑体"/>
          <w:b/>
          <w:color w:val="auto"/>
          <w:spacing w:val="-6"/>
          <w:sz w:val="24"/>
          <w:szCs w:val="24"/>
          <w:highlight w:val="none"/>
          <w:lang w:val="en-US" w:eastAsia="zh-CN"/>
        </w:rPr>
        <w:t>6、提出规划保障措施</w:t>
      </w:r>
    </w:p>
    <w:p w14:paraId="1C596681">
      <w:pPr>
        <w:spacing w:line="360" w:lineRule="auto"/>
        <w:ind w:firstLine="456" w:firstLineChars="200"/>
        <w:jc w:val="both"/>
        <w:rPr>
          <w:rFonts w:hint="eastAsia" w:ascii="黑体" w:hAnsi="黑体" w:eastAsia="黑体" w:cs="黑体"/>
          <w:color w:val="auto"/>
          <w:spacing w:val="-6"/>
          <w:sz w:val="24"/>
          <w:szCs w:val="24"/>
          <w:highlight w:val="none"/>
          <w:lang w:val="en-US" w:eastAsia="zh-CN"/>
        </w:rPr>
      </w:pPr>
      <w:r>
        <w:rPr>
          <w:rFonts w:hint="eastAsia" w:ascii="黑体" w:hAnsi="黑体" w:eastAsia="黑体" w:cs="黑体"/>
          <w:color w:val="auto"/>
          <w:spacing w:val="-6"/>
          <w:sz w:val="24"/>
          <w:szCs w:val="24"/>
          <w:highlight w:val="none"/>
          <w:lang w:val="en-US" w:eastAsia="zh-CN"/>
        </w:rPr>
        <w:t>为保障近期规划的实施落地，探索建立包含用地保障机制、规划协调机制、实施反馈机制在内的符合九江市实际特点的机制措施。</w:t>
      </w:r>
    </w:p>
    <w:p w14:paraId="56BF26A1">
      <w:pPr>
        <w:spacing w:line="360" w:lineRule="auto"/>
        <w:ind w:firstLine="458" w:firstLineChars="200"/>
        <w:rPr>
          <w:rFonts w:hint="eastAsia" w:ascii="黑体" w:hAnsi="黑体" w:eastAsia="黑体" w:cs="黑体"/>
          <w:b/>
          <w:color w:val="auto"/>
          <w:spacing w:val="-6"/>
          <w:sz w:val="24"/>
          <w:szCs w:val="24"/>
          <w:highlight w:val="none"/>
          <w:lang w:val="en-US" w:eastAsia="zh-CN"/>
        </w:rPr>
      </w:pPr>
      <w:r>
        <w:rPr>
          <w:rFonts w:hint="eastAsia" w:ascii="黑体" w:hAnsi="黑体" w:eastAsia="黑体" w:cs="黑体"/>
          <w:b/>
          <w:color w:val="auto"/>
          <w:spacing w:val="-6"/>
          <w:sz w:val="24"/>
          <w:szCs w:val="24"/>
          <w:highlight w:val="none"/>
          <w:lang w:val="en-US" w:eastAsia="zh-CN"/>
        </w:rPr>
        <w:t>四</w:t>
      </w:r>
      <w:r>
        <w:rPr>
          <w:rFonts w:hint="eastAsia" w:ascii="黑体" w:hAnsi="黑体" w:eastAsia="黑体" w:cs="黑体"/>
          <w:b/>
          <w:color w:val="auto"/>
          <w:spacing w:val="-6"/>
          <w:sz w:val="24"/>
          <w:szCs w:val="24"/>
          <w:highlight w:val="none"/>
          <w:lang w:eastAsia="zh-CN"/>
        </w:rPr>
        <w:t>）</w:t>
      </w:r>
      <w:r>
        <w:rPr>
          <w:rFonts w:hint="eastAsia" w:ascii="黑体" w:hAnsi="黑体" w:eastAsia="黑体" w:cs="黑体"/>
          <w:b/>
          <w:color w:val="auto"/>
          <w:spacing w:val="-6"/>
          <w:sz w:val="24"/>
          <w:szCs w:val="24"/>
          <w:highlight w:val="none"/>
          <w:lang w:val="en-US" w:eastAsia="zh-CN"/>
        </w:rPr>
        <w:t>成果形式</w:t>
      </w:r>
    </w:p>
    <w:p w14:paraId="7E39C39A">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规划成果包括文本、</w:t>
      </w:r>
      <w:r>
        <w:rPr>
          <w:rFonts w:hint="eastAsia" w:ascii="黑体" w:hAnsi="黑体" w:eastAsia="黑体" w:cs="黑体"/>
          <w:color w:val="auto"/>
          <w:spacing w:val="-6"/>
          <w:sz w:val="24"/>
          <w:szCs w:val="24"/>
          <w:highlight w:val="none"/>
          <w:lang w:val="en-US" w:eastAsia="zh-CN"/>
        </w:rPr>
        <w:t>图件</w:t>
      </w:r>
      <w:r>
        <w:rPr>
          <w:rFonts w:hint="eastAsia" w:ascii="黑体" w:hAnsi="黑体" w:eastAsia="黑体" w:cs="黑体"/>
          <w:color w:val="auto"/>
          <w:spacing w:val="-6"/>
          <w:sz w:val="24"/>
          <w:szCs w:val="24"/>
          <w:highlight w:val="none"/>
          <w:lang w:eastAsia="zh-CN"/>
        </w:rPr>
        <w:t>、</w:t>
      </w:r>
      <w:r>
        <w:rPr>
          <w:rFonts w:hint="eastAsia" w:ascii="黑体" w:hAnsi="黑体" w:eastAsia="黑体" w:cs="黑体"/>
          <w:color w:val="auto"/>
          <w:spacing w:val="-6"/>
          <w:sz w:val="24"/>
          <w:szCs w:val="24"/>
          <w:highlight w:val="none"/>
          <w:lang w:val="en-US" w:eastAsia="zh-CN"/>
        </w:rPr>
        <w:t>数据库</w:t>
      </w:r>
      <w:r>
        <w:rPr>
          <w:rFonts w:hint="eastAsia" w:ascii="黑体" w:hAnsi="黑体" w:eastAsia="黑体" w:cs="黑体"/>
          <w:color w:val="auto"/>
          <w:spacing w:val="-6"/>
          <w:sz w:val="24"/>
          <w:szCs w:val="24"/>
          <w:highlight w:val="none"/>
          <w:lang w:eastAsia="zh-CN"/>
        </w:rPr>
        <w:t>（矢量图层）和说明书。</w:t>
      </w:r>
    </w:p>
    <w:p w14:paraId="0911F857">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（1）规划文本应以条文式体例表达规划结论，包括文本条文、必要的表格。表达准确规范、简明扼要。</w:t>
      </w:r>
    </w:p>
    <w:p w14:paraId="1170CBCB">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2）图件所表达的内容和要求与文本一致，并标注图名、比例尺、图例、绘制时间等，并统一格式。其中，基础图件主要包括全域国土空间用地用海现状图、中心城区国土空间用地用海现状图等；成果图件主要包括全域国土空间控制线规划图、全域近期国土空间开发利用规划图、全域近期土地综合整治与生态修复规划图、中心城区近期土地使用规划图、中心城区近期规划用地优化前后对比图等；重点项目图件主要包括全域近期重点项目分布图、中心城区近期重点项目分布图等。</w:t>
      </w:r>
    </w:p>
    <w:p w14:paraId="2F46E857">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（3）矢量图层包括基础空间数据和属性数据，作为近期实施规划的成果组成部分同步上报，纳入国土空间基础信息平台和国土空间规划“一张图”实施监督信息系统。</w:t>
      </w:r>
    </w:p>
    <w:p w14:paraId="4E4C10EB">
      <w:pPr>
        <w:spacing w:line="360" w:lineRule="auto"/>
        <w:ind w:firstLine="456" w:firstLineChars="200"/>
        <w:jc w:val="both"/>
        <w:rPr>
          <w:rFonts w:hint="eastAsia" w:ascii="黑体" w:hAnsi="黑体" w:eastAsia="黑体" w:cs="黑体"/>
          <w:color w:val="auto"/>
          <w:spacing w:val="-6"/>
          <w:sz w:val="24"/>
          <w:szCs w:val="24"/>
          <w:highlight w:val="none"/>
          <w:lang w:eastAsia="zh-CN"/>
        </w:rPr>
      </w:pPr>
      <w:r>
        <w:rPr>
          <w:rFonts w:hint="eastAsia" w:ascii="黑体" w:hAnsi="黑体" w:eastAsia="黑体" w:cs="黑体"/>
          <w:color w:val="auto"/>
          <w:spacing w:val="-6"/>
          <w:sz w:val="24"/>
          <w:szCs w:val="24"/>
          <w:highlight w:val="none"/>
          <w:lang w:eastAsia="zh-CN"/>
        </w:rPr>
        <w:t>（4）规划说明是对规划文本的具体说明与解释，以章节式体例编写，主要阐述规划决策的编制基础、分析过程和分析结论，是配合规划文本和图件使用的重要参考。</w:t>
      </w:r>
    </w:p>
    <w:p w14:paraId="640934C7">
      <w:pPr>
        <w:spacing w:line="360" w:lineRule="auto"/>
        <w:ind w:firstLine="458" w:firstLineChars="200"/>
        <w:rPr>
          <w:rFonts w:hint="eastAsia" w:ascii="黑体" w:hAnsi="黑体" w:eastAsia="黑体" w:cs="黑体"/>
          <w:b/>
          <w:color w:val="auto"/>
          <w:spacing w:val="-6"/>
          <w:sz w:val="24"/>
          <w:szCs w:val="24"/>
          <w:highlight w:val="none"/>
          <w:lang w:val="en-US" w:eastAsia="zh-CN"/>
        </w:rPr>
      </w:pPr>
      <w:r>
        <w:rPr>
          <w:rFonts w:hint="eastAsia" w:ascii="黑体" w:hAnsi="黑体" w:eastAsia="黑体" w:cs="黑体"/>
          <w:b/>
          <w:color w:val="auto"/>
          <w:spacing w:val="-6"/>
          <w:sz w:val="24"/>
          <w:szCs w:val="24"/>
          <w:highlight w:val="none"/>
          <w:lang w:val="en-US" w:eastAsia="zh-CN"/>
        </w:rPr>
        <w:t>五</w:t>
      </w:r>
      <w:r>
        <w:rPr>
          <w:rFonts w:hint="eastAsia" w:ascii="黑体" w:hAnsi="黑体" w:eastAsia="黑体" w:cs="黑体"/>
          <w:b/>
          <w:color w:val="auto"/>
          <w:spacing w:val="-6"/>
          <w:sz w:val="24"/>
          <w:szCs w:val="24"/>
          <w:highlight w:val="none"/>
          <w:lang w:eastAsia="zh-CN"/>
        </w:rPr>
        <w:t>）</w:t>
      </w:r>
      <w:r>
        <w:rPr>
          <w:rFonts w:hint="eastAsia" w:ascii="黑体" w:hAnsi="黑体" w:eastAsia="黑体" w:cs="黑体"/>
          <w:b/>
          <w:color w:val="auto"/>
          <w:spacing w:val="-6"/>
          <w:sz w:val="24"/>
          <w:szCs w:val="24"/>
          <w:highlight w:val="none"/>
          <w:lang w:val="en-US" w:eastAsia="zh-CN"/>
        </w:rPr>
        <w:t>技术服务</w:t>
      </w:r>
    </w:p>
    <w:p w14:paraId="0621ABDA">
      <w:pPr>
        <w:spacing w:line="360" w:lineRule="auto"/>
        <w:ind w:firstLine="456" w:firstLineChars="200"/>
        <w:rPr>
          <w:rFonts w:hint="eastAsia" w:ascii="黑体" w:hAnsi="黑体" w:eastAsia="黑体" w:cs="黑体"/>
          <w:b/>
          <w:color w:val="auto"/>
          <w:spacing w:val="-6"/>
          <w:sz w:val="24"/>
          <w:szCs w:val="24"/>
          <w:highlight w:val="none"/>
          <w:lang w:val="en-US" w:eastAsia="zh-CN"/>
        </w:rPr>
      </w:pPr>
      <w:r>
        <w:rPr>
          <w:rFonts w:hint="eastAsia" w:ascii="黑体" w:hAnsi="黑体" w:eastAsia="黑体" w:cs="黑体"/>
          <w:color w:val="auto"/>
          <w:spacing w:val="-6"/>
          <w:sz w:val="24"/>
          <w:szCs w:val="24"/>
          <w:highlight w:val="none"/>
          <w:lang w:val="en-US" w:eastAsia="zh-CN"/>
        </w:rPr>
        <w:t>为保证项目编制工作效能，供应商必须履行后续跟踪服务职责，对成果进行跟踪解读服务。配合制</w:t>
      </w:r>
      <w:r>
        <w:rPr>
          <w:rFonts w:hint="eastAsia" w:ascii="黑体" w:hAnsi="黑体" w:eastAsia="黑体" w:cs="黑体"/>
          <w:b w:val="0"/>
          <w:bCs w:val="0"/>
          <w:color w:val="auto"/>
          <w:spacing w:val="-6"/>
          <w:sz w:val="24"/>
          <w:szCs w:val="24"/>
          <w:highlight w:val="none"/>
          <w:lang w:val="en-US" w:eastAsia="zh-CN"/>
        </w:rPr>
        <w:t>作本项目各阶段专题汇报、会议汇报等材料。</w:t>
      </w:r>
    </w:p>
    <w:p w14:paraId="32A28B2E">
      <w:pPr>
        <w:spacing w:line="360" w:lineRule="auto"/>
        <w:ind w:firstLine="458" w:firstLineChars="200"/>
        <w:rPr>
          <w:rFonts w:hint="eastAsia" w:ascii="黑体" w:hAnsi="黑体" w:eastAsia="黑体" w:cs="黑体"/>
          <w:b/>
          <w:color w:val="auto"/>
          <w:spacing w:val="-6"/>
          <w:sz w:val="24"/>
          <w:szCs w:val="24"/>
          <w:highlight w:val="none"/>
          <w:lang w:val="en-US" w:eastAsia="zh-CN"/>
        </w:rPr>
      </w:pPr>
      <w:r>
        <w:rPr>
          <w:rFonts w:hint="eastAsia" w:ascii="黑体" w:hAnsi="黑体" w:eastAsia="黑体" w:cs="黑体"/>
          <w:b/>
          <w:color w:val="auto"/>
          <w:spacing w:val="-6"/>
          <w:sz w:val="24"/>
          <w:szCs w:val="24"/>
          <w:highlight w:val="none"/>
          <w:lang w:val="en-US" w:eastAsia="zh-CN"/>
        </w:rPr>
        <w:t>六）项目团队</w:t>
      </w:r>
    </w:p>
    <w:p w14:paraId="71F84067">
      <w:pPr>
        <w:pageBreakBefore w:val="0"/>
        <w:widowControl w:val="0"/>
        <w:wordWrap/>
        <w:overflowPunct/>
        <w:topLinePunct w:val="0"/>
        <w:bidi w:val="0"/>
        <w:spacing w:line="360" w:lineRule="auto"/>
        <w:rPr>
          <w:rFonts w:hint="eastAsia" w:ascii="黑体" w:hAnsi="黑体" w:eastAsia="黑体" w:cs="黑体"/>
          <w:b/>
          <w:bCs/>
          <w:color w:val="auto"/>
          <w:highlight w:val="none"/>
        </w:rPr>
      </w:pPr>
      <w:r>
        <w:rPr>
          <w:rFonts w:hint="eastAsia" w:ascii="黑体" w:hAnsi="黑体" w:eastAsia="黑体" w:cs="黑体"/>
          <w:b/>
          <w:bCs/>
          <w:snapToGrid w:val="0"/>
          <w:color w:val="auto"/>
          <w:spacing w:val="-6"/>
          <w:sz w:val="24"/>
          <w:szCs w:val="24"/>
          <w:highlight w:val="none"/>
          <w:lang w:val="en-US" w:eastAsia="zh-CN" w:bidi="ar-SA"/>
        </w:rPr>
        <w:t>“项目团队基本要求：配备注册城乡规划师不少于5人（含项目负责人），提供相应证书及2026年任意一个月响应供应商为上述人员缴纳社保证明材料扫描件加盖响应供应商公章佐证。注：此处人员与项目团队评分项中的人员可重复。</w:t>
      </w:r>
    </w:p>
    <w:p w14:paraId="7B976FDC">
      <w:pPr>
        <w:pageBreakBefore w:val="0"/>
        <w:widowControl w:val="0"/>
        <w:wordWrap/>
        <w:overflowPunct/>
        <w:topLinePunct w:val="0"/>
        <w:bidi w:val="0"/>
        <w:spacing w:line="242" w:lineRule="auto"/>
        <w:rPr>
          <w:rFonts w:hint="eastAsia" w:ascii="黑体" w:hAnsi="黑体" w:eastAsia="黑体" w:cs="黑体"/>
          <w:color w:val="auto"/>
          <w:highlight w:val="none"/>
        </w:rPr>
      </w:pPr>
    </w:p>
    <w:p w14:paraId="46DCD738">
      <w:pPr>
        <w:pageBreakBefore w:val="0"/>
        <w:widowControl w:val="0"/>
        <w:wordWrap/>
        <w:overflowPunct/>
        <w:topLinePunct w:val="0"/>
        <w:bidi w:val="0"/>
        <w:spacing w:line="242" w:lineRule="auto"/>
        <w:rPr>
          <w:rFonts w:hint="eastAsia" w:ascii="黑体" w:hAnsi="黑体" w:eastAsia="黑体" w:cs="黑体"/>
          <w:color w:val="auto"/>
          <w:highlight w:val="none"/>
        </w:rPr>
      </w:pPr>
    </w:p>
    <w:p w14:paraId="54F783B9">
      <w:pPr>
        <w:pageBreakBefore w:val="0"/>
        <w:widowControl w:val="0"/>
        <w:wordWrap/>
        <w:overflowPunct/>
        <w:topLinePunct w:val="0"/>
        <w:bidi w:val="0"/>
        <w:spacing w:line="243" w:lineRule="auto"/>
        <w:rPr>
          <w:rFonts w:hint="eastAsia" w:ascii="黑体" w:hAnsi="黑体" w:eastAsia="黑体" w:cs="黑体"/>
          <w:color w:val="auto"/>
          <w:highlight w:val="none"/>
        </w:rPr>
      </w:pPr>
    </w:p>
    <w:p w14:paraId="57DEC146">
      <w:pPr>
        <w:pageBreakBefore w:val="0"/>
        <w:widowControl w:val="0"/>
        <w:wordWrap/>
        <w:overflowPunct/>
        <w:topLinePunct w:val="0"/>
        <w:bidi w:val="0"/>
        <w:spacing w:line="245" w:lineRule="auto"/>
        <w:rPr>
          <w:rFonts w:hint="eastAsia" w:ascii="黑体" w:hAnsi="黑体" w:eastAsia="黑体" w:cs="黑体"/>
          <w:color w:val="auto"/>
          <w:highlight w:val="none"/>
          <w:lang w:eastAsia="zh-CN"/>
        </w:rPr>
      </w:pPr>
      <w:bookmarkStart w:id="0" w:name="_GoBack"/>
      <w:bookmarkEnd w:id="0"/>
    </w:p>
    <w:p w14:paraId="3DABB84C">
      <w:pPr>
        <w:pageBreakBefore w:val="0"/>
        <w:widowControl w:val="0"/>
        <w:wordWrap/>
        <w:overflowPunct/>
        <w:topLinePunct w:val="0"/>
        <w:bidi w:val="0"/>
        <w:spacing w:line="245" w:lineRule="auto"/>
        <w:rPr>
          <w:rFonts w:hint="eastAsia" w:ascii="黑体" w:hAnsi="黑体" w:eastAsia="黑体" w:cs="黑体"/>
          <w:color w:val="auto"/>
          <w:highlight w:val="none"/>
          <w:lang w:eastAsia="zh-CN"/>
        </w:rPr>
      </w:pPr>
    </w:p>
    <w:p w14:paraId="04DFEFCE">
      <w:pPr>
        <w:pageBreakBefore w:val="0"/>
        <w:widowControl w:val="0"/>
        <w:wordWrap/>
        <w:overflowPunct/>
        <w:topLinePunct w:val="0"/>
        <w:bidi w:val="0"/>
        <w:spacing w:line="245" w:lineRule="auto"/>
        <w:rPr>
          <w:rFonts w:hint="eastAsia" w:ascii="黑体" w:hAnsi="黑体" w:eastAsia="黑体" w:cs="黑体"/>
          <w:color w:val="auto"/>
          <w:highlight w:val="none"/>
          <w:lang w:eastAsia="zh-CN"/>
        </w:rPr>
      </w:pPr>
    </w:p>
    <w:p w14:paraId="7A410617">
      <w:pPr>
        <w:spacing w:line="360" w:lineRule="auto"/>
        <w:ind w:firstLine="482" w:firstLineChars="200"/>
        <w:rPr>
          <w:rFonts w:hint="eastAsia" w:ascii="黑体" w:hAnsi="黑体" w:eastAsia="黑体" w:cs="黑体"/>
          <w:b/>
          <w:bCs/>
          <w:color w:val="auto"/>
          <w:sz w:val="24"/>
          <w:szCs w:val="24"/>
          <w:highlight w:val="none"/>
          <w:lang w:val="en-US" w:eastAsia="zh-CN"/>
        </w:rPr>
      </w:pPr>
      <w:r>
        <w:rPr>
          <w:rFonts w:hint="eastAsia" w:ascii="黑体" w:hAnsi="黑体" w:eastAsia="黑体" w:cs="黑体"/>
          <w:b/>
          <w:bCs/>
          <w:color w:val="auto"/>
          <w:sz w:val="24"/>
          <w:szCs w:val="24"/>
          <w:highlight w:val="none"/>
        </w:rPr>
        <w:t>注：1、以上</w:t>
      </w:r>
      <w:r>
        <w:rPr>
          <w:rFonts w:hint="eastAsia" w:ascii="黑体" w:hAnsi="黑体" w:eastAsia="黑体" w:cs="黑体"/>
          <w:b/>
          <w:bCs/>
          <w:color w:val="auto"/>
          <w:sz w:val="24"/>
          <w:szCs w:val="24"/>
          <w:highlight w:val="none"/>
          <w:lang w:val="en-US" w:eastAsia="zh-CN"/>
        </w:rPr>
        <w:t>服务</w:t>
      </w:r>
      <w:r>
        <w:rPr>
          <w:rFonts w:hint="eastAsia" w:ascii="黑体" w:hAnsi="黑体" w:eastAsia="黑体" w:cs="黑体"/>
          <w:b/>
          <w:bCs/>
          <w:color w:val="auto"/>
          <w:sz w:val="24"/>
          <w:szCs w:val="24"/>
          <w:highlight w:val="none"/>
        </w:rPr>
        <w:t>要求为必须满足项，供应商须全部满足（满足或优于即可），否则视为无效投</w:t>
      </w:r>
      <w:r>
        <w:rPr>
          <w:rFonts w:hint="eastAsia" w:ascii="黑体" w:hAnsi="黑体" w:eastAsia="黑体" w:cs="黑体"/>
          <w:b/>
          <w:bCs/>
          <w:color w:val="auto"/>
          <w:sz w:val="24"/>
          <w:szCs w:val="24"/>
          <w:highlight w:val="none"/>
          <w:lang w:val="en-US" w:eastAsia="zh-CN"/>
        </w:rPr>
        <w:t>标。</w:t>
      </w:r>
    </w:p>
    <w:p w14:paraId="7A5A7A9E">
      <w:pPr>
        <w:pageBreakBefore w:val="0"/>
        <w:widowControl w:val="0"/>
        <w:wordWrap/>
        <w:overflowPunct/>
        <w:topLinePunct w:val="0"/>
        <w:bidi w:val="0"/>
        <w:spacing w:line="245" w:lineRule="auto"/>
        <w:rPr>
          <w:rFonts w:hint="eastAsia" w:ascii="黑体" w:hAnsi="黑体" w:eastAsia="黑体" w:cs="黑体"/>
          <w:color w:val="auto"/>
          <w:highlight w:val="none"/>
          <w:lang w:eastAsia="zh-CN"/>
        </w:rPr>
      </w:pPr>
    </w:p>
    <w:p w14:paraId="17C76C4B"/>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251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next w:val="4"/>
    <w:unhideWhenUsed/>
    <w:qFormat/>
    <w:uiPriority w:val="99"/>
    <w:pPr>
      <w:spacing w:after="120"/>
      <w:ind w:left="420" w:leftChars="200"/>
    </w:pPr>
    <w:rPr>
      <w:rFonts w:eastAsia="微软雅黑"/>
      <w:kern w:val="0"/>
      <w:sz w:val="24"/>
      <w:szCs w:val="20"/>
    </w:rPr>
  </w:style>
  <w:style w:type="paragraph" w:styleId="4">
    <w:name w:val="Body Text"/>
    <w:basedOn w:val="1"/>
    <w:next w:val="5"/>
    <w:qFormat/>
    <w:uiPriority w:val="0"/>
    <w:rPr>
      <w:rFonts w:ascii="仿宋" w:hAnsi="仿宋" w:eastAsia="仿宋" w:cs="仿宋"/>
      <w:sz w:val="30"/>
      <w:szCs w:val="30"/>
    </w:rPr>
  </w:style>
  <w:style w:type="paragraph" w:customStyle="1" w:styleId="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2026-05-08T15:02:24Z</dcterms:created>
  <dc:creator>123</dc:creator>
  <cp:lastModifiedBy>Mayra</cp:lastModifiedBy>
  <dcterms:modified xsi:type="dcterms:W3CDTF">2026-05-08T15:02:53Z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eyJoZGlkIjoiODBlYWUxY2YyYzI3NTY5NWMzMjY3ZTc4NDhkMTFlODAiLCJ1c2VySWQiOiIzNDQ4NDI3OTUifQ==</vt:lpwstr>
  </property>
  <property fmtid="{D5CDD505-2E9C-101B-9397-08002B2CF9AE}" pid="4" name="ICV">
    <vt:lpwstr>F43C6B43778844B4AF57257B67E3F751_12</vt:lpwstr>
  </property>
</Properties>
</file>