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C1D99A"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400" w:lineRule="exact"/>
        <w:ind w:left="1078" w:leftChars="485" w:hanging="60" w:hangingChars="25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公告附件：</w:t>
      </w:r>
      <w:bookmarkStart w:id="0" w:name="_Toc29756"/>
    </w:p>
    <w:p w14:paraId="7AFF6872"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400" w:lineRule="exact"/>
        <w:ind w:left="650" w:leftChars="303" w:hanging="14" w:hangingChars="6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一、项目概况</w:t>
      </w:r>
      <w:bookmarkEnd w:id="0"/>
    </w:p>
    <w:p w14:paraId="39306EBA"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400" w:lineRule="exact"/>
        <w:ind w:left="650" w:leftChars="303" w:hanging="14" w:hangingChars="6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本项目为2026年纸质中文图书采购项目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，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为采购人提供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包括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图书采访、供货、加工、编目等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在内的全套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服务，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以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满足馆藏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建设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及读者阅读需求。</w:t>
      </w:r>
    </w:p>
    <w:p w14:paraId="7E8FF225"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400" w:lineRule="exact"/>
        <w:ind w:left="650" w:leftChars="303" w:hanging="14" w:hangingChars="6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 xml:space="preserve"> </w:t>
      </w:r>
      <w:bookmarkStart w:id="1" w:name="_Toc1557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二、招标范围</w:t>
      </w:r>
      <w:bookmarkEnd w:id="1"/>
    </w:p>
    <w:p w14:paraId="07B52022"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400" w:lineRule="exact"/>
        <w:ind w:left="650" w:leftChars="303" w:hanging="14" w:hangingChars="6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本项目采购范围包括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2026年纸质中文图书的采购、采访服务、图书质量保障、加工、编目、配送、特色阅读推广活动及相关配套服务等，具体要求详见第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五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章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《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采购需求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》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。</w:t>
      </w:r>
    </w:p>
    <w:p w14:paraId="65C644B7"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5C2D54"/>
    <w:rsid w:val="045C2D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2026-05-08T04:35:00Z</dcterms:created>
  <dc:creator>Administrator</dc:creator>
  <cp:lastModifiedBy>Administrator</cp:lastModifiedBy>
  <dcterms:modified xsi:type="dcterms:W3CDTF">2026-05-08T04:35:28Z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360AD16456D14936AB5796E04812AD9E_11</vt:lpwstr>
  </property>
  <property fmtid="{D5CDD505-2E9C-101B-9397-08002B2CF9AE}" pid="4" name="KSOTemplateDocerSaveRecord">
    <vt:lpwstr>eyJoZGlkIjoiOWVmNDZmZjRkMTdhZjI2OTRkYjljYzBhODhiOWVhMGEiLCJ1c2VySWQiOiIzOTYzMzMyNzgifQ==</vt:lpwstr>
  </property>
</Properties>
</file>