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4C3227">
      <w:pPr>
        <w:pageBreakBefore w:val="0"/>
        <w:widowControl w:val="0"/>
        <w:kinsoku/>
        <w:wordWrap w:val="0"/>
        <w:overflowPunct/>
        <w:topLinePunct/>
        <w:autoSpaceDE/>
        <w:autoSpaceDN/>
        <w:bidi w:val="0"/>
        <w:spacing w:before="63" w:line="224" w:lineRule="auto"/>
        <w:jc w:val="center"/>
        <w:rPr>
          <w:rFonts w:hint="eastAsia" w:asciiTheme="majorEastAsia" w:hAnsiTheme="majorEastAsia" w:eastAsiaTheme="majorEastAsia" w:cstheme="majorEastAsia"/>
          <w:color w:val="auto"/>
          <w:spacing w:val="0"/>
          <w:position w:val="0"/>
          <w:sz w:val="31"/>
          <w:szCs w:val="31"/>
          <w:highlight w:val="none"/>
          <w:lang w:eastAsia="zh-CN"/>
        </w:rPr>
      </w:pPr>
      <w:r>
        <w:rPr>
          <w:rFonts w:hint="eastAsia" w:asciiTheme="majorEastAsia" w:hAnsiTheme="majorEastAsia" w:eastAsiaTheme="majorEastAsia" w:cstheme="majorEastAsia"/>
          <w:color w:val="auto"/>
          <w:spacing w:val="0"/>
          <w:position w:val="0"/>
          <w:sz w:val="31"/>
          <w:szCs w:val="31"/>
          <w:highlight w:val="none"/>
          <w:lang w:eastAsia="zh-CN"/>
          <w14:textOutline w14:w="5791" w14:cap="sq" w14:cmpd="sng" w14:algn="ctr">
            <w14:solidFill>
              <w14:srgbClr w14:val="000000"/>
            </w14:solidFill>
            <w14:prstDash w14:val="solid"/>
            <w14:bevel/>
          </w14:textOutline>
        </w:rPr>
        <w:t>第五章</w:t>
      </w:r>
      <w:r>
        <w:rPr>
          <w:rFonts w:hint="eastAsia" w:asciiTheme="majorEastAsia" w:hAnsiTheme="majorEastAsia" w:eastAsiaTheme="majorEastAsia" w:cstheme="majorEastAsia"/>
          <w:color w:val="auto"/>
          <w:spacing w:val="0"/>
          <w:position w:val="0"/>
          <w:sz w:val="31"/>
          <w:szCs w:val="31"/>
          <w:highlight w:val="none"/>
          <w:lang w:eastAsia="zh-CN"/>
        </w:rPr>
        <w:t xml:space="preserve">  </w:t>
      </w:r>
      <w:r>
        <w:rPr>
          <w:rFonts w:hint="eastAsia" w:asciiTheme="majorEastAsia" w:hAnsiTheme="majorEastAsia" w:eastAsiaTheme="majorEastAsia" w:cstheme="majorEastAsia"/>
          <w:color w:val="auto"/>
          <w:spacing w:val="0"/>
          <w:position w:val="0"/>
          <w:sz w:val="31"/>
          <w:szCs w:val="31"/>
          <w:highlight w:val="none"/>
          <w:lang w:eastAsia="zh-CN"/>
          <w14:textOutline w14:w="5791" w14:cap="sq" w14:cmpd="sng" w14:algn="ctr">
            <w14:solidFill>
              <w14:srgbClr w14:val="000000"/>
            </w14:solidFill>
            <w14:prstDash w14:val="solid"/>
            <w14:bevel/>
          </w14:textOutline>
        </w:rPr>
        <w:t>采购需求</w:t>
      </w:r>
    </w:p>
    <w:p w14:paraId="391C377A">
      <w:pPr>
        <w:pageBreakBefore w:val="0"/>
        <w:widowControl w:val="0"/>
        <w:kinsoku/>
        <w:wordWrap w:val="0"/>
        <w:overflowPunct/>
        <w:topLinePunct/>
        <w:autoSpaceDE/>
        <w:autoSpaceDN/>
        <w:bidi w:val="0"/>
        <w:spacing w:line="309" w:lineRule="auto"/>
        <w:rPr>
          <w:rFonts w:hint="eastAsia" w:asciiTheme="majorEastAsia" w:hAnsiTheme="majorEastAsia" w:eastAsiaTheme="majorEastAsia" w:cstheme="majorEastAsia"/>
          <w:color w:val="auto"/>
          <w:spacing w:val="0"/>
          <w:position w:val="0"/>
          <w:highlight w:val="none"/>
          <w:lang w:eastAsia="zh-CN"/>
        </w:rPr>
      </w:pPr>
    </w:p>
    <w:p w14:paraId="5BFBBF8C">
      <w:pPr>
        <w:keepNext w:val="0"/>
        <w:keepLines w:val="0"/>
        <w:pageBreakBefore w:val="0"/>
        <w:kinsoku/>
        <w:wordWrap w:val="0"/>
        <w:overflowPunct/>
        <w:topLinePunct/>
        <w:autoSpaceDE/>
        <w:autoSpaceDN/>
        <w:bidi w:val="0"/>
        <w:spacing w:line="440" w:lineRule="exact"/>
        <w:ind w:firstLine="240" w:firstLineChars="100"/>
        <w:jc w:val="both"/>
        <w:rPr>
          <w:rFonts w:hint="eastAsia" w:asciiTheme="majorEastAsia" w:hAnsiTheme="majorEastAsia" w:eastAsiaTheme="majorEastAsia" w:cstheme="majorEastAsia"/>
          <w:color w:val="auto"/>
          <w:sz w:val="24"/>
          <w:highlight w:val="none"/>
        </w:rPr>
      </w:pPr>
      <w:r>
        <w:rPr>
          <w:rFonts w:hint="eastAsia" w:asciiTheme="majorEastAsia" w:hAnsiTheme="majorEastAsia" w:eastAsiaTheme="majorEastAsia" w:cstheme="majorEastAsia"/>
          <w:color w:val="auto"/>
          <w:sz w:val="24"/>
          <w:highlight w:val="none"/>
        </w:rPr>
        <w:t>（一）投标供应商所提供的服务（技术）内容符合国家、省市规范标准。</w:t>
      </w:r>
    </w:p>
    <w:p w14:paraId="7249C135">
      <w:pPr>
        <w:keepNext w:val="0"/>
        <w:keepLines w:val="0"/>
        <w:pageBreakBefore w:val="0"/>
        <w:kinsoku/>
        <w:wordWrap w:val="0"/>
        <w:overflowPunct/>
        <w:topLinePunct/>
        <w:autoSpaceDE/>
        <w:autoSpaceDN/>
        <w:bidi w:val="0"/>
        <w:spacing w:line="440" w:lineRule="exact"/>
        <w:ind w:firstLine="240" w:firstLineChars="100"/>
        <w:jc w:val="both"/>
        <w:rPr>
          <w:rFonts w:hint="eastAsia" w:asciiTheme="majorEastAsia" w:hAnsiTheme="majorEastAsia" w:eastAsiaTheme="majorEastAsia" w:cstheme="majorEastAsia"/>
          <w:color w:val="auto"/>
          <w:sz w:val="24"/>
          <w:highlight w:val="none"/>
        </w:rPr>
      </w:pPr>
      <w:r>
        <w:rPr>
          <w:rFonts w:hint="eastAsia" w:asciiTheme="majorEastAsia" w:hAnsiTheme="majorEastAsia" w:eastAsiaTheme="majorEastAsia" w:cstheme="majorEastAsia"/>
          <w:color w:val="auto"/>
          <w:sz w:val="24"/>
          <w:highlight w:val="none"/>
        </w:rPr>
        <w:t>（二）所有服务产品的知识产权问题，由各投标人自行负责。</w:t>
      </w:r>
    </w:p>
    <w:p w14:paraId="0EFE194B">
      <w:pPr>
        <w:keepNext w:val="0"/>
        <w:keepLines w:val="0"/>
        <w:pageBreakBefore w:val="0"/>
        <w:kinsoku/>
        <w:wordWrap w:val="0"/>
        <w:overflowPunct/>
        <w:topLinePunct/>
        <w:autoSpaceDE/>
        <w:autoSpaceDN/>
        <w:bidi w:val="0"/>
        <w:spacing w:line="440" w:lineRule="exact"/>
        <w:ind w:firstLine="240" w:firstLineChars="100"/>
        <w:jc w:val="both"/>
        <w:rPr>
          <w:rFonts w:hint="eastAsia" w:asciiTheme="majorEastAsia" w:hAnsiTheme="majorEastAsia" w:eastAsiaTheme="majorEastAsia" w:cstheme="majorEastAsia"/>
          <w:color w:val="auto"/>
          <w:sz w:val="24"/>
          <w:highlight w:val="none"/>
        </w:rPr>
      </w:pPr>
      <w:r>
        <w:rPr>
          <w:rFonts w:hint="eastAsia" w:asciiTheme="majorEastAsia" w:hAnsiTheme="majorEastAsia" w:eastAsiaTheme="majorEastAsia" w:cstheme="majorEastAsia"/>
          <w:color w:val="auto"/>
          <w:sz w:val="24"/>
          <w:highlight w:val="none"/>
        </w:rPr>
        <w:t>（三）本招标文件提出的是最低限度的要求，属于不允许偏离的实质性要求，投标供应商的方案应达到或优于本招标文件要求，且符合国家有关标准和规范要求。</w:t>
      </w:r>
    </w:p>
    <w:p w14:paraId="3086599B">
      <w:pPr>
        <w:keepNext w:val="0"/>
        <w:keepLines w:val="0"/>
        <w:pageBreakBefore w:val="0"/>
        <w:kinsoku/>
        <w:wordWrap w:val="0"/>
        <w:overflowPunct/>
        <w:topLinePunct/>
        <w:autoSpaceDE/>
        <w:autoSpaceDN/>
        <w:bidi w:val="0"/>
        <w:spacing w:line="440" w:lineRule="exact"/>
        <w:ind w:firstLine="240" w:firstLineChars="100"/>
        <w:jc w:val="both"/>
        <w:rPr>
          <w:rFonts w:hint="eastAsia" w:asciiTheme="majorEastAsia" w:hAnsiTheme="majorEastAsia" w:eastAsiaTheme="majorEastAsia" w:cstheme="majorEastAsia"/>
          <w:color w:val="auto"/>
          <w:sz w:val="24"/>
          <w:highlight w:val="none"/>
          <w:lang w:eastAsia="zh-CN"/>
        </w:rPr>
      </w:pPr>
      <w:r>
        <w:rPr>
          <w:rFonts w:hint="eastAsia" w:asciiTheme="majorEastAsia" w:hAnsiTheme="majorEastAsia" w:eastAsiaTheme="majorEastAsia" w:cstheme="majorEastAsia"/>
          <w:color w:val="auto"/>
          <w:sz w:val="24"/>
          <w:highlight w:val="none"/>
          <w:lang w:eastAsia="zh-CN"/>
        </w:rPr>
        <w:t>（四）服务要求：</w:t>
      </w:r>
    </w:p>
    <w:p w14:paraId="51F7290B">
      <w:pPr>
        <w:keepNext w:val="0"/>
        <w:keepLines w:val="0"/>
        <w:pageBreakBefore w:val="0"/>
        <w:numPr>
          <w:ilvl w:val="0"/>
          <w:numId w:val="0"/>
        </w:numPr>
        <w:tabs>
          <w:tab w:val="left" w:pos="8070"/>
        </w:tabs>
        <w:kinsoku/>
        <w:wordWrap w:val="0"/>
        <w:overflowPunct/>
        <w:topLinePunct/>
        <w:autoSpaceDE/>
        <w:autoSpaceDN/>
        <w:bidi w:val="0"/>
        <w:jc w:val="both"/>
        <w:rPr>
          <w:rFonts w:hint="eastAsia" w:ascii="宋体" w:hAnsi="宋体" w:eastAsia="宋体" w:cs="宋体"/>
          <w:b/>
          <w:snapToGrid/>
          <w:color w:val="auto"/>
          <w:kern w:val="0"/>
          <w:sz w:val="24"/>
          <w:szCs w:val="24"/>
          <w:highlight w:val="none"/>
          <w:lang w:val="en-US" w:eastAsia="zh-CN" w:bidi="ar-SA"/>
        </w:rPr>
      </w:pPr>
      <w:r>
        <w:rPr>
          <w:rFonts w:hint="eastAsia" w:cs="Arial"/>
          <w:b/>
          <w:bCs/>
          <w:snapToGrid w:val="0"/>
          <w:color w:val="000000"/>
          <w:sz w:val="24"/>
          <w:szCs w:val="24"/>
          <w:highlight w:val="none"/>
          <w:lang w:val="en-US" w:eastAsia="zh-CN" w:bidi="ar-SA"/>
        </w:rPr>
        <w:t xml:space="preserve"> </w:t>
      </w:r>
    </w:p>
    <w:p w14:paraId="1EEFDDA9">
      <w:pPr>
        <w:keepNext w:val="0"/>
        <w:keepLines w:val="0"/>
        <w:pageBreakBefore w:val="0"/>
        <w:numPr>
          <w:ilvl w:val="0"/>
          <w:numId w:val="0"/>
        </w:numPr>
        <w:tabs>
          <w:tab w:val="left" w:pos="8070"/>
        </w:tabs>
        <w:kinsoku/>
        <w:wordWrap w:val="0"/>
        <w:overflowPunct/>
        <w:topLinePunct/>
        <w:autoSpaceDE/>
        <w:autoSpaceDN/>
        <w:bidi w:val="0"/>
        <w:ind w:firstLine="241" w:firstLineChars="100"/>
        <w:jc w:val="both"/>
        <w:rPr>
          <w:rFonts w:hint="eastAsia" w:ascii="宋体" w:hAnsi="宋体" w:eastAsia="宋体" w:cs="宋体"/>
          <w:b/>
          <w:snapToGrid/>
          <w:color w:val="auto"/>
          <w:kern w:val="0"/>
          <w:sz w:val="24"/>
          <w:szCs w:val="24"/>
          <w:highlight w:val="none"/>
          <w:lang w:val="en-US" w:eastAsia="zh-CN" w:bidi="ar-SA"/>
        </w:rPr>
      </w:pPr>
      <w:r>
        <w:rPr>
          <w:rFonts w:hint="eastAsia" w:ascii="宋体" w:hAnsi="宋体" w:eastAsia="宋体" w:cs="宋体"/>
          <w:b/>
          <w:snapToGrid/>
          <w:color w:val="auto"/>
          <w:kern w:val="0"/>
          <w:sz w:val="24"/>
          <w:szCs w:val="24"/>
          <w:highlight w:val="none"/>
          <w:lang w:val="en-US" w:eastAsia="zh-CN" w:bidi="ar-SA"/>
        </w:rPr>
        <w:t>1.项目概况</w:t>
      </w:r>
    </w:p>
    <w:p w14:paraId="24C8070F">
      <w:pPr>
        <w:keepNext w:val="0"/>
        <w:keepLines w:val="0"/>
        <w:pageBreakBefore w:val="0"/>
        <w:kinsoku/>
        <w:wordWrap w:val="0"/>
        <w:overflowPunct/>
        <w:topLinePunct/>
        <w:autoSpaceDE/>
        <w:autoSpaceDN/>
        <w:bidi w:val="0"/>
        <w:spacing w:line="500" w:lineRule="exact"/>
        <w:ind w:firstLine="480" w:firstLineChars="200"/>
        <w:jc w:val="both"/>
        <w:rPr>
          <w:rFonts w:hint="eastAsia" w:ascii="宋体" w:hAnsi="宋体" w:eastAsia="宋体" w:cs="宋体"/>
          <w:bCs/>
          <w:color w:val="auto"/>
          <w:kern w:val="0"/>
          <w:sz w:val="24"/>
          <w:szCs w:val="24"/>
          <w:highlight w:val="none"/>
          <w:lang w:val="en-US" w:eastAsia="zh-CN"/>
        </w:rPr>
      </w:pPr>
      <w:r>
        <w:rPr>
          <w:rFonts w:hint="eastAsia" w:ascii="宋体" w:hAnsi="宋体" w:eastAsia="宋体" w:cs="宋体"/>
          <w:bCs/>
          <w:color w:val="auto"/>
          <w:kern w:val="0"/>
          <w:sz w:val="24"/>
          <w:szCs w:val="24"/>
          <w:highlight w:val="none"/>
          <w:lang w:val="en-US" w:eastAsia="zh-CN"/>
        </w:rPr>
        <w:t>于都县葛坳铅锌矿位于于都县葛坳乡小庄村。历史上铅锌矿开采活动遗留数万方废渣及多个废弃矿硐。调查显示，历史遗留废渣已对周边环境造成污染，且环境污染与生态破坏问题并存，亟需开展系统性污染整治与生态修复。</w:t>
      </w:r>
    </w:p>
    <w:p w14:paraId="6679A3C1">
      <w:pPr>
        <w:keepNext w:val="0"/>
        <w:keepLines w:val="0"/>
        <w:pageBreakBefore w:val="0"/>
        <w:kinsoku/>
        <w:wordWrap w:val="0"/>
        <w:overflowPunct/>
        <w:topLinePunct/>
        <w:autoSpaceDE/>
        <w:autoSpaceDN/>
        <w:bidi w:val="0"/>
        <w:spacing w:line="500" w:lineRule="exact"/>
        <w:ind w:firstLine="480" w:firstLineChars="200"/>
        <w:jc w:val="both"/>
        <w:rPr>
          <w:rFonts w:hint="eastAsia" w:ascii="宋体" w:hAnsi="宋体" w:eastAsia="宋体" w:cs="宋体"/>
          <w:bCs/>
          <w:color w:val="auto"/>
          <w:kern w:val="0"/>
          <w:sz w:val="24"/>
          <w:szCs w:val="24"/>
          <w:highlight w:val="none"/>
          <w:lang w:val="en-US" w:eastAsia="zh-CN"/>
        </w:rPr>
      </w:pPr>
      <w:r>
        <w:rPr>
          <w:rFonts w:hint="eastAsia" w:ascii="宋体" w:hAnsi="宋体" w:eastAsia="宋体" w:cs="宋体"/>
          <w:bCs/>
          <w:color w:val="auto"/>
          <w:kern w:val="0"/>
          <w:sz w:val="24"/>
          <w:szCs w:val="24"/>
          <w:highlight w:val="none"/>
          <w:lang w:val="en-US" w:eastAsia="zh-CN"/>
        </w:rPr>
        <w:t>本项目主要任务是为于都县葛坳铅锌矿历史遗留废渣治理工程提供修复效果评估与全过程咨询管理服务。</w:t>
      </w:r>
    </w:p>
    <w:p w14:paraId="43AB4330">
      <w:pPr>
        <w:keepNext w:val="0"/>
        <w:keepLines w:val="0"/>
        <w:pageBreakBefore w:val="0"/>
        <w:widowControl w:val="0"/>
        <w:numPr>
          <w:ilvl w:val="0"/>
          <w:numId w:val="0"/>
        </w:numPr>
        <w:kinsoku/>
        <w:wordWrap w:val="0"/>
        <w:overflowPunct/>
        <w:topLinePunct/>
        <w:autoSpaceDE/>
        <w:autoSpaceDN/>
        <w:bidi w:val="0"/>
        <w:adjustRightInd/>
        <w:snapToGrid/>
        <w:spacing w:line="500" w:lineRule="exact"/>
        <w:ind w:firstLine="241" w:firstLineChars="100"/>
        <w:jc w:val="both"/>
        <w:textAlignment w:val="auto"/>
        <w:rPr>
          <w:rFonts w:hint="eastAsia" w:ascii="宋体" w:hAnsi="宋体" w:eastAsia="宋体" w:cs="宋体"/>
          <w:b/>
          <w:color w:val="auto"/>
          <w:kern w:val="0"/>
          <w:sz w:val="24"/>
          <w:szCs w:val="24"/>
          <w:highlight w:val="none"/>
        </w:rPr>
      </w:pPr>
      <w:r>
        <w:rPr>
          <w:rFonts w:hint="eastAsia" w:ascii="宋体" w:hAnsi="宋体" w:eastAsia="宋体" w:cs="宋体"/>
          <w:b/>
          <w:color w:val="auto"/>
          <w:kern w:val="0"/>
          <w:sz w:val="24"/>
          <w:szCs w:val="24"/>
          <w:highlight w:val="none"/>
          <w:lang w:val="en-US" w:eastAsia="zh-CN"/>
        </w:rPr>
        <w:t>2.</w:t>
      </w:r>
      <w:r>
        <w:rPr>
          <w:rFonts w:hint="eastAsia" w:ascii="宋体" w:hAnsi="宋体" w:eastAsia="宋体" w:cs="宋体"/>
          <w:b/>
          <w:color w:val="auto"/>
          <w:kern w:val="0"/>
          <w:sz w:val="24"/>
          <w:szCs w:val="24"/>
          <w:highlight w:val="none"/>
          <w:lang w:eastAsia="zh-CN"/>
        </w:rPr>
        <w:t>技术和服务要求</w:t>
      </w:r>
      <w:r>
        <w:rPr>
          <w:rFonts w:hint="eastAsia" w:ascii="宋体" w:hAnsi="宋体" w:eastAsia="宋体" w:cs="宋体"/>
          <w:b/>
          <w:color w:val="auto"/>
          <w:kern w:val="0"/>
          <w:sz w:val="24"/>
          <w:szCs w:val="24"/>
          <w:highlight w:val="none"/>
        </w:rPr>
        <w:t>：</w:t>
      </w:r>
    </w:p>
    <w:p w14:paraId="7BD39C46">
      <w:pPr>
        <w:keepNext w:val="0"/>
        <w:keepLines w:val="0"/>
        <w:pageBreakBefore w:val="0"/>
        <w:kinsoku/>
        <w:wordWrap w:val="0"/>
        <w:overflowPunct/>
        <w:topLinePunct/>
        <w:autoSpaceDE/>
        <w:autoSpaceDN/>
        <w:bidi w:val="0"/>
        <w:spacing w:line="500" w:lineRule="exact"/>
        <w:ind w:firstLine="480" w:firstLineChars="200"/>
        <w:jc w:val="both"/>
        <w:rPr>
          <w:rFonts w:hint="eastAsia" w:ascii="宋体" w:hAnsi="宋体" w:eastAsia="宋体" w:cs="宋体"/>
          <w:b/>
          <w:bCs w:val="0"/>
          <w:color w:val="auto"/>
          <w:kern w:val="0"/>
          <w:sz w:val="24"/>
          <w:szCs w:val="24"/>
          <w:highlight w:val="none"/>
          <w:lang w:val="en-US" w:eastAsia="zh-CN"/>
        </w:rPr>
      </w:pPr>
      <w:r>
        <w:rPr>
          <w:rFonts w:hint="eastAsia" w:ascii="宋体" w:hAnsi="宋体" w:eastAsia="宋体" w:cs="宋体"/>
          <w:b w:val="0"/>
          <w:bCs/>
          <w:color w:val="auto"/>
          <w:kern w:val="0"/>
          <w:sz w:val="24"/>
          <w:szCs w:val="24"/>
          <w:highlight w:val="none"/>
          <w:lang w:val="en-US" w:eastAsia="zh-CN"/>
        </w:rPr>
        <w:t>（1）服务人员要求：投标人为本项目提供项目负责人1人，项目团队不少于9人（不含项目负责人）， 且须具备与本项目相关的技术能力。</w:t>
      </w:r>
      <w:r>
        <w:rPr>
          <w:rFonts w:hint="eastAsia" w:ascii="宋体" w:hAnsi="宋体" w:eastAsia="宋体" w:cs="宋体"/>
          <w:b/>
          <w:bCs w:val="0"/>
          <w:color w:val="0000FF"/>
          <w:kern w:val="0"/>
          <w:sz w:val="24"/>
          <w:szCs w:val="24"/>
          <w:highlight w:val="none"/>
          <w:lang w:val="en-US" w:eastAsia="zh-CN"/>
        </w:rPr>
        <w:t>（投标文件中必须提供人员名单，需包含姓名、性别、身份证号、职位（或工种）等信息，格式自拟）</w:t>
      </w:r>
    </w:p>
    <w:p w14:paraId="4C276E3B">
      <w:pPr>
        <w:keepNext w:val="0"/>
        <w:keepLines w:val="0"/>
        <w:pageBreakBefore w:val="0"/>
        <w:kinsoku/>
        <w:wordWrap w:val="0"/>
        <w:overflowPunct/>
        <w:topLinePunct/>
        <w:autoSpaceDE/>
        <w:autoSpaceDN/>
        <w:bidi w:val="0"/>
        <w:spacing w:line="500" w:lineRule="exact"/>
        <w:ind w:firstLine="482" w:firstLineChars="200"/>
        <w:jc w:val="both"/>
        <w:rPr>
          <w:rFonts w:hint="eastAsia" w:ascii="宋体" w:hAnsi="宋体" w:eastAsia="宋体" w:cs="宋体"/>
          <w:b/>
          <w:bCs w:val="0"/>
          <w:color w:val="auto"/>
          <w:kern w:val="0"/>
          <w:sz w:val="24"/>
          <w:szCs w:val="24"/>
          <w:highlight w:val="none"/>
          <w:lang w:val="en-US" w:eastAsia="zh-CN"/>
        </w:rPr>
      </w:pPr>
      <w:r>
        <w:rPr>
          <w:rFonts w:hint="eastAsia" w:ascii="宋体" w:hAnsi="宋体" w:eastAsia="宋体" w:cs="宋体"/>
          <w:b/>
          <w:bCs w:val="0"/>
          <w:color w:val="auto"/>
          <w:kern w:val="0"/>
          <w:sz w:val="24"/>
          <w:szCs w:val="24"/>
          <w:highlight w:val="none"/>
          <w:lang w:val="en-US" w:eastAsia="zh-CN"/>
        </w:rPr>
        <w:t>（2）效果评估</w:t>
      </w:r>
    </w:p>
    <w:p w14:paraId="358197C7">
      <w:pPr>
        <w:keepNext w:val="0"/>
        <w:keepLines w:val="0"/>
        <w:pageBreakBefore w:val="0"/>
        <w:kinsoku/>
        <w:wordWrap w:val="0"/>
        <w:overflowPunct/>
        <w:topLinePunct/>
        <w:autoSpaceDE/>
        <w:autoSpaceDN/>
        <w:bidi w:val="0"/>
        <w:spacing w:line="500" w:lineRule="exact"/>
        <w:ind w:firstLine="480" w:firstLineChars="200"/>
        <w:jc w:val="both"/>
        <w:rPr>
          <w:rFonts w:hint="eastAsia" w:ascii="宋体" w:hAnsi="宋体" w:eastAsia="宋体" w:cs="宋体"/>
          <w:bCs/>
          <w:color w:val="auto"/>
          <w:kern w:val="0"/>
          <w:sz w:val="24"/>
          <w:szCs w:val="24"/>
          <w:highlight w:val="none"/>
          <w:lang w:val="en-US" w:eastAsia="zh-CN"/>
        </w:rPr>
      </w:pPr>
      <w:r>
        <w:rPr>
          <w:rFonts w:hint="eastAsia" w:ascii="宋体" w:hAnsi="宋体" w:eastAsia="宋体" w:cs="宋体"/>
          <w:bCs/>
          <w:color w:val="auto"/>
          <w:kern w:val="0"/>
          <w:sz w:val="24"/>
          <w:szCs w:val="24"/>
          <w:highlight w:val="none"/>
          <w:lang w:val="en-US" w:eastAsia="zh-CN"/>
        </w:rPr>
        <w:t>通过资料收集、现场踏勘与访谈、概念模型建立、布点采样检测、数据分析等工作，开展修复效果评估，评估治理工程是否达到预期目标，编制效果评估报告，并提出后期环境监管建议。效果评估报告需通过专家评审。</w:t>
      </w:r>
    </w:p>
    <w:p w14:paraId="0F375C17">
      <w:pPr>
        <w:keepNext w:val="0"/>
        <w:keepLines w:val="0"/>
        <w:pageBreakBefore w:val="0"/>
        <w:kinsoku/>
        <w:wordWrap w:val="0"/>
        <w:overflowPunct/>
        <w:topLinePunct/>
        <w:autoSpaceDE/>
        <w:autoSpaceDN/>
        <w:bidi w:val="0"/>
        <w:spacing w:line="500" w:lineRule="exact"/>
        <w:ind w:firstLine="482" w:firstLineChars="200"/>
        <w:jc w:val="both"/>
        <w:rPr>
          <w:rFonts w:hint="eastAsia" w:ascii="宋体" w:hAnsi="宋体" w:eastAsia="宋体" w:cs="宋体"/>
          <w:b/>
          <w:bCs w:val="0"/>
          <w:color w:val="auto"/>
          <w:kern w:val="0"/>
          <w:sz w:val="24"/>
          <w:szCs w:val="24"/>
          <w:highlight w:val="none"/>
          <w:lang w:val="en-US" w:eastAsia="zh-CN"/>
        </w:rPr>
      </w:pPr>
      <w:r>
        <w:rPr>
          <w:rFonts w:hint="eastAsia" w:ascii="宋体" w:hAnsi="宋体" w:eastAsia="宋体" w:cs="宋体"/>
          <w:b/>
          <w:bCs w:val="0"/>
          <w:color w:val="auto"/>
          <w:kern w:val="0"/>
          <w:sz w:val="24"/>
          <w:szCs w:val="24"/>
          <w:highlight w:val="none"/>
          <w:lang w:val="en-US" w:eastAsia="zh-CN"/>
        </w:rPr>
        <w:t>（3）全过程咨询</w:t>
      </w:r>
    </w:p>
    <w:p w14:paraId="7358066D">
      <w:pPr>
        <w:keepNext w:val="0"/>
        <w:keepLines w:val="0"/>
        <w:pageBreakBefore w:val="0"/>
        <w:kinsoku/>
        <w:wordWrap w:val="0"/>
        <w:overflowPunct/>
        <w:topLinePunct/>
        <w:autoSpaceDE/>
        <w:autoSpaceDN/>
        <w:bidi w:val="0"/>
        <w:spacing w:line="500" w:lineRule="exact"/>
        <w:ind w:firstLine="480" w:firstLineChars="200"/>
        <w:jc w:val="both"/>
        <w:rPr>
          <w:rFonts w:hint="eastAsia" w:ascii="宋体" w:hAnsi="宋体" w:eastAsia="宋体" w:cs="宋体"/>
          <w:bCs/>
          <w:color w:val="auto"/>
          <w:kern w:val="0"/>
          <w:sz w:val="24"/>
          <w:szCs w:val="24"/>
          <w:highlight w:val="none"/>
          <w:lang w:val="en-US" w:eastAsia="zh-CN"/>
        </w:rPr>
      </w:pPr>
      <w:r>
        <w:rPr>
          <w:rFonts w:hint="eastAsia" w:ascii="宋体" w:hAnsi="宋体" w:eastAsia="宋体" w:cs="宋体"/>
          <w:bCs/>
          <w:color w:val="auto"/>
          <w:kern w:val="0"/>
          <w:sz w:val="24"/>
          <w:szCs w:val="24"/>
          <w:highlight w:val="none"/>
          <w:lang w:val="en-US" w:eastAsia="zh-CN"/>
        </w:rPr>
        <w:t>对本项目施工准备、实施、验收及后期管理等阶段提供全过程咨询服务，协助甲方开展工程施工、监理、现场工作的管理规范性与合理性的审核。具体内容包括：</w:t>
      </w:r>
    </w:p>
    <w:p w14:paraId="60C50721">
      <w:pPr>
        <w:keepNext w:val="0"/>
        <w:keepLines w:val="0"/>
        <w:pageBreakBefore w:val="0"/>
        <w:kinsoku/>
        <w:wordWrap w:val="0"/>
        <w:overflowPunct/>
        <w:topLinePunct/>
        <w:autoSpaceDE/>
        <w:autoSpaceDN/>
        <w:bidi w:val="0"/>
        <w:spacing w:line="500" w:lineRule="exact"/>
        <w:ind w:firstLine="480" w:firstLineChars="200"/>
        <w:jc w:val="both"/>
        <w:rPr>
          <w:rFonts w:hint="eastAsia" w:ascii="宋体" w:hAnsi="宋体" w:eastAsia="宋体" w:cs="宋体"/>
          <w:bCs/>
          <w:color w:val="auto"/>
          <w:kern w:val="0"/>
          <w:sz w:val="24"/>
          <w:szCs w:val="24"/>
          <w:highlight w:val="none"/>
          <w:lang w:val="en-US" w:eastAsia="zh-CN"/>
        </w:rPr>
      </w:pPr>
      <w:r>
        <w:rPr>
          <w:rFonts w:hint="eastAsia" w:ascii="宋体" w:hAnsi="宋体" w:eastAsia="宋体" w:cs="宋体"/>
          <w:bCs/>
          <w:color w:val="auto"/>
          <w:kern w:val="0"/>
          <w:sz w:val="24"/>
          <w:szCs w:val="24"/>
          <w:highlight w:val="none"/>
          <w:lang w:val="en-US" w:eastAsia="zh-CN"/>
        </w:rPr>
        <w:t>①项目准备阶段：依据相关法律法规、标准及管理部门文件，结合修复方案、设计方案与现场实际，编制全过程咨询工作计划，协助甲方审核施工组织设计、监理工作方案的合理性，以及工程管理体系和环境管理体系的完整性。</w:t>
      </w:r>
    </w:p>
    <w:p w14:paraId="17BAEA34">
      <w:pPr>
        <w:keepNext w:val="0"/>
        <w:keepLines w:val="0"/>
        <w:pageBreakBefore w:val="0"/>
        <w:kinsoku/>
        <w:wordWrap w:val="0"/>
        <w:overflowPunct/>
        <w:topLinePunct/>
        <w:autoSpaceDE/>
        <w:autoSpaceDN/>
        <w:bidi w:val="0"/>
        <w:spacing w:line="500" w:lineRule="exact"/>
        <w:ind w:firstLine="480" w:firstLineChars="200"/>
        <w:jc w:val="both"/>
        <w:rPr>
          <w:rFonts w:hint="eastAsia" w:ascii="宋体" w:hAnsi="宋体" w:eastAsia="宋体" w:cs="宋体"/>
          <w:bCs/>
          <w:color w:val="auto"/>
          <w:kern w:val="0"/>
          <w:sz w:val="24"/>
          <w:szCs w:val="24"/>
          <w:highlight w:val="none"/>
          <w:lang w:val="en-US" w:eastAsia="zh-CN"/>
        </w:rPr>
      </w:pPr>
      <w:r>
        <w:rPr>
          <w:rFonts w:hint="eastAsia" w:ascii="宋体" w:hAnsi="宋体" w:eastAsia="宋体" w:cs="宋体"/>
          <w:bCs/>
          <w:color w:val="auto"/>
          <w:kern w:val="0"/>
          <w:sz w:val="24"/>
          <w:szCs w:val="24"/>
          <w:highlight w:val="none"/>
          <w:lang w:val="en-US" w:eastAsia="zh-CN"/>
        </w:rPr>
        <w:t>②项目实施阶段：协助建设单位对工程进度、质量等进行控制与管理。协助甲方组织项目工作例会、现场核查工程施工与环境监理开展情况、监督工程实施方案与监理方案的落实情况，审查工作内容与进度是否按方案执行，检查施工与环境监理工作方法的合规性，定期核验项目管理档案的完整性、准确性与真实性，对存在问题提出整改建议。</w:t>
      </w:r>
    </w:p>
    <w:p w14:paraId="79A4A6A2">
      <w:pPr>
        <w:keepNext w:val="0"/>
        <w:keepLines w:val="0"/>
        <w:pageBreakBefore w:val="0"/>
        <w:kinsoku/>
        <w:wordWrap w:val="0"/>
        <w:overflowPunct/>
        <w:topLinePunct/>
        <w:autoSpaceDE/>
        <w:autoSpaceDN/>
        <w:bidi w:val="0"/>
        <w:spacing w:line="500" w:lineRule="exact"/>
        <w:ind w:firstLine="480" w:firstLineChars="200"/>
        <w:jc w:val="both"/>
        <w:rPr>
          <w:rFonts w:hint="eastAsia" w:ascii="宋体" w:hAnsi="宋体" w:eastAsia="宋体" w:cs="宋体"/>
          <w:bCs/>
          <w:color w:val="auto"/>
          <w:kern w:val="0"/>
          <w:sz w:val="24"/>
          <w:szCs w:val="24"/>
          <w:highlight w:val="none"/>
          <w:lang w:val="en-US" w:eastAsia="zh-CN"/>
        </w:rPr>
      </w:pPr>
      <w:r>
        <w:rPr>
          <w:rFonts w:hint="eastAsia" w:ascii="宋体" w:hAnsi="宋体" w:eastAsia="宋体" w:cs="宋体"/>
          <w:bCs/>
          <w:color w:val="auto"/>
          <w:kern w:val="0"/>
          <w:sz w:val="24"/>
          <w:szCs w:val="24"/>
          <w:highlight w:val="none"/>
          <w:lang w:val="en-US" w:eastAsia="zh-CN"/>
        </w:rPr>
        <w:t>③项目验收阶段：组织工程验收，核查工程内容完成情况、工程效果达标情况、二次污染防治措施落实及环境监测工作开展情况等，审查施工单位、监理单位提交的验收材料是否符合相关要求。</w:t>
      </w:r>
    </w:p>
    <w:p w14:paraId="4B818908">
      <w:pPr>
        <w:keepNext w:val="0"/>
        <w:keepLines w:val="0"/>
        <w:pageBreakBefore w:val="0"/>
        <w:kinsoku/>
        <w:wordWrap w:val="0"/>
        <w:overflowPunct/>
        <w:topLinePunct/>
        <w:autoSpaceDE/>
        <w:autoSpaceDN/>
        <w:bidi w:val="0"/>
        <w:spacing w:line="500" w:lineRule="exact"/>
        <w:ind w:firstLine="480" w:firstLineChars="200"/>
        <w:jc w:val="both"/>
        <w:rPr>
          <w:rFonts w:hint="eastAsia" w:ascii="宋体" w:hAnsi="宋体" w:eastAsia="宋体" w:cs="宋体"/>
          <w:bCs/>
          <w:color w:val="auto"/>
          <w:kern w:val="0"/>
          <w:sz w:val="24"/>
          <w:szCs w:val="24"/>
          <w:highlight w:val="none"/>
          <w:lang w:val="en-US" w:eastAsia="zh-CN"/>
        </w:rPr>
      </w:pPr>
      <w:r>
        <w:rPr>
          <w:rFonts w:hint="eastAsia" w:ascii="宋体" w:hAnsi="宋体" w:eastAsia="宋体" w:cs="宋体"/>
          <w:bCs/>
          <w:color w:val="auto"/>
          <w:kern w:val="0"/>
          <w:sz w:val="24"/>
          <w:szCs w:val="24"/>
          <w:highlight w:val="none"/>
          <w:lang w:val="en-US" w:eastAsia="zh-CN"/>
        </w:rPr>
        <w:t>④项目结束时：形成《于都县葛坳铅锌矿历史遗留废渣治理工程全过程咨询工作总结报告》，总结凝练项目成果与经验，并在适当平台进行宣传推广。比如：推介到国家、省级等平台进行宣传或者入选为相关领域的典型案例。</w:t>
      </w:r>
    </w:p>
    <w:p w14:paraId="000ADDFD">
      <w:pPr>
        <w:keepNext w:val="0"/>
        <w:keepLines w:val="0"/>
        <w:pageBreakBefore w:val="0"/>
        <w:kinsoku/>
        <w:wordWrap w:val="0"/>
        <w:overflowPunct/>
        <w:topLinePunct/>
        <w:autoSpaceDE/>
        <w:autoSpaceDN/>
        <w:bidi w:val="0"/>
        <w:spacing w:line="500" w:lineRule="exact"/>
        <w:ind w:firstLine="480" w:firstLineChars="200"/>
        <w:jc w:val="both"/>
        <w:rPr>
          <w:rFonts w:hint="eastAsia" w:ascii="宋体" w:hAnsi="宋体" w:eastAsia="宋体" w:cs="宋体"/>
          <w:bCs/>
          <w:color w:val="auto"/>
          <w:kern w:val="0"/>
          <w:sz w:val="24"/>
          <w:szCs w:val="24"/>
          <w:highlight w:val="none"/>
          <w:lang w:val="en-US" w:eastAsia="zh-CN"/>
        </w:rPr>
      </w:pPr>
    </w:p>
    <w:p w14:paraId="27E6B124">
      <w:pPr>
        <w:keepNext w:val="0"/>
        <w:keepLines w:val="0"/>
        <w:pageBreakBefore w:val="0"/>
        <w:kinsoku/>
        <w:wordWrap w:val="0"/>
        <w:overflowPunct/>
        <w:topLinePunct/>
        <w:autoSpaceDE/>
        <w:autoSpaceDN/>
        <w:bidi w:val="0"/>
        <w:spacing w:line="500" w:lineRule="exact"/>
        <w:ind w:firstLine="480" w:firstLineChars="200"/>
        <w:jc w:val="both"/>
        <w:rPr>
          <w:rFonts w:hint="eastAsia" w:ascii="宋体" w:hAnsi="宋体" w:eastAsia="宋体" w:cs="宋体"/>
          <w:bCs/>
          <w:color w:val="auto"/>
          <w:kern w:val="0"/>
          <w:sz w:val="24"/>
          <w:szCs w:val="24"/>
          <w:highlight w:val="none"/>
          <w:lang w:val="en-US" w:eastAsia="zh-CN"/>
        </w:rPr>
      </w:pPr>
    </w:p>
    <w:p w14:paraId="4BBF7F50">
      <w:pPr>
        <w:keepNext w:val="0"/>
        <w:keepLines w:val="0"/>
        <w:pageBreakBefore w:val="0"/>
        <w:kinsoku/>
        <w:wordWrap w:val="0"/>
        <w:overflowPunct/>
        <w:topLinePunct/>
        <w:autoSpaceDE/>
        <w:autoSpaceDN/>
        <w:bidi w:val="0"/>
        <w:spacing w:line="500" w:lineRule="exact"/>
        <w:ind w:firstLine="482" w:firstLineChars="200"/>
        <w:jc w:val="both"/>
        <w:rPr>
          <w:rFonts w:hint="eastAsia" w:ascii="宋体" w:hAnsi="宋体" w:eastAsia="宋体" w:cs="宋体"/>
          <w:b/>
          <w:bCs w:val="0"/>
          <w:color w:val="auto"/>
          <w:kern w:val="0"/>
          <w:sz w:val="24"/>
          <w:szCs w:val="24"/>
          <w:highlight w:val="none"/>
          <w:lang w:val="en-US" w:eastAsia="zh-CN"/>
        </w:rPr>
      </w:pPr>
      <w:r>
        <w:rPr>
          <w:rFonts w:hint="eastAsia" w:ascii="宋体" w:hAnsi="宋体" w:eastAsia="宋体" w:cs="宋体"/>
          <w:b/>
          <w:bCs w:val="0"/>
          <w:color w:val="auto"/>
          <w:kern w:val="0"/>
          <w:sz w:val="24"/>
          <w:szCs w:val="24"/>
          <w:highlight w:val="none"/>
          <w:lang w:val="en-US" w:eastAsia="zh-CN"/>
        </w:rPr>
        <w:t>（4）项目预期成果、验收要求</w:t>
      </w:r>
    </w:p>
    <w:p w14:paraId="42A810DC">
      <w:pPr>
        <w:keepNext w:val="0"/>
        <w:keepLines w:val="0"/>
        <w:pageBreakBefore w:val="0"/>
        <w:kinsoku/>
        <w:wordWrap w:val="0"/>
        <w:overflowPunct/>
        <w:topLinePunct/>
        <w:autoSpaceDE/>
        <w:autoSpaceDN/>
        <w:bidi w:val="0"/>
        <w:spacing w:line="500" w:lineRule="exact"/>
        <w:ind w:firstLine="480" w:firstLineChars="200"/>
        <w:jc w:val="both"/>
        <w:rPr>
          <w:rFonts w:hint="eastAsia" w:ascii="宋体" w:hAnsi="宋体" w:eastAsia="宋体" w:cs="宋体"/>
          <w:bCs/>
          <w:color w:val="auto"/>
          <w:kern w:val="0"/>
          <w:sz w:val="24"/>
          <w:szCs w:val="24"/>
          <w:highlight w:val="none"/>
          <w:lang w:val="en-US" w:eastAsia="zh-CN"/>
        </w:rPr>
      </w:pPr>
      <w:r>
        <w:rPr>
          <w:rFonts w:hint="eastAsia" w:ascii="宋体" w:hAnsi="宋体" w:eastAsia="宋体" w:cs="宋体"/>
          <w:bCs/>
          <w:color w:val="auto"/>
          <w:kern w:val="0"/>
          <w:sz w:val="24"/>
          <w:szCs w:val="24"/>
          <w:highlight w:val="none"/>
          <w:lang w:val="en-US" w:eastAsia="zh-CN"/>
        </w:rPr>
        <w:t>①项目成果</w:t>
      </w:r>
    </w:p>
    <w:p w14:paraId="1BEB4528">
      <w:pPr>
        <w:keepNext w:val="0"/>
        <w:keepLines w:val="0"/>
        <w:pageBreakBefore w:val="0"/>
        <w:kinsoku/>
        <w:wordWrap w:val="0"/>
        <w:overflowPunct/>
        <w:topLinePunct/>
        <w:autoSpaceDE/>
        <w:autoSpaceDN/>
        <w:bidi w:val="0"/>
        <w:spacing w:line="500" w:lineRule="exact"/>
        <w:ind w:firstLine="480" w:firstLineChars="200"/>
        <w:jc w:val="both"/>
        <w:rPr>
          <w:rFonts w:hint="eastAsia" w:ascii="宋体" w:hAnsi="宋体" w:eastAsia="宋体" w:cs="宋体"/>
          <w:bCs/>
          <w:color w:val="auto"/>
          <w:kern w:val="0"/>
          <w:sz w:val="24"/>
          <w:szCs w:val="24"/>
          <w:highlight w:val="none"/>
          <w:lang w:val="en-US" w:eastAsia="zh-CN"/>
        </w:rPr>
      </w:pPr>
      <w:r>
        <w:rPr>
          <w:rFonts w:hint="eastAsia" w:ascii="宋体" w:hAnsi="宋体" w:eastAsia="宋体" w:cs="宋体"/>
          <w:bCs/>
          <w:color w:val="auto"/>
          <w:kern w:val="0"/>
          <w:sz w:val="24"/>
          <w:szCs w:val="24"/>
          <w:highlight w:val="none"/>
          <w:lang w:val="en-US" w:eastAsia="zh-CN"/>
        </w:rPr>
        <w:t>《于都县葛坳铅锌矿历史遗留废渣治理工程全过程咨询工作总结报告》、《于都县葛坳铅锌矿历史遗留废渣治理工程效果评估报告》；</w:t>
      </w:r>
    </w:p>
    <w:p w14:paraId="5444805B">
      <w:pPr>
        <w:keepNext w:val="0"/>
        <w:keepLines w:val="0"/>
        <w:pageBreakBefore w:val="0"/>
        <w:kinsoku/>
        <w:wordWrap w:val="0"/>
        <w:overflowPunct/>
        <w:topLinePunct/>
        <w:autoSpaceDE/>
        <w:autoSpaceDN/>
        <w:bidi w:val="0"/>
        <w:spacing w:line="500" w:lineRule="exact"/>
        <w:ind w:firstLine="480" w:firstLineChars="200"/>
        <w:jc w:val="both"/>
        <w:rPr>
          <w:rFonts w:hint="eastAsia" w:ascii="宋体" w:hAnsi="宋体" w:eastAsia="宋体" w:cs="宋体"/>
          <w:bCs/>
          <w:color w:val="auto"/>
          <w:kern w:val="0"/>
          <w:sz w:val="24"/>
          <w:szCs w:val="24"/>
          <w:highlight w:val="none"/>
          <w:lang w:val="en-US" w:eastAsia="zh-CN"/>
        </w:rPr>
      </w:pPr>
      <w:r>
        <w:rPr>
          <w:rFonts w:hint="eastAsia" w:ascii="宋体" w:hAnsi="宋体" w:eastAsia="宋体" w:cs="宋体"/>
          <w:bCs/>
          <w:color w:val="auto"/>
          <w:kern w:val="0"/>
          <w:sz w:val="24"/>
          <w:szCs w:val="24"/>
          <w:highlight w:val="none"/>
          <w:lang w:val="en-US" w:eastAsia="zh-CN"/>
        </w:rPr>
        <w:t>②验收要求：通过专家评审会。</w:t>
      </w:r>
    </w:p>
    <w:p w14:paraId="1897B3F8">
      <w:pPr>
        <w:keepNext w:val="0"/>
        <w:keepLines w:val="0"/>
        <w:pageBreakBefore w:val="0"/>
        <w:numPr>
          <w:ilvl w:val="0"/>
          <w:numId w:val="0"/>
        </w:numPr>
        <w:kinsoku/>
        <w:wordWrap w:val="0"/>
        <w:overflowPunct/>
        <w:topLinePunct/>
        <w:autoSpaceDE/>
        <w:autoSpaceDN/>
        <w:bidi w:val="0"/>
        <w:spacing w:line="440" w:lineRule="exact"/>
        <w:ind w:firstLine="240" w:firstLineChars="100"/>
        <w:jc w:val="both"/>
        <w:rPr>
          <w:rFonts w:hint="eastAsia" w:asciiTheme="majorEastAsia" w:hAnsiTheme="majorEastAsia" w:eastAsiaTheme="majorEastAsia" w:cstheme="majorEastAsia"/>
          <w:color w:val="auto"/>
          <w:sz w:val="24"/>
          <w:highlight w:val="none"/>
          <w:lang w:eastAsia="zh-CN"/>
        </w:rPr>
      </w:pPr>
      <w:r>
        <w:rPr>
          <w:rFonts w:hint="eastAsia" w:asciiTheme="majorEastAsia" w:hAnsiTheme="majorEastAsia" w:eastAsiaTheme="majorEastAsia" w:cstheme="majorEastAsia"/>
          <w:color w:val="auto"/>
          <w:sz w:val="24"/>
          <w:highlight w:val="none"/>
          <w:lang w:eastAsia="zh-CN"/>
        </w:rPr>
        <w:t>（</w:t>
      </w:r>
      <w:r>
        <w:rPr>
          <w:rFonts w:hint="eastAsia" w:asciiTheme="majorEastAsia" w:hAnsiTheme="majorEastAsia" w:eastAsiaTheme="majorEastAsia" w:cstheme="majorEastAsia"/>
          <w:color w:val="auto"/>
          <w:sz w:val="24"/>
          <w:highlight w:val="none"/>
          <w:lang w:val="en-US" w:eastAsia="zh-CN"/>
        </w:rPr>
        <w:t>五）</w:t>
      </w:r>
      <w:r>
        <w:rPr>
          <w:rFonts w:hint="eastAsia" w:asciiTheme="majorEastAsia" w:hAnsiTheme="majorEastAsia" w:eastAsiaTheme="majorEastAsia" w:cstheme="majorEastAsia"/>
          <w:color w:val="auto"/>
          <w:sz w:val="24"/>
          <w:highlight w:val="none"/>
          <w:lang w:eastAsia="zh-CN"/>
        </w:rPr>
        <w:t>商务要求：</w:t>
      </w:r>
    </w:p>
    <w:p w14:paraId="47A1709C">
      <w:pPr>
        <w:keepNext w:val="0"/>
        <w:keepLines w:val="0"/>
        <w:pageBreakBefore w:val="0"/>
        <w:kinsoku/>
        <w:wordWrap w:val="0"/>
        <w:overflowPunct/>
        <w:topLinePunct/>
        <w:autoSpaceDE/>
        <w:autoSpaceDN/>
        <w:bidi w:val="0"/>
        <w:spacing w:line="500" w:lineRule="exact"/>
        <w:ind w:firstLine="480" w:firstLineChars="200"/>
        <w:jc w:val="both"/>
        <w:rPr>
          <w:rFonts w:hint="eastAsia" w:ascii="宋体" w:hAnsi="宋体" w:eastAsia="宋体" w:cs="宋体"/>
          <w:bCs/>
          <w:color w:val="auto"/>
          <w:kern w:val="0"/>
          <w:sz w:val="24"/>
          <w:szCs w:val="24"/>
          <w:highlight w:val="none"/>
          <w:lang w:val="en-US" w:eastAsia="zh-CN"/>
        </w:rPr>
      </w:pPr>
      <w:r>
        <w:rPr>
          <w:rFonts w:hint="eastAsia" w:ascii="宋体" w:hAnsi="宋体" w:eastAsia="宋体" w:cs="宋体"/>
          <w:bCs/>
          <w:color w:val="auto"/>
          <w:kern w:val="0"/>
          <w:sz w:val="24"/>
          <w:szCs w:val="24"/>
          <w:highlight w:val="none"/>
          <w:lang w:val="en-US" w:eastAsia="zh-CN"/>
        </w:rPr>
        <w:t>1.服务期限</w:t>
      </w:r>
    </w:p>
    <w:p w14:paraId="72214428">
      <w:pPr>
        <w:keepNext w:val="0"/>
        <w:keepLines w:val="0"/>
        <w:pageBreakBefore w:val="0"/>
        <w:kinsoku/>
        <w:wordWrap w:val="0"/>
        <w:overflowPunct/>
        <w:topLinePunct/>
        <w:autoSpaceDE/>
        <w:autoSpaceDN/>
        <w:bidi w:val="0"/>
        <w:spacing w:line="500" w:lineRule="exact"/>
        <w:ind w:firstLine="480" w:firstLineChars="200"/>
        <w:jc w:val="both"/>
        <w:rPr>
          <w:rFonts w:hint="eastAsia" w:ascii="宋体" w:hAnsi="宋体" w:eastAsia="宋体" w:cs="宋体"/>
          <w:bCs/>
          <w:color w:val="auto"/>
          <w:kern w:val="0"/>
          <w:sz w:val="24"/>
          <w:szCs w:val="24"/>
          <w:highlight w:val="none"/>
          <w:lang w:val="en-US" w:eastAsia="zh-CN"/>
        </w:rPr>
      </w:pPr>
      <w:r>
        <w:rPr>
          <w:rFonts w:hint="eastAsia" w:ascii="宋体" w:hAnsi="宋体" w:eastAsia="宋体" w:cs="宋体"/>
          <w:bCs/>
          <w:color w:val="auto"/>
          <w:kern w:val="0"/>
          <w:sz w:val="24"/>
          <w:szCs w:val="24"/>
          <w:highlight w:val="none"/>
          <w:lang w:val="en-US" w:eastAsia="zh-CN"/>
        </w:rPr>
        <w:t>自合同签订之日起，至效果评估报告通过生态环境主管部门组织的专家评审止。</w:t>
      </w:r>
    </w:p>
    <w:p w14:paraId="42813877">
      <w:pPr>
        <w:keepNext w:val="0"/>
        <w:keepLines w:val="0"/>
        <w:pageBreakBefore w:val="0"/>
        <w:kinsoku/>
        <w:wordWrap w:val="0"/>
        <w:overflowPunct/>
        <w:topLinePunct/>
        <w:autoSpaceDE/>
        <w:autoSpaceDN/>
        <w:bidi w:val="0"/>
        <w:spacing w:line="500" w:lineRule="exact"/>
        <w:ind w:firstLine="480" w:firstLineChars="200"/>
        <w:jc w:val="both"/>
        <w:rPr>
          <w:rFonts w:hint="eastAsia" w:ascii="宋体" w:hAnsi="宋体" w:eastAsia="宋体" w:cs="宋体"/>
          <w:bCs/>
          <w:color w:val="auto"/>
          <w:kern w:val="0"/>
          <w:sz w:val="24"/>
          <w:szCs w:val="24"/>
          <w:highlight w:val="none"/>
          <w:lang w:val="en-US" w:eastAsia="zh-CN"/>
        </w:rPr>
      </w:pPr>
      <w:r>
        <w:rPr>
          <w:rFonts w:hint="eastAsia" w:ascii="宋体" w:hAnsi="宋体" w:eastAsia="宋体" w:cs="宋体"/>
          <w:bCs/>
          <w:color w:val="auto"/>
          <w:kern w:val="0"/>
          <w:sz w:val="24"/>
          <w:szCs w:val="24"/>
          <w:highlight w:val="none"/>
          <w:lang w:val="en-US" w:eastAsia="zh-CN"/>
        </w:rPr>
        <w:t>2.款项支付</w:t>
      </w:r>
    </w:p>
    <w:p w14:paraId="166C730E">
      <w:pPr>
        <w:keepNext w:val="0"/>
        <w:keepLines w:val="0"/>
        <w:pageBreakBefore w:val="0"/>
        <w:kinsoku/>
        <w:wordWrap w:val="0"/>
        <w:overflowPunct/>
        <w:topLinePunct/>
        <w:autoSpaceDE/>
        <w:autoSpaceDN/>
        <w:bidi w:val="0"/>
        <w:spacing w:line="500" w:lineRule="exact"/>
        <w:ind w:firstLine="480" w:firstLineChars="200"/>
        <w:jc w:val="both"/>
        <w:rPr>
          <w:rFonts w:hint="eastAsia" w:ascii="宋体" w:hAnsi="宋体" w:eastAsia="宋体" w:cs="宋体"/>
          <w:bCs/>
          <w:color w:val="auto"/>
          <w:kern w:val="0"/>
          <w:sz w:val="24"/>
          <w:szCs w:val="24"/>
          <w:highlight w:val="none"/>
          <w:lang w:val="en-US" w:eastAsia="zh-CN"/>
        </w:rPr>
      </w:pPr>
      <w:r>
        <w:rPr>
          <w:rFonts w:hint="eastAsia" w:ascii="宋体" w:hAnsi="宋体" w:eastAsia="宋体" w:cs="宋体"/>
          <w:bCs/>
          <w:color w:val="auto"/>
          <w:kern w:val="0"/>
          <w:sz w:val="24"/>
          <w:szCs w:val="24"/>
          <w:highlight w:val="none"/>
          <w:lang w:val="en-US" w:eastAsia="zh-CN"/>
        </w:rPr>
        <w:t>（1）合同签订后，中标人提供通过专家评审的实施方案30日内，向采购人申请支付合同总金额的50%；</w:t>
      </w:r>
    </w:p>
    <w:p w14:paraId="3C391C58">
      <w:pPr>
        <w:keepNext w:val="0"/>
        <w:keepLines w:val="0"/>
        <w:pageBreakBefore w:val="0"/>
        <w:kinsoku/>
        <w:wordWrap w:val="0"/>
        <w:overflowPunct/>
        <w:topLinePunct/>
        <w:autoSpaceDE/>
        <w:autoSpaceDN/>
        <w:bidi w:val="0"/>
        <w:spacing w:line="500" w:lineRule="exact"/>
        <w:ind w:firstLine="480" w:firstLineChars="200"/>
        <w:jc w:val="both"/>
        <w:rPr>
          <w:rFonts w:hint="eastAsia" w:ascii="宋体" w:hAnsi="宋体" w:eastAsia="宋体" w:cs="宋体"/>
          <w:bCs/>
          <w:color w:val="auto"/>
          <w:kern w:val="0"/>
          <w:sz w:val="24"/>
          <w:szCs w:val="24"/>
          <w:highlight w:val="none"/>
          <w:lang w:val="en-US" w:eastAsia="zh-CN"/>
        </w:rPr>
      </w:pPr>
      <w:r>
        <w:rPr>
          <w:rFonts w:hint="eastAsia" w:ascii="宋体" w:hAnsi="宋体" w:eastAsia="宋体" w:cs="宋体"/>
          <w:bCs/>
          <w:color w:val="auto"/>
          <w:kern w:val="0"/>
          <w:sz w:val="24"/>
          <w:szCs w:val="24"/>
          <w:highlight w:val="none"/>
          <w:lang w:val="en-US" w:eastAsia="zh-CN"/>
        </w:rPr>
        <w:t>（2）历史遗留废渣治理项目主体工程结束后，中标人提交《于都县葛坳铅锌矿历史遗留废渣治理工程全过程咨询工作总结报告》与《于都县葛坳铅锌矿历史遗留废渣治理工程效果评估报告》，并通过专家评审后，达到付款条件起30日内，支付合同总金额的剩余47%。</w:t>
      </w:r>
    </w:p>
    <w:p w14:paraId="163383A4">
      <w:pPr>
        <w:keepNext w:val="0"/>
        <w:keepLines w:val="0"/>
        <w:pageBreakBefore w:val="0"/>
        <w:kinsoku/>
        <w:wordWrap w:val="0"/>
        <w:overflowPunct/>
        <w:topLinePunct/>
        <w:autoSpaceDE/>
        <w:autoSpaceDN/>
        <w:bidi w:val="0"/>
        <w:spacing w:line="500" w:lineRule="exact"/>
        <w:ind w:firstLine="480" w:firstLineChars="200"/>
        <w:jc w:val="both"/>
        <w:rPr>
          <w:rFonts w:hint="default" w:ascii="宋体" w:hAnsi="宋体" w:eastAsia="宋体" w:cs="宋体"/>
          <w:bCs/>
          <w:color w:val="auto"/>
          <w:kern w:val="0"/>
          <w:sz w:val="24"/>
          <w:szCs w:val="24"/>
          <w:highlight w:val="none"/>
          <w:lang w:val="en-US" w:eastAsia="zh-CN"/>
        </w:rPr>
      </w:pPr>
      <w:r>
        <w:rPr>
          <w:rFonts w:hint="eastAsia" w:ascii="宋体" w:hAnsi="宋体" w:eastAsia="宋体" w:cs="宋体"/>
          <w:bCs/>
          <w:color w:val="auto"/>
          <w:kern w:val="0"/>
          <w:sz w:val="24"/>
          <w:szCs w:val="24"/>
          <w:highlight w:val="none"/>
          <w:lang w:val="en-US" w:eastAsia="zh-CN"/>
        </w:rPr>
        <w:t>（3）历史遗留废渣治理项目主体工程质保期通过质量效果验收后，达到付款条件起30日内，支付剩余合同总金额的3%。</w:t>
      </w:r>
    </w:p>
    <w:p w14:paraId="42F98A35">
      <w:pPr>
        <w:keepNext w:val="0"/>
        <w:keepLines w:val="0"/>
        <w:pageBreakBefore w:val="0"/>
        <w:kinsoku/>
        <w:wordWrap w:val="0"/>
        <w:overflowPunct/>
        <w:topLinePunct/>
        <w:autoSpaceDE/>
        <w:autoSpaceDN/>
        <w:bidi w:val="0"/>
        <w:spacing w:line="500" w:lineRule="exact"/>
        <w:ind w:firstLine="480" w:firstLineChars="200"/>
        <w:jc w:val="both"/>
        <w:rPr>
          <w:rFonts w:hint="eastAsia" w:ascii="宋体" w:hAnsi="宋体" w:eastAsia="宋体" w:cs="宋体"/>
          <w:bCs/>
          <w:color w:val="auto"/>
          <w:kern w:val="0"/>
          <w:sz w:val="24"/>
          <w:szCs w:val="24"/>
          <w:highlight w:val="none"/>
          <w:lang w:val="en-US" w:eastAsia="zh-CN"/>
        </w:rPr>
      </w:pPr>
      <w:r>
        <w:rPr>
          <w:rFonts w:hint="eastAsia" w:ascii="宋体" w:hAnsi="宋体" w:eastAsia="宋体" w:cs="宋体"/>
          <w:bCs/>
          <w:color w:val="auto"/>
          <w:kern w:val="0"/>
          <w:sz w:val="24"/>
          <w:szCs w:val="24"/>
          <w:highlight w:val="none"/>
          <w:lang w:val="en-US" w:eastAsia="zh-CN"/>
        </w:rPr>
        <w:t>3.投标人报价不得超过预算价，否则报价无效；投标人报价需包含本项目所需所有费用，包括但不限于服务费、检测费、踏勘现场的费用等直至验收合格的所有费用，采购人不再另外支付其他费用。</w:t>
      </w:r>
    </w:p>
    <w:p w14:paraId="7E4B8DEE">
      <w:pPr>
        <w:keepNext w:val="0"/>
        <w:keepLines w:val="0"/>
        <w:pageBreakBefore w:val="0"/>
        <w:kinsoku/>
        <w:wordWrap w:val="0"/>
        <w:overflowPunct/>
        <w:topLinePunct/>
        <w:autoSpaceDE/>
        <w:autoSpaceDN/>
        <w:bidi w:val="0"/>
        <w:spacing w:line="500" w:lineRule="exact"/>
        <w:ind w:firstLine="480" w:firstLineChars="200"/>
        <w:jc w:val="both"/>
        <w:rPr>
          <w:rFonts w:hint="eastAsia" w:ascii="宋体" w:hAnsi="宋体" w:eastAsia="宋体" w:cs="宋体"/>
          <w:bCs/>
          <w:color w:val="auto"/>
          <w:kern w:val="0"/>
          <w:sz w:val="24"/>
          <w:szCs w:val="24"/>
          <w:highlight w:val="none"/>
          <w:lang w:val="en-US" w:eastAsia="zh-CN"/>
        </w:rPr>
      </w:pPr>
      <w:r>
        <w:rPr>
          <w:rFonts w:hint="eastAsia" w:ascii="宋体" w:hAnsi="宋体" w:eastAsia="宋体" w:cs="宋体"/>
          <w:bCs/>
          <w:color w:val="auto"/>
          <w:kern w:val="0"/>
          <w:sz w:val="24"/>
          <w:szCs w:val="24"/>
          <w:highlight w:val="none"/>
          <w:lang w:val="en-US" w:eastAsia="zh-CN"/>
        </w:rPr>
        <w:t>4.售后服务要求：中标人须提供优质售后服务，承诺自项目验收通过之日起提供1年免费售后服务（如有货物质保期超过一年，按其规定执行）。</w:t>
      </w:r>
    </w:p>
    <w:p w14:paraId="71923FAE">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73E2549"/>
    <w:rsid w:val="173E254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2026-04-13T09:33:00Z</dcterms:created>
  <dc:creator>Administrator</dc:creator>
  <cp:lastModifiedBy>Administrator</cp:lastModifiedBy>
  <dcterms:modified xsi:type="dcterms:W3CDTF">2026-04-13T09:34:28Z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31C47F7A161343C191AF8BD662109185_11</vt:lpwstr>
  </property>
  <property fmtid="{D5CDD505-2E9C-101B-9397-08002B2CF9AE}" pid="4" name="KSOTemplateDocerSaveRecord">
    <vt:lpwstr>eyJoZGlkIjoiNTAyNjgyNmU2Mzc5YmU0N2QxZDgzZGE0ODE1ZjlkOWUiLCJ1c2VySWQiOiI1ODcwNzAzNTYifQ==</vt:lpwstr>
  </property>
</Properties>
</file>